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3F44" w14:textId="77777777" w:rsidR="00BE13A8" w:rsidRPr="00044387" w:rsidRDefault="00D70530" w:rsidP="00044387">
      <w:pPr>
        <w:pStyle w:val="Heading1"/>
      </w:pPr>
      <w:r w:rsidRPr="00044387">
        <w:t>The Horniman Public Museum and Public Park Trust</w:t>
      </w:r>
    </w:p>
    <w:p w14:paraId="535C8406" w14:textId="77777777" w:rsidR="00BE13A8" w:rsidRPr="00044387" w:rsidRDefault="00D70530" w:rsidP="00044387">
      <w:pPr>
        <w:pStyle w:val="Heading1"/>
      </w:pPr>
      <w:r w:rsidRPr="00044387">
        <w:t>Annual Report and Consolidated Financial Statements</w:t>
      </w:r>
    </w:p>
    <w:p w14:paraId="3A1C2D87" w14:textId="77777777" w:rsidR="00BE13A8" w:rsidRPr="00044387" w:rsidRDefault="00BE13A8" w:rsidP="00044387"/>
    <w:p w14:paraId="660B6603" w14:textId="77777777" w:rsidR="00BE13A8" w:rsidRPr="00044387" w:rsidRDefault="00D70530" w:rsidP="00044387">
      <w:r w:rsidRPr="00044387">
        <w:t>For the year ended 31 March 2025</w:t>
      </w:r>
    </w:p>
    <w:p w14:paraId="6B99C020" w14:textId="77777777" w:rsidR="00BE13A8" w:rsidRPr="00044387" w:rsidRDefault="00BE13A8" w:rsidP="00044387"/>
    <w:p w14:paraId="046C8098" w14:textId="77777777" w:rsidR="00BE13A8" w:rsidRPr="00044387" w:rsidRDefault="00D70530" w:rsidP="00044387">
      <w:r w:rsidRPr="00044387">
        <w:t>Company Registration Number: 02456393</w:t>
      </w:r>
    </w:p>
    <w:p w14:paraId="518DE929" w14:textId="77777777" w:rsidR="00BE13A8" w:rsidRPr="00044387" w:rsidRDefault="00D70530" w:rsidP="00044387">
      <w:r w:rsidRPr="00044387">
        <w:t>Charity Registration Number: 802725</w:t>
      </w:r>
    </w:p>
    <w:p w14:paraId="2556BBAD" w14:textId="77777777" w:rsidR="00BE13A8" w:rsidRPr="00044387" w:rsidRDefault="00BE13A8" w:rsidP="00044387"/>
    <w:p w14:paraId="238DB540" w14:textId="7E6340C4" w:rsidR="00044387" w:rsidRPr="00044387" w:rsidRDefault="00044387" w:rsidP="00044387">
      <w:pPr>
        <w:pStyle w:val="Heading2"/>
      </w:pPr>
      <w:r w:rsidRPr="00044387">
        <w:t>Content</w:t>
      </w:r>
    </w:p>
    <w:p w14:paraId="4C2FD2A8" w14:textId="77777777" w:rsidR="00044387" w:rsidRDefault="00044387" w:rsidP="00044387"/>
    <w:p w14:paraId="6865A884" w14:textId="77777777" w:rsidR="00AB448A" w:rsidRDefault="00AB448A" w:rsidP="00AB448A">
      <w:r>
        <w:t>Reference and Administrative details - page 1</w:t>
      </w:r>
    </w:p>
    <w:p w14:paraId="1EFEAD17" w14:textId="77777777" w:rsidR="00AB448A" w:rsidRDefault="00AB448A" w:rsidP="00AB448A">
      <w:r>
        <w:t>Trustees' Annual Report – pages 2-28</w:t>
      </w:r>
    </w:p>
    <w:p w14:paraId="2B431CBB" w14:textId="77777777" w:rsidR="00AB448A" w:rsidRDefault="00AB448A" w:rsidP="00AB448A">
      <w:r>
        <w:t>Remuneration Report – page 29</w:t>
      </w:r>
    </w:p>
    <w:p w14:paraId="48B1EF73" w14:textId="77777777" w:rsidR="00AB448A" w:rsidRDefault="00AB448A" w:rsidP="00AB448A">
      <w:r>
        <w:t>Statement of Trustees’ and Chief Executive’s Responsibilities – pages 30-31</w:t>
      </w:r>
    </w:p>
    <w:p w14:paraId="6D3BED7C" w14:textId="77777777" w:rsidR="00AB448A" w:rsidRDefault="00AB448A" w:rsidP="00AB448A">
      <w:r>
        <w:t>Governance Statement – pages 32-35</w:t>
      </w:r>
    </w:p>
    <w:p w14:paraId="2F129EAA" w14:textId="77777777" w:rsidR="00AB448A" w:rsidRDefault="00AB448A" w:rsidP="00AB448A">
      <w:r>
        <w:t>Auditors' Report to the Members – pages 34-39</w:t>
      </w:r>
    </w:p>
    <w:p w14:paraId="785DB9E5" w14:textId="77777777" w:rsidR="00AB448A" w:rsidRDefault="00AB448A" w:rsidP="00AB448A">
      <w:r>
        <w:t>Consolidated Statement of Financial Activities – page 40</w:t>
      </w:r>
    </w:p>
    <w:p w14:paraId="3EB173BD" w14:textId="77777777" w:rsidR="00AB448A" w:rsidRDefault="00AB448A" w:rsidP="00AB448A">
      <w:r>
        <w:t>Balance Sheets – page 41</w:t>
      </w:r>
    </w:p>
    <w:p w14:paraId="38B1E2B7" w14:textId="77777777" w:rsidR="00AB448A" w:rsidRDefault="00AB448A" w:rsidP="00AB448A">
      <w:r>
        <w:t>Consolidated Cash Flow Statement – page 42</w:t>
      </w:r>
    </w:p>
    <w:p w14:paraId="1B536425" w14:textId="77777777" w:rsidR="00AB448A" w:rsidRDefault="00AB448A" w:rsidP="00AB448A">
      <w:r>
        <w:t>Notes to the Accounts – pages 43-59</w:t>
      </w:r>
    </w:p>
    <w:p w14:paraId="2C429A8B" w14:textId="3071D777" w:rsidR="00044387" w:rsidRDefault="00AB448A" w:rsidP="00AB448A">
      <w:r>
        <w:t>Appendix I: DCMS Performance Indicators – pages 59-60</w:t>
      </w:r>
    </w:p>
    <w:p w14:paraId="65D8278A" w14:textId="77777777" w:rsidR="00AB448A" w:rsidRDefault="00AB448A" w:rsidP="00AB448A"/>
    <w:p w14:paraId="43754AF9" w14:textId="5F3EB45A" w:rsidR="00044387" w:rsidRPr="00044387" w:rsidRDefault="00044387" w:rsidP="00044387">
      <w:pPr>
        <w:textDirection w:val="btLr"/>
        <w:rPr>
          <w:iCs/>
        </w:rPr>
      </w:pPr>
      <w:r w:rsidRPr="00044387">
        <w:rPr>
          <w:iCs/>
          <w:color w:val="000000"/>
        </w:rPr>
        <w:t>‘It’s not just another museum; it’s an adventure that blends nature, history, and the arts… Prepare for a day filled with fun, learning, and family memories that will last a lifetime.’</w:t>
      </w:r>
    </w:p>
    <w:p w14:paraId="05CA081B" w14:textId="77777777" w:rsidR="00044387" w:rsidRDefault="00044387" w:rsidP="00044387">
      <w:pPr>
        <w:textDirection w:val="btLr"/>
      </w:pPr>
      <w:r>
        <w:rPr>
          <w:b/>
          <w:color w:val="000000"/>
        </w:rPr>
        <w:t>Parents News UK</w:t>
      </w:r>
    </w:p>
    <w:p w14:paraId="479CDDDA" w14:textId="7383A29F" w:rsidR="00044387" w:rsidRDefault="00D70530" w:rsidP="00044387">
      <w:pPr>
        <w:rPr>
          <w:b/>
          <w:sz w:val="28"/>
          <w:szCs w:val="28"/>
        </w:rPr>
      </w:pPr>
      <w:r w:rsidRPr="00044387">
        <w:rPr>
          <w:noProof/>
        </w:rPr>
        <mc:AlternateContent>
          <mc:Choice Requires="wps">
            <w:drawing>
              <wp:anchor distT="0" distB="0" distL="114300" distR="114300" simplePos="0" relativeHeight="251658240" behindDoc="0" locked="0" layoutInCell="1" hidden="0" allowOverlap="1" wp14:anchorId="6F451E62" wp14:editId="49AB7F66">
                <wp:simplePos x="0" y="0"/>
                <wp:positionH relativeFrom="column">
                  <wp:posOffset>1</wp:posOffset>
                </wp:positionH>
                <wp:positionV relativeFrom="paragraph">
                  <wp:posOffset>97789</wp:posOffset>
                </wp:positionV>
                <wp:extent cx="635"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328163" y="3779683"/>
                          <a:ext cx="6035675"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48AA6AA" id="_x0000_t32" coordsize="21600,21600" o:spt="32" o:oned="t" path="m,l21600,21600e" filled="f">
                <v:path arrowok="t" fillok="f" o:connecttype="none"/>
                <o:lock v:ext="edit" shapetype="t"/>
              </v:shapetype>
              <v:shape id="Straight Arrow Connector 10" o:spid="_x0000_s1026" type="#_x0000_t32" style="position:absolute;margin-left:0;margin-top:7.7pt;width:.0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UzAEAAIsDAAAOAAAAZHJzL2Uyb0RvYy54bWysU8mO2zAMvRfoPwi6N3ZsxMkYceaQdHop&#10;2gHafoCixRagDaImTv6+lJJOuhwKFPVBpkzy8fGR3j6erSEnGUF7N9DloqZEOu6FduNAv319ereh&#10;BBJzghnv5EAvEujj7u2b7Rx62fjJGyEjQRAH/RwGOqUU+qoCPknLYOGDdOhUPlqW8BrHSkQ2I7o1&#10;VVPXXTX7KEL0XALg18PVSXcFXynJ02elQCZiBorcUjljOY/5rHZb1o+RhUnzGw32Dyws0w6LvkId&#10;WGLkJeo/oKzm0YNXacG9rbxSmsvSA3azrH/r5svEgiy9oDgQXmWC/wfLP5327jmiDHOAHsJzzF2c&#10;VbT5jfzIeaBN22yWXUvJZaDtev3QbdqrcPKcCMeArm5X3XpFCceIrl1lb3WHCRHSB+ktycZAIUWm&#10;xyntvXM4IB+XRTp2+gjpmvgjIXNw/kkbU+ZkHJkH+rBqciWG26IMS2jaIBDVjQUGvNEip+RkiONx&#10;byI5sTz/8ty4/RKW6x0YTNe44ro2GP2LE6X2JJl47wRJl4Br7HCZaSYDlhIjcfXRKHGJafP3OBTH&#10;ONToLnq2jl5cyizKd5x4UfG2nXmlfr6X7Ps/tPsOAAD//wMAUEsDBBQABgAIAAAAIQCcpK9Y1wAA&#10;AAMBAAAPAAAAZHJzL2Rvd25yZXYueG1sTI/NTsMwEITvSLyDtUjcqANqAYU4FQLBBQnRAvdtvE0M&#10;8TqNnR/enoULHGdnNfNNsZ59q0bqowts4HyRgSKugnVcG3h7fTi7BhUTssU2MBn4ogjr8viowNyG&#10;iTc0blOtJIRjjgaalLpc61g15DEuQkcs3j70HpPIvta2x0nCfasvsuxSe3QsDQ12dNdQ9bkdvAHv&#10;6vfh4J73q4/76TE9veA4+YMxpyfz7Q2oRHP6e4YffEGHUph2YWAbVWtAhiS5rpagfl21E3W1BF0W&#10;+j97+Q0AAP//AwBQSwECLQAUAAYACAAAACEAtoM4kv4AAADhAQAAEwAAAAAAAAAAAAAAAAAAAAAA&#10;W0NvbnRlbnRfVHlwZXNdLnhtbFBLAQItABQABgAIAAAAIQA4/SH/1gAAAJQBAAALAAAAAAAAAAAA&#10;AAAAAC8BAABfcmVscy8ucmVsc1BLAQItABQABgAIAAAAIQB+LPcUzAEAAIsDAAAOAAAAAAAAAAAA&#10;AAAAAC4CAABkcnMvZTJvRG9jLnhtbFBLAQItABQABgAIAAAAIQCcpK9Y1wAAAAMBAAAPAAAAAAAA&#10;AAAAAAAAACYEAABkcnMvZG93bnJldi54bWxQSwUGAAAAAAQABADzAAAAKgUAAAAA&#10;">
                <v:stroke startarrowwidth="narrow" startarrowlength="short" endarrowwidth="narrow" endarrowlength="short"/>
              </v:shape>
            </w:pict>
          </mc:Fallback>
        </mc:AlternateContent>
      </w:r>
    </w:p>
    <w:p w14:paraId="39FF5F5D" w14:textId="4F59AB13" w:rsidR="00BE13A8" w:rsidRDefault="00D70530" w:rsidP="00044387">
      <w:pPr>
        <w:pStyle w:val="Heading2"/>
      </w:pPr>
      <w:r w:rsidRPr="00044387">
        <w:t>Reference and Administrative Details of the Charity</w:t>
      </w:r>
    </w:p>
    <w:p w14:paraId="5C5C1BC2" w14:textId="77777777" w:rsidR="00044387" w:rsidRPr="00044387" w:rsidRDefault="00044387" w:rsidP="00044387"/>
    <w:p w14:paraId="14FA4044" w14:textId="77777777" w:rsidR="00BE13A8" w:rsidRPr="00044387" w:rsidRDefault="00D70530" w:rsidP="00044387">
      <w:pPr>
        <w:pStyle w:val="Heading3"/>
      </w:pPr>
      <w:r w:rsidRPr="00044387">
        <w:t>Registered Office:</w:t>
      </w:r>
    </w:p>
    <w:p w14:paraId="5F801D22" w14:textId="06B80DAA" w:rsidR="00BE13A8" w:rsidRDefault="00D70530">
      <w:r>
        <w:t>100 London Road</w:t>
      </w:r>
    </w:p>
    <w:p w14:paraId="50EA968A" w14:textId="067FF9C2" w:rsidR="00BE13A8" w:rsidRDefault="00D70530">
      <w:r>
        <w:t>Forest Hill</w:t>
      </w:r>
    </w:p>
    <w:p w14:paraId="529E0945" w14:textId="77777777" w:rsidR="00BE13A8" w:rsidRDefault="00D70530">
      <w:r>
        <w:t>London SE23 3PQ</w:t>
      </w:r>
    </w:p>
    <w:p w14:paraId="311CB485" w14:textId="77777777" w:rsidR="00044387" w:rsidRDefault="00044387"/>
    <w:p w14:paraId="0F48EB63" w14:textId="77777777" w:rsidR="00044387" w:rsidRDefault="00044387" w:rsidP="00044387">
      <w:r>
        <w:t>Company Registration No:  02456393</w:t>
      </w:r>
    </w:p>
    <w:p w14:paraId="5DEE0529" w14:textId="37F89A30" w:rsidR="00044387" w:rsidRDefault="00044387">
      <w:r>
        <w:t>Charity Registration No:  802725</w:t>
      </w:r>
    </w:p>
    <w:p w14:paraId="13D66D71" w14:textId="77777777" w:rsidR="00BE13A8" w:rsidRDefault="00BE13A8">
      <w:pPr>
        <w:rPr>
          <w:b/>
          <w:color w:val="FF0000"/>
        </w:rPr>
      </w:pPr>
    </w:p>
    <w:p w14:paraId="2A51FD34" w14:textId="77777777" w:rsidR="00044387" w:rsidRPr="00044387" w:rsidRDefault="00D70530" w:rsidP="00044387">
      <w:pPr>
        <w:pStyle w:val="Heading3"/>
      </w:pPr>
      <w:r w:rsidRPr="00044387">
        <w:t>Directors and Trustees</w:t>
      </w:r>
    </w:p>
    <w:p w14:paraId="0329BEA6" w14:textId="77777777" w:rsidR="00044387" w:rsidRDefault="00044387" w:rsidP="00044387"/>
    <w:p w14:paraId="649A6ADA" w14:textId="266B730F" w:rsidR="00044387" w:rsidRPr="00044387" w:rsidRDefault="00044387" w:rsidP="00044387">
      <w:r w:rsidRPr="00044387">
        <w:t xml:space="preserve">Michael Salter-Church, Chair* </w:t>
      </w:r>
    </w:p>
    <w:p w14:paraId="130218A5" w14:textId="77777777" w:rsidR="00044387" w:rsidRPr="00044387" w:rsidRDefault="00044387" w:rsidP="00044387">
      <w:r w:rsidRPr="00044387">
        <w:t xml:space="preserve">Eva Appelbaum </w:t>
      </w:r>
    </w:p>
    <w:p w14:paraId="5278378D" w14:textId="77777777" w:rsidR="00044387" w:rsidRPr="00044387" w:rsidRDefault="00044387" w:rsidP="00044387">
      <w:r w:rsidRPr="00044387">
        <w:t xml:space="preserve">Roma </w:t>
      </w:r>
      <w:proofErr w:type="spellStart"/>
      <w:r w:rsidRPr="00044387">
        <w:t>Dibua</w:t>
      </w:r>
      <w:proofErr w:type="spellEnd"/>
      <w:r w:rsidRPr="00044387">
        <w:t xml:space="preserve"> </w:t>
      </w:r>
    </w:p>
    <w:p w14:paraId="68F7EC3E" w14:textId="77777777" w:rsidR="00044387" w:rsidRPr="00044387" w:rsidRDefault="00044387" w:rsidP="00044387">
      <w:r w:rsidRPr="00044387">
        <w:t>Simon Hesketh</w:t>
      </w:r>
    </w:p>
    <w:p w14:paraId="0A2F066E" w14:textId="77777777" w:rsidR="00044387" w:rsidRPr="00044387" w:rsidRDefault="00044387" w:rsidP="00044387">
      <w:r w:rsidRPr="00044387">
        <w:t>Nico Iacuzzi* (to 06/02/25)</w:t>
      </w:r>
    </w:p>
    <w:p w14:paraId="49165FC2" w14:textId="77777777" w:rsidR="00044387" w:rsidRPr="00044387" w:rsidRDefault="00044387" w:rsidP="00044387">
      <w:r w:rsidRPr="00044387">
        <w:t>Rod Taylor (from 06/02/25)</w:t>
      </w:r>
    </w:p>
    <w:p w14:paraId="3B3C693F" w14:textId="77777777" w:rsidR="00044387" w:rsidRDefault="00044387" w:rsidP="00044387">
      <w:r w:rsidRPr="00044387">
        <w:t>Edmund Neuberger* (from 24/04/25)</w:t>
      </w:r>
    </w:p>
    <w:p w14:paraId="7A647F59" w14:textId="0FB8AFC9" w:rsidR="00044387" w:rsidRPr="00044387" w:rsidRDefault="00044387" w:rsidP="00044387">
      <w:r w:rsidRPr="00044387">
        <w:t>Diana Maine</w:t>
      </w:r>
    </w:p>
    <w:p w14:paraId="7C766C6B" w14:textId="77777777" w:rsidR="00044387" w:rsidRPr="00044387" w:rsidRDefault="00044387" w:rsidP="00044387">
      <w:r w:rsidRPr="00044387">
        <w:t xml:space="preserve">Mayowa </w:t>
      </w:r>
      <w:proofErr w:type="spellStart"/>
      <w:r w:rsidRPr="00044387">
        <w:t>Ochere</w:t>
      </w:r>
      <w:proofErr w:type="spellEnd"/>
      <w:r w:rsidRPr="00044387">
        <w:t xml:space="preserve"> </w:t>
      </w:r>
    </w:p>
    <w:p w14:paraId="662A4512" w14:textId="77777777" w:rsidR="00044387" w:rsidRPr="00044387" w:rsidRDefault="00044387" w:rsidP="00044387">
      <w:proofErr w:type="spellStart"/>
      <w:r w:rsidRPr="00044387">
        <w:t>Yesomi</w:t>
      </w:r>
      <w:proofErr w:type="spellEnd"/>
      <w:r w:rsidRPr="00044387">
        <w:t xml:space="preserve"> </w:t>
      </w:r>
      <w:proofErr w:type="spellStart"/>
      <w:r w:rsidRPr="00044387">
        <w:t>Umolu</w:t>
      </w:r>
      <w:proofErr w:type="spellEnd"/>
      <w:r w:rsidRPr="00044387">
        <w:t>, Vice-Chair</w:t>
      </w:r>
    </w:p>
    <w:p w14:paraId="7EA8BBA5" w14:textId="77777777" w:rsidR="00044387" w:rsidRPr="00044387" w:rsidRDefault="00044387" w:rsidP="00044387">
      <w:r w:rsidRPr="00044387">
        <w:t>Nicholas Wyver</w:t>
      </w:r>
    </w:p>
    <w:p w14:paraId="2A33AFAA" w14:textId="77777777" w:rsidR="00044387" w:rsidRPr="00044387" w:rsidRDefault="00044387" w:rsidP="00044387">
      <w:r w:rsidRPr="00044387">
        <w:lastRenderedPageBreak/>
        <w:t>Naila Yousuf* (from 24/04/25)</w:t>
      </w:r>
    </w:p>
    <w:p w14:paraId="2D5BEED3" w14:textId="1BE6D704" w:rsidR="00044387" w:rsidRPr="00044387" w:rsidRDefault="00044387" w:rsidP="00044387">
      <w:r w:rsidRPr="00044387">
        <w:t>Patrick Barker* (from 24/04/25)</w:t>
      </w:r>
    </w:p>
    <w:p w14:paraId="264F86BF" w14:textId="77777777" w:rsidR="00044387" w:rsidRPr="00044387" w:rsidRDefault="00044387" w:rsidP="00044387"/>
    <w:p w14:paraId="340ED09C" w14:textId="77777777" w:rsidR="00BE13A8" w:rsidRDefault="00D70530">
      <w:r>
        <w:t>* Nominated by the Secretary of State for DCMS and approved by the Board</w:t>
      </w:r>
    </w:p>
    <w:p w14:paraId="58056A87" w14:textId="77777777" w:rsidR="00BE13A8" w:rsidRDefault="00BE13A8"/>
    <w:p w14:paraId="62D499A7" w14:textId="65C452D0" w:rsidR="00BE13A8" w:rsidRDefault="00D70530" w:rsidP="00044387">
      <w:pPr>
        <w:pStyle w:val="Heading3"/>
      </w:pPr>
      <w:r>
        <w:t>Audit &amp; Risk Committee</w:t>
      </w:r>
    </w:p>
    <w:p w14:paraId="111788FE" w14:textId="470FF135" w:rsidR="00BE13A8" w:rsidRDefault="00D70530">
      <w:r>
        <w:t xml:space="preserve">Roma Dibua, Chair </w:t>
      </w:r>
    </w:p>
    <w:p w14:paraId="4EEF2C46" w14:textId="0C26EA52" w:rsidR="00BE13A8" w:rsidRDefault="00D70530">
      <w:r>
        <w:t xml:space="preserve">Mayowa </w:t>
      </w:r>
      <w:proofErr w:type="spellStart"/>
      <w:r>
        <w:t>Ochere</w:t>
      </w:r>
      <w:proofErr w:type="spellEnd"/>
    </w:p>
    <w:p w14:paraId="48825584" w14:textId="05B4F21C" w:rsidR="00BE13A8" w:rsidRDefault="00D70530">
      <w:r>
        <w:t>Nigel Prout</w:t>
      </w:r>
    </w:p>
    <w:p w14:paraId="4B178BDC" w14:textId="09B8CEFA" w:rsidR="00BE13A8" w:rsidRDefault="00D70530">
      <w:r>
        <w:t>Patrick Barker (from 24/04/25)</w:t>
      </w:r>
    </w:p>
    <w:p w14:paraId="60C78314" w14:textId="77777777" w:rsidR="00044387" w:rsidRDefault="00044387"/>
    <w:p w14:paraId="52DAE5A6" w14:textId="32A8E766" w:rsidR="00044387" w:rsidRDefault="00044387" w:rsidP="00044387">
      <w:pPr>
        <w:pStyle w:val="Heading3"/>
      </w:pPr>
      <w:r>
        <w:t>Remuneration Committee</w:t>
      </w:r>
    </w:p>
    <w:p w14:paraId="2DE3C17E" w14:textId="4B348D4A" w:rsidR="00044387" w:rsidRDefault="00044387">
      <w:r>
        <w:t>Michael Salter-Church, Chair</w:t>
      </w:r>
    </w:p>
    <w:p w14:paraId="531F65DC" w14:textId="3DF33E3A" w:rsidR="00044387" w:rsidRDefault="00044387">
      <w:r>
        <w:t xml:space="preserve">Mayowa </w:t>
      </w:r>
      <w:proofErr w:type="spellStart"/>
      <w:r>
        <w:t>Ochere</w:t>
      </w:r>
      <w:proofErr w:type="spellEnd"/>
    </w:p>
    <w:p w14:paraId="05AB028C" w14:textId="6B8EDF16" w:rsidR="00044387" w:rsidRDefault="00044387">
      <w:r>
        <w:t>Eva Appelbaum</w:t>
      </w:r>
    </w:p>
    <w:p w14:paraId="615D47C5" w14:textId="3B47E15F" w:rsidR="00BE13A8" w:rsidRDefault="00BE13A8"/>
    <w:p w14:paraId="52972A08" w14:textId="2B293F34" w:rsidR="00BE13A8" w:rsidRDefault="00D70530" w:rsidP="00044387">
      <w:pPr>
        <w:pStyle w:val="Heading3"/>
      </w:pPr>
      <w:r>
        <w:t>Capital Projects Board</w:t>
      </w:r>
    </w:p>
    <w:p w14:paraId="0C344A1A" w14:textId="0EE91297" w:rsidR="00BE13A8" w:rsidRDefault="00D70530">
      <w:r>
        <w:t>Simon Hesketh, Chair</w:t>
      </w:r>
    </w:p>
    <w:p w14:paraId="4D0B8F14" w14:textId="09153D9B" w:rsidR="00BE13A8" w:rsidRDefault="00D70530">
      <w:r>
        <w:t xml:space="preserve">Nicholas Wyver </w:t>
      </w:r>
    </w:p>
    <w:p w14:paraId="4F7CBE9E" w14:textId="77777777" w:rsidR="00BE13A8" w:rsidRDefault="00D70530">
      <w:r>
        <w:t xml:space="preserve">Naila Yousuf (from 24/04/25) </w:t>
      </w:r>
    </w:p>
    <w:p w14:paraId="7666927A" w14:textId="77777777" w:rsidR="00044387" w:rsidRDefault="00044387"/>
    <w:p w14:paraId="35FFAD31" w14:textId="58D094E3" w:rsidR="00044387" w:rsidRDefault="00044387" w:rsidP="00044387">
      <w:pPr>
        <w:pStyle w:val="Heading3"/>
      </w:pPr>
      <w:r>
        <w:t>Restitution &amp; Repatriation Committee</w:t>
      </w:r>
    </w:p>
    <w:p w14:paraId="2BE5AB01" w14:textId="7E48B69A" w:rsidR="00044387" w:rsidRDefault="00044387">
      <w:r>
        <w:t xml:space="preserve">Roma </w:t>
      </w:r>
      <w:proofErr w:type="spellStart"/>
      <w:r>
        <w:t>Dibua</w:t>
      </w:r>
      <w:proofErr w:type="spellEnd"/>
    </w:p>
    <w:p w14:paraId="73387AEC" w14:textId="6983331D" w:rsidR="00044387" w:rsidRDefault="00044387">
      <w:r>
        <w:t>Edmund Neuberger (from 24/04/25)</w:t>
      </w:r>
    </w:p>
    <w:p w14:paraId="74E4D03A" w14:textId="77777777" w:rsidR="00044387" w:rsidRDefault="00044387"/>
    <w:p w14:paraId="272348C1" w14:textId="5DFAF5EF" w:rsidR="00BE13A8" w:rsidRDefault="00D70530" w:rsidP="00044387">
      <w:pPr>
        <w:pStyle w:val="Heading3"/>
      </w:pPr>
      <w:r>
        <w:t>Chief Executive</w:t>
      </w:r>
    </w:p>
    <w:p w14:paraId="0FAAEBB5" w14:textId="77777777" w:rsidR="00BE13A8" w:rsidRDefault="00D70530">
      <w:pPr>
        <w:rPr>
          <w:color w:val="000000"/>
        </w:rPr>
      </w:pPr>
      <w:r>
        <w:rPr>
          <w:color w:val="000000"/>
        </w:rPr>
        <w:t>Gordon Seabright</w:t>
      </w:r>
    </w:p>
    <w:p w14:paraId="55C41232" w14:textId="77777777" w:rsidR="00044387" w:rsidRDefault="00044387">
      <w:pPr>
        <w:rPr>
          <w:color w:val="000000"/>
        </w:rPr>
      </w:pPr>
    </w:p>
    <w:p w14:paraId="35821CBC" w14:textId="686A6C27" w:rsidR="00BE13A8" w:rsidRDefault="00D70530" w:rsidP="00044387">
      <w:pPr>
        <w:pStyle w:val="Heading3"/>
      </w:pPr>
      <w:r>
        <w:t>Secretary</w:t>
      </w:r>
    </w:p>
    <w:p w14:paraId="5B951B48" w14:textId="77777777" w:rsidR="00BE13A8" w:rsidRDefault="00D70530">
      <w:pPr>
        <w:rPr>
          <w:color w:val="000000"/>
        </w:rPr>
      </w:pPr>
      <w:r>
        <w:rPr>
          <w:color w:val="000000"/>
        </w:rPr>
        <w:t>Michelle Edward</w:t>
      </w:r>
    </w:p>
    <w:p w14:paraId="38300071" w14:textId="77777777" w:rsidR="00BE13A8" w:rsidRDefault="00BE13A8">
      <w:pPr>
        <w:rPr>
          <w:color w:val="000000"/>
        </w:rPr>
      </w:pPr>
    </w:p>
    <w:p w14:paraId="248DD1BC" w14:textId="77777777" w:rsidR="00BE13A8" w:rsidRDefault="00D70530" w:rsidP="00044387">
      <w:pPr>
        <w:pStyle w:val="Heading3"/>
      </w:pPr>
      <w:r>
        <w:t>Bankers:</w:t>
      </w:r>
    </w:p>
    <w:p w14:paraId="6FB3D53D" w14:textId="77777777" w:rsidR="00BE13A8" w:rsidRDefault="00D70530">
      <w:pPr>
        <w:rPr>
          <w:color w:val="000000"/>
        </w:rPr>
      </w:pPr>
      <w:r>
        <w:rPr>
          <w:color w:val="000000"/>
        </w:rPr>
        <w:t xml:space="preserve">Clydesdale Bank, 35 Regent Street, London, SW1Y </w:t>
      </w:r>
      <w:proofErr w:type="gramStart"/>
      <w:r>
        <w:rPr>
          <w:color w:val="000000"/>
        </w:rPr>
        <w:t>4ND</w:t>
      </w:r>
      <w:proofErr w:type="gramEnd"/>
    </w:p>
    <w:p w14:paraId="61086AFC" w14:textId="77777777" w:rsidR="00BE13A8" w:rsidRDefault="00BE13A8">
      <w:pPr>
        <w:rPr>
          <w:color w:val="FF0000"/>
        </w:rPr>
      </w:pPr>
    </w:p>
    <w:p w14:paraId="1AFD400F" w14:textId="77777777" w:rsidR="00BE13A8" w:rsidRDefault="00D70530" w:rsidP="00044387">
      <w:pPr>
        <w:pStyle w:val="Heading3"/>
        <w:rPr>
          <w:color w:val="FF0000"/>
        </w:rPr>
      </w:pPr>
      <w:r>
        <w:t>Solicitors:</w:t>
      </w:r>
    </w:p>
    <w:p w14:paraId="008F3241" w14:textId="77777777" w:rsidR="00BE13A8" w:rsidRDefault="00D70530">
      <w:pPr>
        <w:rPr>
          <w:color w:val="000000"/>
        </w:rPr>
      </w:pPr>
      <w:r>
        <w:rPr>
          <w:color w:val="000000"/>
        </w:rPr>
        <w:t>Bates Wells, 10 Queen Street Place, London, EC4R 1BE</w:t>
      </w:r>
    </w:p>
    <w:p w14:paraId="1087A0F0" w14:textId="77777777" w:rsidR="00BE13A8" w:rsidRDefault="00BE13A8">
      <w:pPr>
        <w:rPr>
          <w:color w:val="FF0000"/>
        </w:rPr>
      </w:pPr>
    </w:p>
    <w:p w14:paraId="3E35C8F1" w14:textId="77777777" w:rsidR="00BE13A8" w:rsidRDefault="00D70530" w:rsidP="00044387">
      <w:pPr>
        <w:pStyle w:val="Heading3"/>
        <w:rPr>
          <w:color w:val="FF0000"/>
        </w:rPr>
      </w:pPr>
      <w:r>
        <w:t>Internal Auditors:</w:t>
      </w:r>
    </w:p>
    <w:p w14:paraId="306A9BE8" w14:textId="77777777" w:rsidR="00BE13A8" w:rsidRDefault="00D70530">
      <w:pPr>
        <w:rPr>
          <w:color w:val="000000"/>
        </w:rPr>
      </w:pPr>
      <w:r>
        <w:rPr>
          <w:color w:val="000000"/>
        </w:rPr>
        <w:t>BDO, 55 Baker Street, London, W1U 7EU</w:t>
      </w:r>
    </w:p>
    <w:p w14:paraId="04EBE70E" w14:textId="77777777" w:rsidR="00BE13A8" w:rsidRDefault="00BE13A8">
      <w:pPr>
        <w:rPr>
          <w:color w:val="000000"/>
        </w:rPr>
      </w:pPr>
    </w:p>
    <w:p w14:paraId="690BBA68" w14:textId="77777777" w:rsidR="00BE13A8" w:rsidRDefault="00D70530" w:rsidP="00044387">
      <w:pPr>
        <w:pStyle w:val="Heading3"/>
      </w:pPr>
      <w:r>
        <w:t>External Auditors:</w:t>
      </w:r>
    </w:p>
    <w:p w14:paraId="01FB1C13" w14:textId="77777777" w:rsidR="00BE13A8" w:rsidRDefault="00D70530">
      <w:pPr>
        <w:rPr>
          <w:color w:val="000000"/>
        </w:rPr>
      </w:pPr>
      <w:r>
        <w:rPr>
          <w:color w:val="000000"/>
        </w:rPr>
        <w:t>Moore Kingston Smith LLP, 6</w:t>
      </w:r>
      <w:r>
        <w:rPr>
          <w:color w:val="000000"/>
          <w:vertAlign w:val="superscript"/>
        </w:rPr>
        <w:t>th</w:t>
      </w:r>
      <w:r>
        <w:rPr>
          <w:color w:val="000000"/>
        </w:rPr>
        <w:t xml:space="preserve"> Floor, 9 Appold Street, London EC2A 2AP</w:t>
      </w:r>
    </w:p>
    <w:p w14:paraId="25167745" w14:textId="77777777" w:rsidR="00BF059B" w:rsidRDefault="00BF059B">
      <w:pPr>
        <w:rPr>
          <w:b/>
        </w:rPr>
      </w:pPr>
    </w:p>
    <w:p w14:paraId="4FA02A49" w14:textId="56C883DB" w:rsidR="00BE13A8" w:rsidRPr="00BF059B" w:rsidRDefault="00D70530" w:rsidP="00BF059B">
      <w:pPr>
        <w:pStyle w:val="Heading2"/>
      </w:pPr>
      <w:r>
        <w:t>The Horniman Museum and Gardens</w:t>
      </w:r>
      <w:r w:rsidR="00BF059B">
        <w:t xml:space="preserve"> - </w:t>
      </w:r>
      <w:r w:rsidRPr="00BF059B">
        <w:t>Trustees’ Annual Report 2024/25</w:t>
      </w:r>
    </w:p>
    <w:p w14:paraId="4E830C0F" w14:textId="77777777" w:rsidR="00BE13A8" w:rsidRDefault="00BE13A8">
      <w:pPr>
        <w:rPr>
          <w:b/>
          <w:i/>
        </w:rPr>
      </w:pPr>
    </w:p>
    <w:p w14:paraId="1472779D" w14:textId="77777777" w:rsidR="00BE13A8" w:rsidRDefault="00D70530" w:rsidP="00BF059B">
      <w:pPr>
        <w:pStyle w:val="Heading3"/>
      </w:pPr>
      <w:r>
        <w:t>Introduction</w:t>
      </w:r>
    </w:p>
    <w:p w14:paraId="0663858D" w14:textId="77777777" w:rsidR="00BE13A8" w:rsidRDefault="00BE13A8"/>
    <w:p w14:paraId="33071896" w14:textId="23086151" w:rsidR="00BE13A8" w:rsidRDefault="00D70530">
      <w:pPr>
        <w:jc w:val="both"/>
      </w:pPr>
      <w:r>
        <w:t xml:space="preserve">The Horniman Museum and Gardens began with a gift from Frederick John Horniman in 1901 to the people in perpetuity comprising the founding collections, the historic building and the Gardens. They were dedicated to the public forever ‘for their recreation, instruction and </w:t>
      </w:r>
      <w:r>
        <w:lastRenderedPageBreak/>
        <w:t>enjoyment’ and were registered as a charity from the outset (The Horniman Museum and Public Park Foundation). This generous gift has grown in both quality and quantity over the last 100 years.</w:t>
      </w:r>
    </w:p>
    <w:p w14:paraId="32470C55" w14:textId="77777777" w:rsidR="00BE13A8" w:rsidRDefault="00BE13A8">
      <w:pPr>
        <w:jc w:val="both"/>
      </w:pPr>
    </w:p>
    <w:p w14:paraId="6AB0EA8C" w14:textId="77777777" w:rsidR="00BE13A8" w:rsidRDefault="00D70530">
      <w:pPr>
        <w:pBdr>
          <w:top w:val="nil"/>
          <w:left w:val="nil"/>
          <w:bottom w:val="nil"/>
          <w:right w:val="nil"/>
          <w:between w:val="nil"/>
        </w:pBdr>
        <w:jc w:val="both"/>
        <w:rPr>
          <w:color w:val="000000"/>
        </w:rPr>
      </w:pPr>
      <w:r>
        <w:rPr>
          <w:color w:val="000000"/>
        </w:rPr>
        <w:t>Our collections are nationally and internationally important, large and diverse. Our Anthropology collection is amongst the most important in the UK; our Musical Instrument collection is the most diverse in the UK. These Designated collections, combined with our spectacular Natural History specimens, our popular Aquarium, our Animal Walk and Butterfly House alongside our 16.5 acres of award-winning Gardens, create a unique opportunity to understand the world around us.</w:t>
      </w:r>
    </w:p>
    <w:p w14:paraId="2022FC9D" w14:textId="77777777" w:rsidR="00BE13A8" w:rsidRDefault="00BE13A8">
      <w:pPr>
        <w:jc w:val="both"/>
      </w:pPr>
    </w:p>
    <w:p w14:paraId="7941E142" w14:textId="77777777" w:rsidR="00BE13A8" w:rsidRDefault="00D70530">
      <w:pPr>
        <w:jc w:val="both"/>
      </w:pPr>
      <w:r>
        <w:t xml:space="preserve">We aim to share the collections and the estate both onsite and online to deliver our founding aims of ‘recreation, instruction and enjoyment’ for a broad public now and into the future. Our primary activities are developing, conserving and interpreting the collections and estate, and providing diverse, inspirational ways for the public to engage with, learn from and interact with them. </w:t>
      </w:r>
    </w:p>
    <w:p w14:paraId="6F6B9317" w14:textId="77777777" w:rsidR="00BE13A8" w:rsidRDefault="00BE13A8">
      <w:pPr>
        <w:jc w:val="both"/>
        <w:rPr>
          <w:b/>
        </w:rPr>
      </w:pPr>
    </w:p>
    <w:p w14:paraId="0CF6CBC6" w14:textId="373DC7A5" w:rsidR="00BE13A8" w:rsidRDefault="00D70530" w:rsidP="00BF059B">
      <w:pPr>
        <w:pStyle w:val="Heading3"/>
      </w:pPr>
      <w:r>
        <w:t>Mission, Values, Behaviours and Priorities</w:t>
      </w:r>
    </w:p>
    <w:p w14:paraId="72F42C7D" w14:textId="77777777" w:rsidR="00BE13A8" w:rsidRDefault="00BE13A8">
      <w:pPr>
        <w:jc w:val="both"/>
        <w:rPr>
          <w:color w:val="000000"/>
        </w:rPr>
      </w:pPr>
    </w:p>
    <w:p w14:paraId="1C5BB524" w14:textId="77777777" w:rsidR="00BE13A8" w:rsidRDefault="00D70530">
      <w:pPr>
        <w:jc w:val="both"/>
      </w:pPr>
      <w:r>
        <w:t>Our mission is central to everything we do, whilst our values shape our work and give the Horniman its unique character as the only museum in London in which nature and culture can be seen side by side, allowing us to engage with interconnected issues such as climate change and migration, in a positive way.</w:t>
      </w:r>
    </w:p>
    <w:p w14:paraId="0540F821" w14:textId="77777777" w:rsidR="00BE13A8" w:rsidRDefault="00BE13A8">
      <w:pPr>
        <w:jc w:val="both"/>
        <w:rPr>
          <w:color w:val="FF0000"/>
        </w:rPr>
      </w:pPr>
    </w:p>
    <w:p w14:paraId="0A117297" w14:textId="77777777" w:rsidR="00BF059B" w:rsidRPr="00BF059B" w:rsidRDefault="00D70530" w:rsidP="00BF059B">
      <w:pPr>
        <w:pStyle w:val="Heading4"/>
      </w:pPr>
      <w:r w:rsidRPr="00BF059B">
        <w:t>Our Mission</w:t>
      </w:r>
    </w:p>
    <w:p w14:paraId="0C96F0CE" w14:textId="77777777" w:rsidR="00BF059B" w:rsidRDefault="00BF059B">
      <w:pPr>
        <w:jc w:val="both"/>
        <w:rPr>
          <w:b/>
        </w:rPr>
      </w:pPr>
    </w:p>
    <w:p w14:paraId="287BB97F" w14:textId="5A65C081" w:rsidR="00BE13A8" w:rsidRDefault="00D70530">
      <w:pPr>
        <w:jc w:val="both"/>
      </w:pPr>
      <w:r>
        <w:t xml:space="preserve">The Horniman connects us all with global cultures and the natural environment, encouraging us to shape a positive future for the world we all share. </w:t>
      </w:r>
    </w:p>
    <w:p w14:paraId="2D87F6C2" w14:textId="77777777" w:rsidR="00BE13A8" w:rsidRDefault="00BE13A8">
      <w:pPr>
        <w:jc w:val="both"/>
      </w:pPr>
    </w:p>
    <w:p w14:paraId="54123E1A" w14:textId="77777777" w:rsidR="00BE13A8" w:rsidRDefault="00D70530" w:rsidP="00BF059B">
      <w:pPr>
        <w:pStyle w:val="Heading4"/>
      </w:pPr>
      <w:r>
        <w:t xml:space="preserve">Our Values </w:t>
      </w:r>
    </w:p>
    <w:p w14:paraId="5AE54C2D" w14:textId="77777777" w:rsidR="00BE13A8" w:rsidRDefault="00BE13A8">
      <w:pPr>
        <w:jc w:val="both"/>
      </w:pPr>
    </w:p>
    <w:p w14:paraId="29A8474C" w14:textId="77777777" w:rsidR="00BE13A8" w:rsidRDefault="00D70530" w:rsidP="00C81FD1">
      <w:pPr>
        <w:numPr>
          <w:ilvl w:val="0"/>
          <w:numId w:val="6"/>
        </w:numPr>
        <w:pBdr>
          <w:top w:val="nil"/>
          <w:left w:val="nil"/>
          <w:bottom w:val="nil"/>
          <w:right w:val="nil"/>
          <w:between w:val="nil"/>
        </w:pBdr>
        <w:spacing w:after="57"/>
        <w:rPr>
          <w:color w:val="000000"/>
        </w:rPr>
      </w:pPr>
      <w:r>
        <w:rPr>
          <w:color w:val="000000"/>
        </w:rPr>
        <w:t xml:space="preserve">We are </w:t>
      </w:r>
      <w:r>
        <w:rPr>
          <w:b/>
          <w:color w:val="000000"/>
        </w:rPr>
        <w:t xml:space="preserve">inclusive </w:t>
      </w:r>
      <w:r>
        <w:rPr>
          <w:color w:val="000000"/>
        </w:rPr>
        <w:t xml:space="preserve">and </w:t>
      </w:r>
      <w:r>
        <w:rPr>
          <w:b/>
          <w:color w:val="000000"/>
        </w:rPr>
        <w:t xml:space="preserve">welcoming </w:t>
      </w:r>
      <w:r>
        <w:rPr>
          <w:color w:val="000000"/>
        </w:rPr>
        <w:t xml:space="preserve">to everyone </w:t>
      </w:r>
    </w:p>
    <w:p w14:paraId="37C3E622" w14:textId="77777777" w:rsidR="00BE13A8" w:rsidRDefault="00D70530" w:rsidP="00C81FD1">
      <w:pPr>
        <w:numPr>
          <w:ilvl w:val="0"/>
          <w:numId w:val="6"/>
        </w:numPr>
        <w:pBdr>
          <w:top w:val="nil"/>
          <w:left w:val="nil"/>
          <w:bottom w:val="nil"/>
          <w:right w:val="nil"/>
          <w:between w:val="nil"/>
        </w:pBdr>
        <w:spacing w:after="57"/>
        <w:rPr>
          <w:color w:val="000000"/>
        </w:rPr>
      </w:pPr>
      <w:r>
        <w:rPr>
          <w:color w:val="000000"/>
        </w:rPr>
        <w:t xml:space="preserve">We are </w:t>
      </w:r>
      <w:r>
        <w:rPr>
          <w:b/>
          <w:color w:val="000000"/>
        </w:rPr>
        <w:t xml:space="preserve">caring </w:t>
      </w:r>
      <w:r>
        <w:rPr>
          <w:color w:val="000000"/>
        </w:rPr>
        <w:t xml:space="preserve">and </w:t>
      </w:r>
      <w:r>
        <w:rPr>
          <w:b/>
          <w:color w:val="000000"/>
        </w:rPr>
        <w:t xml:space="preserve">respectful </w:t>
      </w:r>
      <w:r>
        <w:rPr>
          <w:color w:val="000000"/>
        </w:rPr>
        <w:t xml:space="preserve">towards each other, our visitors and all our stakeholders </w:t>
      </w:r>
    </w:p>
    <w:p w14:paraId="716070AE" w14:textId="77777777" w:rsidR="00BE13A8" w:rsidRDefault="00D70530" w:rsidP="00C81FD1">
      <w:pPr>
        <w:numPr>
          <w:ilvl w:val="0"/>
          <w:numId w:val="6"/>
        </w:numPr>
        <w:pBdr>
          <w:top w:val="nil"/>
          <w:left w:val="nil"/>
          <w:bottom w:val="nil"/>
          <w:right w:val="nil"/>
          <w:between w:val="nil"/>
        </w:pBdr>
        <w:rPr>
          <w:color w:val="000000"/>
        </w:rPr>
      </w:pPr>
      <w:r>
        <w:rPr>
          <w:color w:val="000000"/>
        </w:rPr>
        <w:t xml:space="preserve">We are </w:t>
      </w:r>
      <w:r>
        <w:rPr>
          <w:b/>
          <w:color w:val="000000"/>
        </w:rPr>
        <w:t>friendly</w:t>
      </w:r>
      <w:r>
        <w:rPr>
          <w:color w:val="000000"/>
        </w:rPr>
        <w:t xml:space="preserve">, open and positive, embracing collaboration and fresh ways of thinking. </w:t>
      </w:r>
    </w:p>
    <w:p w14:paraId="1BCFA43F" w14:textId="77777777" w:rsidR="00BE13A8" w:rsidRDefault="00BE13A8">
      <w:pPr>
        <w:pBdr>
          <w:top w:val="nil"/>
          <w:left w:val="nil"/>
          <w:bottom w:val="nil"/>
          <w:right w:val="nil"/>
          <w:between w:val="nil"/>
        </w:pBdr>
        <w:ind w:left="720"/>
        <w:rPr>
          <w:color w:val="000000"/>
        </w:rPr>
      </w:pPr>
    </w:p>
    <w:p w14:paraId="1BD8EA1E" w14:textId="77777777" w:rsidR="00BF059B" w:rsidRDefault="00BF059B" w:rsidP="00BF059B">
      <w:pPr>
        <w:textDirection w:val="btLr"/>
        <w:rPr>
          <w:b/>
          <w:i/>
          <w:color w:val="000000"/>
        </w:rPr>
      </w:pPr>
    </w:p>
    <w:p w14:paraId="2C0C5D22" w14:textId="6B9A4E5F" w:rsidR="00BF059B" w:rsidRPr="00BF059B" w:rsidRDefault="00BF059B" w:rsidP="00BF059B">
      <w:pPr>
        <w:textDirection w:val="btLr"/>
        <w:rPr>
          <w:iCs/>
        </w:rPr>
      </w:pPr>
      <w:r w:rsidRPr="00BF059B">
        <w:rPr>
          <w:b/>
          <w:iCs/>
          <w:color w:val="000000"/>
        </w:rPr>
        <w:t>‘</w:t>
      </w:r>
      <w:r w:rsidRPr="00BF059B">
        <w:rPr>
          <w:iCs/>
          <w:color w:val="000000"/>
        </w:rPr>
        <w:t xml:space="preserve">If you’ve never been to the Horniman you really should. It’s a gem of a museum.’ </w:t>
      </w:r>
    </w:p>
    <w:p w14:paraId="715DB99D" w14:textId="77777777" w:rsidR="00BF059B" w:rsidRPr="00BF059B" w:rsidRDefault="00BF059B" w:rsidP="00BF059B">
      <w:pPr>
        <w:textDirection w:val="btLr"/>
        <w:rPr>
          <w:b/>
          <w:bCs/>
        </w:rPr>
      </w:pPr>
      <w:proofErr w:type="spellStart"/>
      <w:r w:rsidRPr="00BF059B">
        <w:rPr>
          <w:b/>
          <w:bCs/>
          <w:color w:val="000000"/>
        </w:rPr>
        <w:t>Jumoké</w:t>
      </w:r>
      <w:proofErr w:type="spellEnd"/>
      <w:r w:rsidRPr="00BF059B">
        <w:rPr>
          <w:b/>
          <w:bCs/>
          <w:color w:val="000000"/>
        </w:rPr>
        <w:t xml:space="preserve"> Fashola, BBC Radio London  </w:t>
      </w:r>
    </w:p>
    <w:p w14:paraId="76A3403F" w14:textId="77777777" w:rsidR="00BE13A8" w:rsidRDefault="00BE13A8">
      <w:pPr>
        <w:rPr>
          <w:b/>
          <w:color w:val="000000"/>
        </w:rPr>
      </w:pPr>
    </w:p>
    <w:p w14:paraId="6FE4AB3E" w14:textId="77777777" w:rsidR="00BE13A8" w:rsidRDefault="00D70530" w:rsidP="00BF059B">
      <w:pPr>
        <w:pStyle w:val="Heading4"/>
      </w:pPr>
      <w:r>
        <w:t xml:space="preserve">Our Behaviours </w:t>
      </w:r>
    </w:p>
    <w:p w14:paraId="328A5B31" w14:textId="77777777" w:rsidR="00BE13A8" w:rsidRDefault="00BE13A8"/>
    <w:p w14:paraId="00D92F69" w14:textId="77777777" w:rsidR="00BE13A8" w:rsidRDefault="00D70530" w:rsidP="00C81FD1">
      <w:pPr>
        <w:numPr>
          <w:ilvl w:val="0"/>
          <w:numId w:val="8"/>
        </w:numPr>
        <w:pBdr>
          <w:top w:val="nil"/>
          <w:left w:val="nil"/>
          <w:bottom w:val="nil"/>
          <w:right w:val="nil"/>
          <w:between w:val="nil"/>
        </w:pBdr>
        <w:spacing w:after="57"/>
        <w:rPr>
          <w:color w:val="000000"/>
        </w:rPr>
      </w:pPr>
      <w:r>
        <w:rPr>
          <w:color w:val="000000"/>
        </w:rPr>
        <w:t xml:space="preserve">Amplifying diverse voices, histories, and perspectives </w:t>
      </w:r>
    </w:p>
    <w:p w14:paraId="26FC82FF" w14:textId="77777777" w:rsidR="00BE13A8" w:rsidRDefault="00D70530" w:rsidP="00C81FD1">
      <w:pPr>
        <w:numPr>
          <w:ilvl w:val="0"/>
          <w:numId w:val="8"/>
        </w:numPr>
        <w:pBdr>
          <w:top w:val="nil"/>
          <w:left w:val="nil"/>
          <w:bottom w:val="nil"/>
          <w:right w:val="nil"/>
          <w:between w:val="nil"/>
        </w:pBdr>
        <w:spacing w:after="57"/>
        <w:rPr>
          <w:color w:val="000000"/>
        </w:rPr>
      </w:pPr>
      <w:r>
        <w:rPr>
          <w:color w:val="000000"/>
        </w:rPr>
        <w:t xml:space="preserve">Being environmentally sustainable and encouraging biodiversity </w:t>
      </w:r>
    </w:p>
    <w:p w14:paraId="403A3ECA" w14:textId="77777777" w:rsidR="00BE13A8" w:rsidRDefault="00D70530" w:rsidP="00C81FD1">
      <w:pPr>
        <w:numPr>
          <w:ilvl w:val="0"/>
          <w:numId w:val="8"/>
        </w:numPr>
        <w:pBdr>
          <w:top w:val="nil"/>
          <w:left w:val="nil"/>
          <w:bottom w:val="nil"/>
          <w:right w:val="nil"/>
          <w:between w:val="nil"/>
        </w:pBdr>
        <w:spacing w:after="57"/>
        <w:rPr>
          <w:color w:val="000000"/>
        </w:rPr>
      </w:pPr>
      <w:r>
        <w:rPr>
          <w:color w:val="000000"/>
        </w:rPr>
        <w:t xml:space="preserve">Communicating clearly and with warmth </w:t>
      </w:r>
    </w:p>
    <w:p w14:paraId="15879BAC" w14:textId="77777777" w:rsidR="00BE13A8" w:rsidRDefault="00D70530" w:rsidP="00C81FD1">
      <w:pPr>
        <w:numPr>
          <w:ilvl w:val="0"/>
          <w:numId w:val="8"/>
        </w:numPr>
        <w:pBdr>
          <w:top w:val="nil"/>
          <w:left w:val="nil"/>
          <w:bottom w:val="nil"/>
          <w:right w:val="nil"/>
          <w:between w:val="nil"/>
        </w:pBdr>
        <w:rPr>
          <w:color w:val="000000"/>
        </w:rPr>
      </w:pPr>
      <w:r>
        <w:rPr>
          <w:color w:val="000000"/>
        </w:rPr>
        <w:t xml:space="preserve">Encouraging creativity and enterprise. </w:t>
      </w:r>
    </w:p>
    <w:p w14:paraId="58C42EA2" w14:textId="77777777" w:rsidR="00BE13A8" w:rsidRDefault="00BE13A8">
      <w:pPr>
        <w:rPr>
          <w:b/>
        </w:rPr>
      </w:pPr>
    </w:p>
    <w:p w14:paraId="546AB595" w14:textId="7ACF6352" w:rsidR="00BE13A8" w:rsidRPr="00BF059B" w:rsidRDefault="00D70530" w:rsidP="00BF059B">
      <w:pPr>
        <w:pStyle w:val="Heading4"/>
      </w:pPr>
      <w:r>
        <w:t xml:space="preserve">Our Priorities </w:t>
      </w:r>
    </w:p>
    <w:p w14:paraId="1CC50899" w14:textId="68FADBCE" w:rsidR="00BE13A8" w:rsidRDefault="00D70530">
      <w:r>
        <w:lastRenderedPageBreak/>
        <w:t xml:space="preserve">Priorities for 2025/26 are outlined in our Corporate Plan 2025-28 which can be found on our website at </w:t>
      </w:r>
      <w:hyperlink r:id="rId8">
        <w:r>
          <w:rPr>
            <w:color w:val="0000FF"/>
            <w:u w:val="single"/>
          </w:rPr>
          <w:t>horniman.ac.uk</w:t>
        </w:r>
      </w:hyperlink>
    </w:p>
    <w:p w14:paraId="4DE78589" w14:textId="77777777" w:rsidR="00BE13A8" w:rsidRDefault="00BE13A8">
      <w:pPr>
        <w:jc w:val="both"/>
        <w:rPr>
          <w:b/>
        </w:rPr>
      </w:pPr>
    </w:p>
    <w:p w14:paraId="45FABC33" w14:textId="77777777" w:rsidR="00BE13A8" w:rsidRDefault="00D70530" w:rsidP="00C81FD1">
      <w:pPr>
        <w:numPr>
          <w:ilvl w:val="0"/>
          <w:numId w:val="31"/>
        </w:numPr>
        <w:pBdr>
          <w:top w:val="nil"/>
          <w:left w:val="nil"/>
          <w:bottom w:val="nil"/>
          <w:right w:val="nil"/>
          <w:between w:val="nil"/>
        </w:pBdr>
        <w:spacing w:line="249" w:lineRule="auto"/>
        <w:jc w:val="both"/>
        <w:rPr>
          <w:color w:val="000000"/>
        </w:rPr>
      </w:pPr>
      <w:r>
        <w:rPr>
          <w:b/>
          <w:color w:val="000000"/>
        </w:rPr>
        <w:t>Empowering teams:</w:t>
      </w:r>
      <w:r>
        <w:rPr>
          <w:color w:val="000000"/>
        </w:rPr>
        <w:t xml:space="preserve"> enabling staff at all levels to influence decision making and fostering a culture of cross-team collaboration that can move at pace with new ideas and address challenges supportively.  The significance of this, and the effort that will be required, should not be underestimated.  But through a refreshed approach we can make our other priorities more attainable:</w:t>
      </w:r>
    </w:p>
    <w:p w14:paraId="3F12CBCA" w14:textId="77777777" w:rsidR="00BE13A8" w:rsidRDefault="00D70530" w:rsidP="00C81FD1">
      <w:pPr>
        <w:numPr>
          <w:ilvl w:val="0"/>
          <w:numId w:val="31"/>
        </w:numPr>
        <w:pBdr>
          <w:top w:val="nil"/>
          <w:left w:val="nil"/>
          <w:bottom w:val="nil"/>
          <w:right w:val="nil"/>
          <w:between w:val="nil"/>
        </w:pBdr>
        <w:spacing w:line="259" w:lineRule="auto"/>
        <w:jc w:val="both"/>
        <w:rPr>
          <w:color w:val="000000"/>
        </w:rPr>
      </w:pPr>
      <w:r>
        <w:rPr>
          <w:b/>
          <w:color w:val="000000"/>
        </w:rPr>
        <w:t>Diversity:</w:t>
      </w:r>
      <w:r>
        <w:rPr>
          <w:color w:val="000000"/>
        </w:rPr>
        <w:t xml:space="preserve"> engaging and listening to diverse audiences, indigenous source and diaspora communities, staff, volunteers and partners, taking active steps towards decolonisation, equity and inclusion.</w:t>
      </w:r>
    </w:p>
    <w:p w14:paraId="4F20E75D" w14:textId="77777777" w:rsidR="00BE13A8" w:rsidRDefault="00D70530" w:rsidP="00C81FD1">
      <w:pPr>
        <w:numPr>
          <w:ilvl w:val="0"/>
          <w:numId w:val="31"/>
        </w:numPr>
        <w:pBdr>
          <w:top w:val="nil"/>
          <w:left w:val="nil"/>
          <w:bottom w:val="nil"/>
          <w:right w:val="nil"/>
          <w:between w:val="nil"/>
        </w:pBdr>
        <w:spacing w:after="5" w:line="249" w:lineRule="auto"/>
        <w:jc w:val="both"/>
        <w:rPr>
          <w:color w:val="000000"/>
        </w:rPr>
      </w:pPr>
      <w:r>
        <w:rPr>
          <w:b/>
          <w:color w:val="000000"/>
        </w:rPr>
        <w:t xml:space="preserve">Environmental and social impact: </w:t>
      </w:r>
      <w:r>
        <w:rPr>
          <w:color w:val="000000"/>
        </w:rPr>
        <w:t>making a positive difference to people and the planet through our activity and projects, particularly the Nature + Love capital project.</w:t>
      </w:r>
    </w:p>
    <w:p w14:paraId="3C58B29A" w14:textId="77777777" w:rsidR="00BE13A8" w:rsidRDefault="00D70530" w:rsidP="00C81FD1">
      <w:pPr>
        <w:numPr>
          <w:ilvl w:val="0"/>
          <w:numId w:val="31"/>
        </w:numPr>
        <w:pBdr>
          <w:top w:val="nil"/>
          <w:left w:val="nil"/>
          <w:bottom w:val="nil"/>
          <w:right w:val="nil"/>
          <w:between w:val="nil"/>
        </w:pBdr>
        <w:spacing w:after="5" w:line="249" w:lineRule="auto"/>
        <w:jc w:val="both"/>
        <w:rPr>
          <w:color w:val="000000"/>
        </w:rPr>
      </w:pPr>
      <w:r>
        <w:rPr>
          <w:b/>
          <w:color w:val="000000"/>
        </w:rPr>
        <w:t xml:space="preserve">Digital transformation: </w:t>
      </w:r>
      <w:r>
        <w:rPr>
          <w:color w:val="000000"/>
        </w:rPr>
        <w:t>investing in staff’s digital training, development and literacy alongside digital infrastructure to enable greater ambition, efficiency and security.</w:t>
      </w:r>
    </w:p>
    <w:p w14:paraId="31C8934A" w14:textId="77777777" w:rsidR="00BE13A8" w:rsidRDefault="00D70530" w:rsidP="00C81FD1">
      <w:pPr>
        <w:numPr>
          <w:ilvl w:val="0"/>
          <w:numId w:val="31"/>
        </w:numPr>
        <w:pBdr>
          <w:top w:val="nil"/>
          <w:left w:val="nil"/>
          <w:bottom w:val="nil"/>
          <w:right w:val="nil"/>
          <w:between w:val="nil"/>
        </w:pBdr>
        <w:spacing w:after="5" w:line="249" w:lineRule="auto"/>
        <w:jc w:val="both"/>
        <w:rPr>
          <w:color w:val="000000"/>
        </w:rPr>
      </w:pPr>
      <w:r>
        <w:rPr>
          <w:b/>
          <w:color w:val="000000"/>
        </w:rPr>
        <w:t>Income generation:</w:t>
      </w:r>
      <w:r>
        <w:rPr>
          <w:color w:val="000000"/>
        </w:rPr>
        <w:t xml:space="preserve"> building creative and profitable activities to enable all our work, greater relevance and business resilience.</w:t>
      </w:r>
    </w:p>
    <w:p w14:paraId="57D94D40" w14:textId="77777777" w:rsidR="00BE13A8" w:rsidRDefault="00BE13A8">
      <w:pPr>
        <w:jc w:val="both"/>
        <w:rPr>
          <w:i/>
        </w:rPr>
      </w:pPr>
    </w:p>
    <w:p w14:paraId="46756E6F" w14:textId="77777777" w:rsidR="00BE13A8" w:rsidRDefault="00D70530" w:rsidP="00BF059B">
      <w:pPr>
        <w:pStyle w:val="Heading3"/>
      </w:pPr>
      <w:r>
        <w:t>Public Benefit</w:t>
      </w:r>
    </w:p>
    <w:p w14:paraId="221A7E87" w14:textId="77777777" w:rsidR="00BE13A8" w:rsidRDefault="00BE13A8"/>
    <w:p w14:paraId="6D74D197" w14:textId="77777777" w:rsidR="00BE13A8" w:rsidRDefault="00D70530">
      <w:pPr>
        <w:jc w:val="both"/>
        <w:rPr>
          <w:b/>
        </w:rPr>
      </w:pPr>
      <w:r>
        <w:t>The Trustees confirm that they comply with their duty to have regard to the guidance on public benefit published by the Charity Commission in exercising their powers and duties as outlined further in this report.</w:t>
      </w:r>
    </w:p>
    <w:p w14:paraId="359971D0" w14:textId="77777777" w:rsidR="00BE13A8" w:rsidRDefault="00BE13A8"/>
    <w:p w14:paraId="3C9122A9" w14:textId="77777777" w:rsidR="00BF059B" w:rsidRPr="00BF059B" w:rsidRDefault="00BF059B" w:rsidP="00BF059B">
      <w:pPr>
        <w:textDirection w:val="btLr"/>
        <w:rPr>
          <w:iCs/>
        </w:rPr>
      </w:pPr>
      <w:r w:rsidRPr="00BF059B">
        <w:rPr>
          <w:iCs/>
          <w:color w:val="000000"/>
        </w:rPr>
        <w:t>‘The Horniman is a rite of passage for south-London families. It’s a lovely, manageable size, has a wildly diverse collection and its setting is beautiful.’</w:t>
      </w:r>
    </w:p>
    <w:p w14:paraId="26EB7BD9" w14:textId="77777777" w:rsidR="00BF059B" w:rsidRDefault="00BF059B" w:rsidP="00BF059B">
      <w:pPr>
        <w:textDirection w:val="btLr"/>
      </w:pPr>
      <w:r>
        <w:rPr>
          <w:b/>
          <w:color w:val="000000"/>
        </w:rPr>
        <w:t>Time Out</w:t>
      </w:r>
    </w:p>
    <w:p w14:paraId="29DF055E" w14:textId="77777777" w:rsidR="00BE13A8" w:rsidRDefault="00BE13A8">
      <w:pPr>
        <w:rPr>
          <w:b/>
        </w:rPr>
      </w:pPr>
    </w:p>
    <w:p w14:paraId="6BDDA4AA" w14:textId="77777777" w:rsidR="00BE13A8" w:rsidRDefault="00D70530" w:rsidP="00BF059B">
      <w:pPr>
        <w:pStyle w:val="Heading2"/>
      </w:pPr>
      <w:r>
        <w:t>Strategic Report</w:t>
      </w:r>
    </w:p>
    <w:p w14:paraId="3102EC78" w14:textId="77777777" w:rsidR="00BE13A8" w:rsidRDefault="00BE13A8"/>
    <w:p w14:paraId="583681D9" w14:textId="77777777" w:rsidR="00BE13A8" w:rsidRDefault="00D70530">
      <w:pPr>
        <w:pBdr>
          <w:top w:val="nil"/>
          <w:left w:val="nil"/>
          <w:bottom w:val="nil"/>
          <w:right w:val="nil"/>
          <w:between w:val="nil"/>
        </w:pBdr>
        <w:jc w:val="both"/>
        <w:rPr>
          <w:color w:val="000000"/>
        </w:rPr>
      </w:pPr>
      <w:r>
        <w:rPr>
          <w:color w:val="000000"/>
        </w:rPr>
        <w:t>Both at the Museum site in Forest Hill and the Study Collection Centre (SCC) in Greenwich, the Nature + Love project dominated work plans for many staff. We continued to work with a team of external designers and consultants on t</w:t>
      </w:r>
      <w:r>
        <w:rPr>
          <w:color w:val="000000"/>
          <w:highlight w:val="white"/>
        </w:rPr>
        <w:t>his transformational re-development project, which will make the Horniman more inclusive and accessible. To prioritise the climate and biodiversity emergency, the project will create</w:t>
      </w:r>
      <w:r>
        <w:rPr>
          <w:color w:val="000000"/>
        </w:rPr>
        <w:t xml:space="preserve"> three exciting new attractions:</w:t>
      </w:r>
    </w:p>
    <w:p w14:paraId="3E203BE5" w14:textId="77777777" w:rsidR="00BE13A8" w:rsidRDefault="00D70530" w:rsidP="00C81FD1">
      <w:pPr>
        <w:numPr>
          <w:ilvl w:val="0"/>
          <w:numId w:val="32"/>
        </w:numPr>
        <w:pBdr>
          <w:top w:val="nil"/>
          <w:left w:val="nil"/>
          <w:bottom w:val="nil"/>
          <w:right w:val="nil"/>
          <w:between w:val="nil"/>
        </w:pBdr>
        <w:jc w:val="both"/>
      </w:pPr>
      <w:r>
        <w:rPr>
          <w:color w:val="000000"/>
        </w:rPr>
        <w:t xml:space="preserve">A nature-themed play area and children’s café, </w:t>
      </w:r>
    </w:p>
    <w:p w14:paraId="75A6A6C4" w14:textId="58FF9FA6" w:rsidR="00BE13A8" w:rsidRDefault="00D70530" w:rsidP="00C81FD1">
      <w:pPr>
        <w:numPr>
          <w:ilvl w:val="0"/>
          <w:numId w:val="32"/>
        </w:numPr>
        <w:pBdr>
          <w:top w:val="nil"/>
          <w:left w:val="nil"/>
          <w:bottom w:val="nil"/>
          <w:right w:val="nil"/>
          <w:between w:val="nil"/>
        </w:pBdr>
        <w:jc w:val="both"/>
      </w:pPr>
      <w:r>
        <w:rPr>
          <w:color w:val="000000"/>
        </w:rPr>
        <w:t>A</w:t>
      </w:r>
      <w:r w:rsidR="00BF059B">
        <w:rPr>
          <w:color w:val="000000"/>
        </w:rPr>
        <w:t xml:space="preserve"> </w:t>
      </w:r>
      <w:r>
        <w:rPr>
          <w:color w:val="000000"/>
        </w:rPr>
        <w:t>Sustainable Gardening Zone</w:t>
      </w:r>
      <w:r w:rsidR="00BF059B">
        <w:rPr>
          <w:color w:val="000000"/>
        </w:rPr>
        <w:t xml:space="preserve"> </w:t>
      </w:r>
      <w:r>
        <w:rPr>
          <w:color w:val="000000"/>
        </w:rPr>
        <w:t>with new plant nursery,</w:t>
      </w:r>
    </w:p>
    <w:p w14:paraId="1558A098" w14:textId="4D375211" w:rsidR="00BE13A8" w:rsidRDefault="00D70530" w:rsidP="00C81FD1">
      <w:pPr>
        <w:numPr>
          <w:ilvl w:val="0"/>
          <w:numId w:val="32"/>
        </w:numPr>
        <w:pBdr>
          <w:top w:val="nil"/>
          <w:left w:val="nil"/>
          <w:bottom w:val="nil"/>
          <w:right w:val="nil"/>
          <w:between w:val="nil"/>
        </w:pBdr>
        <w:jc w:val="both"/>
      </w:pPr>
      <w:r>
        <w:rPr>
          <w:color w:val="000000"/>
        </w:rPr>
        <w:t>A redisplayed</w:t>
      </w:r>
      <w:r w:rsidR="00BF059B">
        <w:rPr>
          <w:color w:val="000000"/>
        </w:rPr>
        <w:t xml:space="preserve"> </w:t>
      </w:r>
      <w:r>
        <w:rPr>
          <w:color w:val="000000"/>
        </w:rPr>
        <w:t>Nature Gallery.</w:t>
      </w:r>
    </w:p>
    <w:p w14:paraId="0415B692" w14:textId="77777777" w:rsidR="00BE13A8" w:rsidRDefault="00BE13A8">
      <w:pPr>
        <w:pBdr>
          <w:top w:val="nil"/>
          <w:left w:val="nil"/>
          <w:bottom w:val="nil"/>
          <w:right w:val="nil"/>
          <w:between w:val="nil"/>
        </w:pBdr>
        <w:ind w:left="720"/>
        <w:jc w:val="both"/>
        <w:rPr>
          <w:color w:val="000000"/>
        </w:rPr>
      </w:pPr>
    </w:p>
    <w:p w14:paraId="5009C03A" w14:textId="77777777" w:rsidR="00BE13A8" w:rsidRDefault="00D70530">
      <w:pPr>
        <w:pBdr>
          <w:top w:val="nil"/>
          <w:left w:val="nil"/>
          <w:bottom w:val="nil"/>
          <w:right w:val="nil"/>
          <w:between w:val="nil"/>
        </w:pBdr>
        <w:shd w:val="clear" w:color="auto" w:fill="FFFFFF"/>
        <w:spacing w:after="240"/>
        <w:jc w:val="both"/>
        <w:rPr>
          <w:color w:val="000000"/>
        </w:rPr>
      </w:pPr>
      <w:r>
        <w:rPr>
          <w:color w:val="000000"/>
        </w:rPr>
        <w:t>During 2024-25 we progressed from project development to delivery, with the three main delivery contracts tendered during the year. Two of these tenders came in significantly over budget, so several months were spent working on value engineering and sourcing an uplift of an additional £982k in support from the National Lottery Heritage Fund</w:t>
      </w:r>
      <w:r>
        <w:rPr>
          <w:b/>
          <w:color w:val="000000"/>
        </w:rPr>
        <w:t xml:space="preserve"> (</w:t>
      </w:r>
      <w:r>
        <w:rPr>
          <w:color w:val="000000"/>
        </w:rPr>
        <w:t>NLHF), for which we are extremely grateful. Construction work started at the beginning of 2025 and the gallery refurbishment and the landscape / new build projects are now well underway.</w:t>
      </w:r>
    </w:p>
    <w:p w14:paraId="21204BF6" w14:textId="77777777" w:rsidR="00BE13A8" w:rsidRDefault="00D70530">
      <w:pPr>
        <w:jc w:val="both"/>
      </w:pPr>
      <w:r>
        <w:t xml:space="preserve">Alongside Nature + Love, many other capital projects continued. We were pleased to welcome a new Trustee: Rod Taylor to the Horniman Board in February 2025 and three new Trustees: Naila Yousuf, Edmund Neuberger and Patrick Barker to the Horniman Board in April 2025. We also welcomed our new 2025 Boardroom Apprentice. Meanwhile there were </w:t>
      </w:r>
      <w:r>
        <w:lastRenderedPageBreak/>
        <w:t>significant changes to the Executive Team, with the arrival of a new Chief Executive and three new Directors to the Senior Management Team.</w:t>
      </w:r>
    </w:p>
    <w:p w14:paraId="6F0EDC81" w14:textId="77777777" w:rsidR="00BE13A8" w:rsidRDefault="00BE13A8">
      <w:pPr>
        <w:jc w:val="both"/>
      </w:pPr>
    </w:p>
    <w:p w14:paraId="282E2D49" w14:textId="77777777" w:rsidR="00BE13A8" w:rsidRDefault="00D70530">
      <w:pPr>
        <w:jc w:val="both"/>
      </w:pPr>
      <w:r>
        <w:t xml:space="preserve">We had another busy and successful year of fundraising, with generous grants being gratefully received for Nature + Love and other important projects, plus the launch of a legacy scheme. </w:t>
      </w:r>
    </w:p>
    <w:p w14:paraId="0E8C1D11" w14:textId="77777777" w:rsidR="00BE13A8" w:rsidRDefault="00BE13A8">
      <w:pPr>
        <w:jc w:val="both"/>
      </w:pPr>
    </w:p>
    <w:p w14:paraId="3043DCF5" w14:textId="5E543CFA" w:rsidR="00BE13A8" w:rsidRDefault="00D70530">
      <w:pPr>
        <w:jc w:val="both"/>
      </w:pPr>
      <w:r>
        <w:t>Despite the closure of our Natural History Gallery, the team worked hard to ensure that visitors had plenty to enjoy. Two new displays were added to the World Gallery; ‘All Eyes on Her!’, about the lives of Egyptian women, and ‘Great Kingdom of Benin’, a product of our restitution and repatriation work with partners in Nigeria and the Nigerian community in London.  Another repatriation that was a highlight of the year was the return of a number of treasures to the Warumungu community of the Northern Territory, Australia.</w:t>
      </w:r>
    </w:p>
    <w:p w14:paraId="36807D4B" w14:textId="77777777" w:rsidR="00BE13A8" w:rsidRDefault="00BE13A8">
      <w:pPr>
        <w:jc w:val="both"/>
      </w:pPr>
    </w:p>
    <w:p w14:paraId="7A537B5D" w14:textId="77777777" w:rsidR="00BE13A8" w:rsidRDefault="00D70530">
      <w:pPr>
        <w:pBdr>
          <w:top w:val="nil"/>
          <w:left w:val="nil"/>
          <w:bottom w:val="nil"/>
          <w:right w:val="nil"/>
          <w:between w:val="nil"/>
        </w:pBdr>
        <w:jc w:val="both"/>
        <w:rPr>
          <w:color w:val="000000"/>
        </w:rPr>
      </w:pPr>
      <w:r>
        <w:rPr>
          <w:color w:val="000000"/>
        </w:rPr>
        <w:t xml:space="preserve">On site we secured a loan of David Shrigley’s sculpture The Mantis Muse. A programme of public engagement events was built around its stay in the Conservatory. The Mantis Muse provided a wonderful opportunity for storytelling and helped to attract visitors during the important Easter season.  </w:t>
      </w:r>
    </w:p>
    <w:p w14:paraId="6FB085CF" w14:textId="77777777" w:rsidR="00BE13A8" w:rsidRDefault="00BE13A8">
      <w:pPr>
        <w:pBdr>
          <w:top w:val="nil"/>
          <w:left w:val="nil"/>
          <w:bottom w:val="nil"/>
          <w:right w:val="nil"/>
          <w:between w:val="nil"/>
        </w:pBdr>
        <w:jc w:val="both"/>
        <w:rPr>
          <w:color w:val="FF0000"/>
        </w:rPr>
      </w:pPr>
    </w:p>
    <w:p w14:paraId="620A4D1C" w14:textId="77777777" w:rsidR="00BE13A8" w:rsidRDefault="00D70530">
      <w:pPr>
        <w:jc w:val="both"/>
      </w:pPr>
      <w:r>
        <w:t xml:space="preserve">A new catering partner was appointed to improve the visitor experience. Colicci was appointed and closed the café for six and a half weeks for refurbishment during the spring/summer period. It reopened in July 2025 to positive reviews with a new and exciting full menu offering. </w:t>
      </w:r>
    </w:p>
    <w:p w14:paraId="403D0F34" w14:textId="77777777" w:rsidR="00BE13A8" w:rsidRDefault="00BE13A8">
      <w:pPr>
        <w:jc w:val="both"/>
        <w:rPr>
          <w:color w:val="FF0000"/>
        </w:rPr>
      </w:pPr>
    </w:p>
    <w:p w14:paraId="017D042D" w14:textId="77777777" w:rsidR="00BE13A8" w:rsidRDefault="00D70530">
      <w:pPr>
        <w:jc w:val="both"/>
      </w:pPr>
      <w:r>
        <w:t xml:space="preserve">The Estates team with support from across the organisation, delivered several capital projects, including the upgrade of staff welfare areas across the site, the refurbishment of our Compost area, the repair of site drainage at our Study Collections Centre, and critical firestopping work at our Forest Hill site, using much needed capital funding from the Department for Culture, Media and Sport (DCMS). </w:t>
      </w:r>
    </w:p>
    <w:p w14:paraId="79F2C319" w14:textId="77777777" w:rsidR="00BF059B" w:rsidRDefault="00BF059B">
      <w:pPr>
        <w:jc w:val="both"/>
      </w:pPr>
    </w:p>
    <w:p w14:paraId="3415F45C" w14:textId="77777777" w:rsidR="00BE13A8" w:rsidRDefault="00D70530">
      <w:pPr>
        <w:jc w:val="both"/>
      </w:pPr>
      <w:bookmarkStart w:id="0" w:name="_heading=h.30jho1ujiax6" w:colFirst="0" w:colLast="0"/>
      <w:bookmarkEnd w:id="0"/>
      <w:r>
        <w:t xml:space="preserve">We were delighted to receive several awards and nominations during the year. </w:t>
      </w:r>
      <w:r>
        <w:rPr>
          <w:b/>
        </w:rPr>
        <w:t>London in Bloom 2024</w:t>
      </w:r>
      <w:r>
        <w:t xml:space="preserve"> awarded the Horniman Gardens ‘</w:t>
      </w:r>
      <w:r>
        <w:rPr>
          <w:b/>
        </w:rPr>
        <w:t>The Best Heritage Park and Garden’</w:t>
      </w:r>
      <w:r>
        <w:t xml:space="preserve">, winning Gold and being the category winner for the fourth year running. Our Secondary School Programme won </w:t>
      </w:r>
      <w:r>
        <w:rPr>
          <w:b/>
        </w:rPr>
        <w:t>Learning Programme of the Year 2024</w:t>
      </w:r>
      <w:r>
        <w:t xml:space="preserve"> and was shortlisted for </w:t>
      </w:r>
      <w:r>
        <w:rPr>
          <w:b/>
        </w:rPr>
        <w:t xml:space="preserve">Temporary or Touring Exhibition of the Year – budget less than £80k </w:t>
      </w:r>
      <w:r>
        <w:t xml:space="preserve">in the Museums + Heritage Awards.  We were also shortlisted for the </w:t>
      </w:r>
      <w:r>
        <w:rPr>
          <w:b/>
        </w:rPr>
        <w:t>Best Family Experience in London</w:t>
      </w:r>
      <w:r>
        <w:t xml:space="preserve"> in the Muddy Stilettos Awards. </w:t>
      </w:r>
    </w:p>
    <w:p w14:paraId="494C483C" w14:textId="77777777" w:rsidR="00BE13A8" w:rsidRDefault="00BE13A8">
      <w:pPr>
        <w:jc w:val="both"/>
      </w:pPr>
    </w:p>
    <w:p w14:paraId="0E7C10D6" w14:textId="77777777" w:rsidR="00BE13A8" w:rsidRDefault="00D70530">
      <w:pPr>
        <w:jc w:val="both"/>
      </w:pPr>
      <w:r>
        <w:t>At a time when online security is extremely important, we achieved Cyber Essentials Accreditation, which has strengthened the Museum’s cyber security infrastructure. We achieved full Arts Council Accreditation status after a 10-year gap since the last review.</w:t>
      </w:r>
    </w:p>
    <w:p w14:paraId="489E943E" w14:textId="77777777" w:rsidR="00BE13A8" w:rsidRDefault="00BE13A8">
      <w:pPr>
        <w:jc w:val="both"/>
      </w:pPr>
    </w:p>
    <w:p w14:paraId="06A9F8B3" w14:textId="77777777" w:rsidR="00BE13A8" w:rsidRDefault="00D70530">
      <w:pPr>
        <w:jc w:val="both"/>
      </w:pPr>
      <w:r>
        <w:t xml:space="preserve">We recognise that many staff continue to deliver excellence while carrying heavy workloads, and we thank them for their commitment and contribution. </w:t>
      </w:r>
    </w:p>
    <w:p w14:paraId="41B6AD44" w14:textId="77777777" w:rsidR="00BE13A8" w:rsidRDefault="00BE13A8">
      <w:pPr>
        <w:jc w:val="both"/>
      </w:pPr>
    </w:p>
    <w:p w14:paraId="1821D310" w14:textId="77777777" w:rsidR="00BE13A8" w:rsidRDefault="00D70530">
      <w:pPr>
        <w:jc w:val="both"/>
      </w:pPr>
      <w:r>
        <w:t xml:space="preserve">All these achievements were made possible by the grant-in-aid funding and continued support from DCMS. A full list of the performance indicators reported to DCMS can be found at the end of this report in </w:t>
      </w:r>
      <w:r>
        <w:rPr>
          <w:b/>
        </w:rPr>
        <w:t xml:space="preserve">Appendix I. </w:t>
      </w:r>
    </w:p>
    <w:p w14:paraId="64AAB99E" w14:textId="77777777" w:rsidR="00BE13A8" w:rsidRDefault="00BE13A8">
      <w:pPr>
        <w:rPr>
          <w:b/>
          <w:color w:val="FF0000"/>
        </w:rPr>
      </w:pPr>
    </w:p>
    <w:p w14:paraId="049FD412" w14:textId="77777777" w:rsidR="00BE13A8" w:rsidRDefault="00D70530" w:rsidP="00BF059B">
      <w:pPr>
        <w:pStyle w:val="Heading3"/>
      </w:pPr>
      <w:bookmarkStart w:id="1" w:name="_heading=h.olut1mj1t4n9" w:colFirst="0" w:colLast="0"/>
      <w:bookmarkEnd w:id="1"/>
      <w:r>
        <w:t>1.0 Access</w:t>
      </w:r>
    </w:p>
    <w:p w14:paraId="029758B6" w14:textId="77777777" w:rsidR="00BE13A8" w:rsidRDefault="00D70530">
      <w:pPr>
        <w:jc w:val="both"/>
      </w:pPr>
      <w:r>
        <w:lastRenderedPageBreak/>
        <w:t>Aim: We will use the collections and Gardens to stimulate curiosity and wonder, promoting opportunities for people of all ages, abilities and backgrounds to participate in and enjoy exhibitions, educational programmes, activities and events – both face-to-face and online.</w:t>
      </w:r>
    </w:p>
    <w:p w14:paraId="0332EB01" w14:textId="77777777" w:rsidR="00BE13A8" w:rsidRDefault="00BE13A8">
      <w:pPr>
        <w:jc w:val="both"/>
        <w:rPr>
          <w:b/>
        </w:rPr>
      </w:pPr>
    </w:p>
    <w:p w14:paraId="536E3146" w14:textId="77777777" w:rsidR="00BE13A8" w:rsidRDefault="00D70530">
      <w:r>
        <w:t>Performance against Access aim and objectives as outlined in the Corporate Plan: </w:t>
      </w:r>
      <w:r>
        <w:br/>
        <w:t> </w:t>
      </w:r>
    </w:p>
    <w:p w14:paraId="456525D6" w14:textId="77777777" w:rsidR="00BE13A8" w:rsidRDefault="00D70530">
      <w:pPr>
        <w:numPr>
          <w:ilvl w:val="0"/>
          <w:numId w:val="3"/>
        </w:numPr>
        <w:pBdr>
          <w:top w:val="nil"/>
          <w:left w:val="nil"/>
          <w:bottom w:val="nil"/>
          <w:right w:val="nil"/>
          <w:between w:val="nil"/>
        </w:pBdr>
      </w:pPr>
      <w:r>
        <w:rPr>
          <w:color w:val="000000"/>
        </w:rPr>
        <w:t>We welcomed 820,454 visitors to the Museum and Gardens over the past year, just exceeding our target of 820,000,</w:t>
      </w:r>
      <w:r>
        <w:rPr>
          <w:i/>
          <w:color w:val="000000"/>
        </w:rPr>
        <w:t xml:space="preserve"> </w:t>
      </w:r>
      <w:r>
        <w:rPr>
          <w:color w:val="000000"/>
        </w:rPr>
        <w:t>and attracted 820,202 website visits. </w:t>
      </w:r>
    </w:p>
    <w:p w14:paraId="54696C04" w14:textId="3EF7A9BD" w:rsidR="00BE13A8" w:rsidRDefault="00D70530">
      <w:pPr>
        <w:numPr>
          <w:ilvl w:val="0"/>
          <w:numId w:val="3"/>
        </w:numPr>
        <w:pBdr>
          <w:top w:val="nil"/>
          <w:left w:val="nil"/>
          <w:bottom w:val="nil"/>
          <w:right w:val="nil"/>
          <w:between w:val="nil"/>
        </w:pBdr>
      </w:pPr>
      <w:r>
        <w:rPr>
          <w:color w:val="000000"/>
        </w:rPr>
        <w:t>21% of general visitors to the Museum were from ethnically diverse groups (up from 17%), and 5% from disadvantaged socio-economic groups (NS-SEC 5-8, down from 6%). As with last year, 9% of visitors were identified as being disabled, which was above our target of 7%.</w:t>
      </w:r>
    </w:p>
    <w:p w14:paraId="6B61B728" w14:textId="6E43ED68" w:rsidR="00BE13A8" w:rsidRDefault="00D70530">
      <w:pPr>
        <w:numPr>
          <w:ilvl w:val="0"/>
          <w:numId w:val="3"/>
        </w:numPr>
        <w:pBdr>
          <w:top w:val="nil"/>
          <w:left w:val="nil"/>
          <w:bottom w:val="nil"/>
          <w:right w:val="nil"/>
          <w:between w:val="nil"/>
        </w:pBdr>
      </w:pPr>
      <w:r>
        <w:rPr>
          <w:color w:val="000000"/>
        </w:rPr>
        <w:t>Our digital communities continue to grow driven by our short-form video strategy. Instagram remains our largest active platform with 69,000 followers. We had our first viral success on TikTok, resulting in our videos viewed about 11.5M times over the year. Our YouTube subscribers have grown by 11% as a result of starting to post Shorts, and our participation in the YouTube Accelerator Programme. Our other social channels have grown to 14,400 on LinkedIn and 34,200 on Facebook.  </w:t>
      </w:r>
    </w:p>
    <w:p w14:paraId="1EBC7457" w14:textId="71268833" w:rsidR="00BE13A8" w:rsidRPr="00BF059B" w:rsidRDefault="00D70530">
      <w:pPr>
        <w:numPr>
          <w:ilvl w:val="0"/>
          <w:numId w:val="3"/>
        </w:numPr>
        <w:pBdr>
          <w:top w:val="nil"/>
          <w:left w:val="nil"/>
          <w:bottom w:val="nil"/>
          <w:right w:val="nil"/>
          <w:between w:val="nil"/>
        </w:pBdr>
      </w:pPr>
      <w:r>
        <w:rPr>
          <w:color w:val="000000"/>
        </w:rPr>
        <w:t>We engaged</w:t>
      </w:r>
      <w:r w:rsidR="00BF059B">
        <w:rPr>
          <w:color w:val="000000"/>
        </w:rPr>
        <w:t xml:space="preserve"> </w:t>
      </w:r>
      <w:r>
        <w:rPr>
          <w:color w:val="000000"/>
        </w:rPr>
        <w:t>children and young people</w:t>
      </w:r>
      <w:r w:rsidR="00BF059B">
        <w:rPr>
          <w:color w:val="000000"/>
        </w:rPr>
        <w:t xml:space="preserve"> </w:t>
      </w:r>
      <w:r>
        <w:rPr>
          <w:color w:val="000000"/>
        </w:rPr>
        <w:t xml:space="preserve">in high-quality, object-based and outdoor hands-on activities that supported their learning, enjoyment and engagement with </w:t>
      </w:r>
      <w:r w:rsidRPr="00BF059B">
        <w:t>world cultures, music and the natural world. We reached</w:t>
      </w:r>
      <w:r w:rsidR="00BF059B">
        <w:t xml:space="preserve"> </w:t>
      </w:r>
      <w:r w:rsidRPr="00BF059B">
        <w:t>learning audiences</w:t>
      </w:r>
      <w:r w:rsidR="00BF059B">
        <w:t xml:space="preserve"> </w:t>
      </w:r>
      <w:r w:rsidRPr="00BF059B">
        <w:t>(schools, nursery, home education and university learners)</w:t>
      </w:r>
      <w:r w:rsidR="00BF059B">
        <w:t xml:space="preserve"> </w:t>
      </w:r>
      <w:r w:rsidRPr="00BF059B">
        <w:t>of 21,497</w:t>
      </w:r>
      <w:r w:rsidR="00BF059B">
        <w:t xml:space="preserve"> </w:t>
      </w:r>
      <w:r w:rsidRPr="00BF059B">
        <w:t>taught onsite participants*</w:t>
      </w:r>
      <w:r w:rsidR="00BF059B">
        <w:t xml:space="preserve"> </w:t>
      </w:r>
      <w:r w:rsidRPr="00BF059B">
        <w:t>(16,000 target),</w:t>
      </w:r>
      <w:r w:rsidR="00BF059B">
        <w:t xml:space="preserve"> </w:t>
      </w:r>
      <w:r w:rsidRPr="00BF059B">
        <w:t>self-led audience</w:t>
      </w:r>
      <w:r w:rsidR="00BF059B">
        <w:t xml:space="preserve"> </w:t>
      </w:r>
      <w:r w:rsidRPr="00BF059B">
        <w:t>of</w:t>
      </w:r>
      <w:r w:rsidR="00BF059B">
        <w:t xml:space="preserve"> </w:t>
      </w:r>
      <w:r w:rsidRPr="00BF059B">
        <w:t>10,799*</w:t>
      </w:r>
      <w:r w:rsidR="00BF059B">
        <w:t xml:space="preserve"> </w:t>
      </w:r>
      <w:r w:rsidRPr="00BF059B">
        <w:t>(5,000</w:t>
      </w:r>
      <w:r w:rsidR="00BF059B">
        <w:t xml:space="preserve"> </w:t>
      </w:r>
      <w:r w:rsidRPr="00BF059B">
        <w:t>target),</w:t>
      </w:r>
      <w:r w:rsidR="00BF059B">
        <w:t xml:space="preserve"> </w:t>
      </w:r>
      <w:r w:rsidRPr="00BF059B">
        <w:t>2,605*</w:t>
      </w:r>
      <w:r w:rsidR="00BF059B">
        <w:t xml:space="preserve"> </w:t>
      </w:r>
      <w:r w:rsidRPr="00BF059B">
        <w:t>virtual</w:t>
      </w:r>
      <w:r w:rsidR="00BF059B">
        <w:t xml:space="preserve"> </w:t>
      </w:r>
      <w:r w:rsidRPr="00BF059B">
        <w:t>workshop</w:t>
      </w:r>
      <w:r w:rsidR="00BF059B">
        <w:t xml:space="preserve"> </w:t>
      </w:r>
      <w:r w:rsidRPr="00BF059B">
        <w:t>participants</w:t>
      </w:r>
      <w:r w:rsidR="00BF059B">
        <w:t xml:space="preserve"> </w:t>
      </w:r>
      <w:r w:rsidRPr="00BF059B">
        <w:t>(2,500</w:t>
      </w:r>
      <w:r w:rsidR="00BF059B">
        <w:t xml:space="preserve"> </w:t>
      </w:r>
      <w:r w:rsidRPr="00BF059B">
        <w:t>target),</w:t>
      </w:r>
      <w:r w:rsidR="00BF059B">
        <w:t xml:space="preserve"> </w:t>
      </w:r>
      <w:r w:rsidRPr="00BF059B">
        <w:t>1,588</w:t>
      </w:r>
      <w:r w:rsidR="00BF059B">
        <w:t xml:space="preserve"> </w:t>
      </w:r>
      <w:r w:rsidRPr="00BF059B">
        <w:t>through</w:t>
      </w:r>
      <w:r w:rsidR="00BF059B">
        <w:t xml:space="preserve"> </w:t>
      </w:r>
      <w:r w:rsidRPr="00BF059B">
        <w:t>outreach</w:t>
      </w:r>
      <w:r w:rsidR="00BF059B">
        <w:t xml:space="preserve"> </w:t>
      </w:r>
      <w:r w:rsidRPr="00BF059B">
        <w:t>workshops</w:t>
      </w:r>
      <w:r w:rsidR="00BF059B">
        <w:t xml:space="preserve"> </w:t>
      </w:r>
      <w:r w:rsidRPr="00BF059B">
        <w:t>to</w:t>
      </w:r>
      <w:r w:rsidR="00BF059B">
        <w:t xml:space="preserve"> </w:t>
      </w:r>
      <w:r w:rsidRPr="00BF059B">
        <w:t>secondary</w:t>
      </w:r>
      <w:r w:rsidR="00BF059B">
        <w:t xml:space="preserve"> </w:t>
      </w:r>
      <w:r w:rsidRPr="00BF059B">
        <w:t>and</w:t>
      </w:r>
      <w:r w:rsidR="00BF059B">
        <w:t xml:space="preserve"> </w:t>
      </w:r>
      <w:r w:rsidRPr="00BF059B">
        <w:t>specialist</w:t>
      </w:r>
      <w:r w:rsidR="00BF059B">
        <w:t xml:space="preserve"> </w:t>
      </w:r>
      <w:r w:rsidRPr="00BF059B">
        <w:t>schools,</w:t>
      </w:r>
      <w:r w:rsidR="00BF059B">
        <w:t xml:space="preserve"> </w:t>
      </w:r>
      <w:r w:rsidRPr="00BF059B">
        <w:t>and</w:t>
      </w:r>
      <w:r w:rsidR="00BF059B">
        <w:t xml:space="preserve"> </w:t>
      </w:r>
      <w:r w:rsidRPr="00BF059B">
        <w:t>384</w:t>
      </w:r>
      <w:r w:rsidR="00BF059B">
        <w:t xml:space="preserve"> </w:t>
      </w:r>
      <w:r w:rsidRPr="00BF059B">
        <w:t>through</w:t>
      </w:r>
      <w:r w:rsidR="00BF059B">
        <w:t xml:space="preserve"> </w:t>
      </w:r>
      <w:r w:rsidRPr="00BF059B">
        <w:t>Handling</w:t>
      </w:r>
      <w:r w:rsidR="00BF059B">
        <w:t xml:space="preserve"> </w:t>
      </w:r>
      <w:r w:rsidRPr="00BF059B">
        <w:t>Collection</w:t>
      </w:r>
      <w:r w:rsidR="00BF059B">
        <w:t xml:space="preserve"> </w:t>
      </w:r>
      <w:r w:rsidRPr="00BF059B">
        <w:t>loans.</w:t>
      </w:r>
      <w:r w:rsidR="00BF059B">
        <w:t xml:space="preserve"> </w:t>
      </w:r>
      <w:r w:rsidRPr="00BF059B">
        <w:t>Over</w:t>
      </w:r>
      <w:r w:rsidR="00BF059B">
        <w:t xml:space="preserve"> </w:t>
      </w:r>
      <w:r w:rsidRPr="00BF059B">
        <w:t>90%</w:t>
      </w:r>
      <w:r w:rsidR="00BF059B">
        <w:t xml:space="preserve"> </w:t>
      </w:r>
      <w:r w:rsidRPr="00BF059B">
        <w:t>of</w:t>
      </w:r>
      <w:r w:rsidR="00BF059B">
        <w:t xml:space="preserve"> </w:t>
      </w:r>
      <w:r w:rsidRPr="00BF059B">
        <w:t>facilitated</w:t>
      </w:r>
      <w:r w:rsidR="00BF059B">
        <w:t xml:space="preserve"> </w:t>
      </w:r>
      <w:r w:rsidRPr="00BF059B">
        <w:t>groups</w:t>
      </w:r>
      <w:r w:rsidR="00BF059B">
        <w:t xml:space="preserve"> </w:t>
      </w:r>
      <w:r w:rsidRPr="00BF059B">
        <w:t>were</w:t>
      </w:r>
      <w:r w:rsidR="00BF059B">
        <w:t xml:space="preserve"> </w:t>
      </w:r>
      <w:r w:rsidRPr="00BF059B">
        <w:t>from</w:t>
      </w:r>
      <w:r w:rsidR="00BF059B">
        <w:t xml:space="preserve"> </w:t>
      </w:r>
      <w:r w:rsidRPr="00BF059B">
        <w:t>non-fee-paying</w:t>
      </w:r>
      <w:r w:rsidR="00BF059B">
        <w:t xml:space="preserve"> </w:t>
      </w:r>
      <w:r w:rsidRPr="00BF059B">
        <w:t>schools</w:t>
      </w:r>
      <w:r w:rsidR="00BF059B">
        <w:t xml:space="preserve"> </w:t>
      </w:r>
      <w:r w:rsidRPr="00BF059B">
        <w:t>(88%</w:t>
      </w:r>
      <w:r w:rsidR="00BF059B">
        <w:t xml:space="preserve"> </w:t>
      </w:r>
      <w:r w:rsidRPr="00BF059B">
        <w:t>target),</w:t>
      </w:r>
      <w:r w:rsidR="00BF059B">
        <w:t xml:space="preserve"> </w:t>
      </w:r>
      <w:r w:rsidRPr="00BF059B">
        <w:t>with</w:t>
      </w:r>
      <w:r w:rsidR="00BF059B">
        <w:t xml:space="preserve"> </w:t>
      </w:r>
      <w:r w:rsidRPr="00BF059B">
        <w:t>33%</w:t>
      </w:r>
      <w:r w:rsidR="00BF059B">
        <w:t xml:space="preserve"> </w:t>
      </w:r>
      <w:r w:rsidRPr="00BF059B">
        <w:t>of</w:t>
      </w:r>
      <w:r w:rsidR="00BF059B">
        <w:t xml:space="preserve"> </w:t>
      </w:r>
      <w:r w:rsidRPr="00BF059B">
        <w:t>these</w:t>
      </w:r>
      <w:r w:rsidR="00BF059B">
        <w:t xml:space="preserve"> </w:t>
      </w:r>
      <w:r w:rsidRPr="00BF059B">
        <w:t>learners</w:t>
      </w:r>
      <w:r w:rsidR="00BF059B">
        <w:t xml:space="preserve"> </w:t>
      </w:r>
      <w:r w:rsidRPr="00BF059B">
        <w:t>receiving</w:t>
      </w:r>
      <w:r w:rsidR="00BF059B">
        <w:t xml:space="preserve"> </w:t>
      </w:r>
      <w:r w:rsidRPr="00BF059B">
        <w:t>a</w:t>
      </w:r>
      <w:r w:rsidR="00BF059B">
        <w:t xml:space="preserve"> </w:t>
      </w:r>
      <w:r w:rsidRPr="00BF059B">
        <w:t>Pupil</w:t>
      </w:r>
      <w:r w:rsidR="00BF059B">
        <w:t xml:space="preserve"> </w:t>
      </w:r>
      <w:r w:rsidRPr="00BF059B">
        <w:t>Premium</w:t>
      </w:r>
      <w:r w:rsidR="00BF059B">
        <w:t xml:space="preserve"> </w:t>
      </w:r>
      <w:r w:rsidRPr="00BF059B">
        <w:t>Grant</w:t>
      </w:r>
      <w:r w:rsidR="00BF059B">
        <w:t xml:space="preserve"> </w:t>
      </w:r>
      <w:r w:rsidRPr="00BF059B">
        <w:t>(PPG)</w:t>
      </w:r>
      <w:r w:rsidR="00BF059B">
        <w:t xml:space="preserve"> </w:t>
      </w:r>
      <w:r w:rsidRPr="00BF059B">
        <w:t>(25%</w:t>
      </w:r>
      <w:r w:rsidR="00BF059B">
        <w:t xml:space="preserve"> </w:t>
      </w:r>
      <w:r w:rsidRPr="00BF059B">
        <w:t>target).</w:t>
      </w:r>
      <w:r w:rsidR="00BF059B">
        <w:t xml:space="preserve"> </w:t>
      </w:r>
      <w:r w:rsidRPr="00BF059B">
        <w:t>*Numbers</w:t>
      </w:r>
      <w:r w:rsidR="00BF059B">
        <w:t xml:space="preserve"> </w:t>
      </w:r>
      <w:r w:rsidRPr="00BF059B">
        <w:t>include</w:t>
      </w:r>
      <w:r w:rsidR="00BF059B">
        <w:t xml:space="preserve"> </w:t>
      </w:r>
      <w:r w:rsidRPr="00BF059B">
        <w:t>learners</w:t>
      </w:r>
      <w:r w:rsidR="00BF059B">
        <w:t xml:space="preserve"> </w:t>
      </w:r>
      <w:r w:rsidRPr="00BF059B">
        <w:t>and</w:t>
      </w:r>
      <w:r w:rsidR="00BF059B">
        <w:t xml:space="preserve"> </w:t>
      </w:r>
      <w:r w:rsidRPr="00BF059B">
        <w:t>accompanying</w:t>
      </w:r>
      <w:r w:rsidR="00BF059B">
        <w:t xml:space="preserve"> </w:t>
      </w:r>
      <w:r w:rsidRPr="00BF059B">
        <w:t>adults.</w:t>
      </w:r>
      <w:r w:rsidR="00BF059B">
        <w:t xml:space="preserve"> </w:t>
      </w:r>
    </w:p>
    <w:p w14:paraId="3EC7FC5B" w14:textId="1257776B" w:rsidR="00BE13A8" w:rsidRDefault="00D70530">
      <w:pPr>
        <w:numPr>
          <w:ilvl w:val="0"/>
          <w:numId w:val="3"/>
        </w:numPr>
        <w:pBdr>
          <w:top w:val="nil"/>
          <w:left w:val="nil"/>
          <w:bottom w:val="nil"/>
          <w:right w:val="nil"/>
          <w:between w:val="nil"/>
        </w:pBdr>
        <w:rPr>
          <w:i/>
          <w:color w:val="000000"/>
        </w:rPr>
      </w:pPr>
      <w:r>
        <w:rPr>
          <w:color w:val="000000"/>
        </w:rPr>
        <w:t>Our</w:t>
      </w:r>
      <w:r w:rsidR="00BF059B">
        <w:rPr>
          <w:color w:val="000000"/>
        </w:rPr>
        <w:t xml:space="preserve"> </w:t>
      </w:r>
      <w:r>
        <w:rPr>
          <w:b/>
          <w:color w:val="000000"/>
        </w:rPr>
        <w:t>Art</w:t>
      </w:r>
      <w:r w:rsidR="00BF059B">
        <w:rPr>
          <w:b/>
          <w:color w:val="000000"/>
        </w:rPr>
        <w:t xml:space="preserve"> </w:t>
      </w:r>
      <w:r>
        <w:rPr>
          <w:b/>
          <w:color w:val="000000"/>
        </w:rPr>
        <w:t>Fund</w:t>
      </w:r>
      <w:r w:rsidR="00BF059B">
        <w:rPr>
          <w:b/>
          <w:color w:val="000000"/>
        </w:rPr>
        <w:t xml:space="preserve"> </w:t>
      </w:r>
      <w:r>
        <w:rPr>
          <w:b/>
          <w:color w:val="000000"/>
        </w:rPr>
        <w:t>Museum</w:t>
      </w:r>
      <w:r w:rsidR="00BF059B">
        <w:rPr>
          <w:b/>
          <w:color w:val="000000"/>
        </w:rPr>
        <w:t xml:space="preserve"> </w:t>
      </w:r>
      <w:r>
        <w:rPr>
          <w:b/>
          <w:color w:val="000000"/>
        </w:rPr>
        <w:t>of</w:t>
      </w:r>
      <w:r w:rsidR="00BF059B">
        <w:rPr>
          <w:b/>
          <w:color w:val="000000"/>
        </w:rPr>
        <w:t xml:space="preserve"> </w:t>
      </w:r>
      <w:r>
        <w:rPr>
          <w:b/>
          <w:color w:val="000000"/>
        </w:rPr>
        <w:t>the</w:t>
      </w:r>
      <w:r w:rsidR="00BF059B">
        <w:rPr>
          <w:b/>
          <w:color w:val="000000"/>
        </w:rPr>
        <w:t xml:space="preserve"> </w:t>
      </w:r>
      <w:r>
        <w:rPr>
          <w:b/>
          <w:color w:val="000000"/>
        </w:rPr>
        <w:t>Year</w:t>
      </w:r>
      <w:r w:rsidR="00BF059B">
        <w:rPr>
          <w:b/>
          <w:color w:val="000000"/>
        </w:rPr>
        <w:t xml:space="preserve"> </w:t>
      </w:r>
      <w:r>
        <w:rPr>
          <w:b/>
          <w:color w:val="000000"/>
        </w:rPr>
        <w:t>(MOTY)</w:t>
      </w:r>
      <w:r w:rsidR="00BF059B">
        <w:rPr>
          <w:b/>
          <w:color w:val="000000"/>
        </w:rPr>
        <w:t xml:space="preserve"> </w:t>
      </w:r>
      <w:r>
        <w:rPr>
          <w:b/>
          <w:color w:val="000000"/>
        </w:rPr>
        <w:t>prize</w:t>
      </w:r>
      <w:r w:rsidR="00BF059B">
        <w:rPr>
          <w:b/>
          <w:color w:val="000000"/>
        </w:rPr>
        <w:t xml:space="preserve"> </w:t>
      </w:r>
      <w:r>
        <w:rPr>
          <w:b/>
          <w:color w:val="000000"/>
        </w:rPr>
        <w:t>money</w:t>
      </w:r>
      <w:r w:rsidR="00BF059B">
        <w:rPr>
          <w:b/>
          <w:color w:val="000000"/>
        </w:rPr>
        <w:t xml:space="preserve"> </w:t>
      </w:r>
      <w:r>
        <w:rPr>
          <w:color w:val="000000"/>
        </w:rPr>
        <w:t>continued</w:t>
      </w:r>
      <w:r w:rsidR="00BF059B">
        <w:rPr>
          <w:color w:val="000000"/>
        </w:rPr>
        <w:t xml:space="preserve"> </w:t>
      </w:r>
      <w:r>
        <w:rPr>
          <w:color w:val="000000"/>
        </w:rPr>
        <w:t>to</w:t>
      </w:r>
      <w:r w:rsidR="00BF059B">
        <w:rPr>
          <w:color w:val="000000"/>
        </w:rPr>
        <w:t xml:space="preserve"> </w:t>
      </w:r>
      <w:r>
        <w:rPr>
          <w:color w:val="000000"/>
        </w:rPr>
        <w:t>enable</w:t>
      </w:r>
      <w:r w:rsidR="00BF059B">
        <w:rPr>
          <w:color w:val="000000"/>
        </w:rPr>
        <w:t xml:space="preserve"> </w:t>
      </w:r>
      <w:r>
        <w:rPr>
          <w:color w:val="000000"/>
        </w:rPr>
        <w:t>two</w:t>
      </w:r>
      <w:r w:rsidR="00BF059B">
        <w:rPr>
          <w:color w:val="000000"/>
        </w:rPr>
        <w:t xml:space="preserve"> </w:t>
      </w:r>
      <w:r>
        <w:rPr>
          <w:color w:val="000000"/>
        </w:rPr>
        <w:t>key</w:t>
      </w:r>
      <w:r w:rsidR="00BF059B">
        <w:rPr>
          <w:color w:val="000000"/>
        </w:rPr>
        <w:t xml:space="preserve"> </w:t>
      </w:r>
      <w:r>
        <w:rPr>
          <w:color w:val="000000"/>
        </w:rPr>
        <w:t>strands.</w:t>
      </w:r>
      <w:r w:rsidR="00BF059B">
        <w:rPr>
          <w:color w:val="000000"/>
        </w:rPr>
        <w:t xml:space="preserve"> </w:t>
      </w:r>
      <w:r>
        <w:rPr>
          <w:color w:val="000000"/>
        </w:rPr>
        <w:t>We</w:t>
      </w:r>
      <w:r w:rsidR="00BF059B">
        <w:rPr>
          <w:color w:val="000000"/>
        </w:rPr>
        <w:t xml:space="preserve"> </w:t>
      </w:r>
      <w:r>
        <w:rPr>
          <w:color w:val="000000"/>
        </w:rPr>
        <w:t>appointed</w:t>
      </w:r>
      <w:r w:rsidR="00BF059B">
        <w:rPr>
          <w:color w:val="000000"/>
        </w:rPr>
        <w:t xml:space="preserve"> </w:t>
      </w:r>
      <w:r>
        <w:rPr>
          <w:color w:val="000000"/>
        </w:rPr>
        <w:t>our</w:t>
      </w:r>
      <w:r w:rsidR="00BF059B">
        <w:rPr>
          <w:color w:val="000000"/>
        </w:rPr>
        <w:t xml:space="preserve"> </w:t>
      </w:r>
      <w:r>
        <w:rPr>
          <w:color w:val="000000"/>
        </w:rPr>
        <w:t>second</w:t>
      </w:r>
      <w:r w:rsidR="00BF059B">
        <w:rPr>
          <w:color w:val="000000"/>
        </w:rPr>
        <w:t xml:space="preserve"> </w:t>
      </w:r>
      <w:r>
        <w:rPr>
          <w:color w:val="000000"/>
        </w:rPr>
        <w:t>cohort</w:t>
      </w:r>
      <w:r w:rsidR="00BF059B">
        <w:rPr>
          <w:color w:val="000000"/>
        </w:rPr>
        <w:t xml:space="preserve"> </w:t>
      </w:r>
      <w:r>
        <w:rPr>
          <w:color w:val="000000"/>
        </w:rPr>
        <w:t>of</w:t>
      </w:r>
      <w:r w:rsidR="00BF059B">
        <w:rPr>
          <w:color w:val="000000"/>
        </w:rPr>
        <w:t xml:space="preserve"> </w:t>
      </w:r>
      <w:r>
        <w:rPr>
          <w:color w:val="000000"/>
        </w:rPr>
        <w:t>Musicians</w:t>
      </w:r>
      <w:r w:rsidR="00BF059B">
        <w:rPr>
          <w:color w:val="000000"/>
        </w:rPr>
        <w:t xml:space="preserve"> </w:t>
      </w:r>
      <w:r>
        <w:rPr>
          <w:color w:val="000000"/>
        </w:rPr>
        <w:t>in</w:t>
      </w:r>
      <w:r w:rsidR="00BF059B">
        <w:rPr>
          <w:color w:val="000000"/>
        </w:rPr>
        <w:t xml:space="preserve"> </w:t>
      </w:r>
      <w:r>
        <w:rPr>
          <w:color w:val="000000"/>
        </w:rPr>
        <w:t>Residence,</w:t>
      </w:r>
      <w:r w:rsidR="00BF059B">
        <w:rPr>
          <w:color w:val="000000"/>
        </w:rPr>
        <w:t xml:space="preserve"> </w:t>
      </w:r>
      <w:r>
        <w:rPr>
          <w:color w:val="000000"/>
        </w:rPr>
        <w:t>and</w:t>
      </w:r>
      <w:r w:rsidR="00BF059B">
        <w:rPr>
          <w:color w:val="000000"/>
        </w:rPr>
        <w:t xml:space="preserve"> </w:t>
      </w:r>
      <w:r>
        <w:rPr>
          <w:color w:val="000000"/>
        </w:rPr>
        <w:t>School</w:t>
      </w:r>
      <w:r w:rsidR="00BF059B">
        <w:rPr>
          <w:color w:val="000000"/>
        </w:rPr>
        <w:t xml:space="preserve"> </w:t>
      </w:r>
      <w:r>
        <w:rPr>
          <w:color w:val="000000"/>
        </w:rPr>
        <w:t>Holiday</w:t>
      </w:r>
      <w:r w:rsidR="00BF059B">
        <w:rPr>
          <w:color w:val="000000"/>
        </w:rPr>
        <w:t xml:space="preserve"> </w:t>
      </w:r>
      <w:r>
        <w:rPr>
          <w:color w:val="000000"/>
        </w:rPr>
        <w:t>Clubs</w:t>
      </w:r>
      <w:r w:rsidR="00BF059B">
        <w:rPr>
          <w:color w:val="000000"/>
        </w:rPr>
        <w:t xml:space="preserve"> </w:t>
      </w:r>
      <w:r>
        <w:rPr>
          <w:color w:val="000000"/>
        </w:rPr>
        <w:t>reached</w:t>
      </w:r>
      <w:r w:rsidR="00BF059B">
        <w:rPr>
          <w:color w:val="000000"/>
        </w:rPr>
        <w:t xml:space="preserve"> </w:t>
      </w:r>
      <w:r>
        <w:rPr>
          <w:color w:val="000000"/>
        </w:rPr>
        <w:t>197</w:t>
      </w:r>
      <w:r w:rsidR="00BF059B">
        <w:rPr>
          <w:color w:val="000000"/>
        </w:rPr>
        <w:t xml:space="preserve"> </w:t>
      </w:r>
      <w:r>
        <w:rPr>
          <w:color w:val="000000"/>
        </w:rPr>
        <w:t>participants</w:t>
      </w:r>
      <w:r w:rsidR="00BF059B">
        <w:rPr>
          <w:color w:val="000000"/>
        </w:rPr>
        <w:t xml:space="preserve"> </w:t>
      </w:r>
      <w:r>
        <w:rPr>
          <w:color w:val="000000"/>
        </w:rPr>
        <w:t>from</w:t>
      </w:r>
      <w:r w:rsidR="00BF059B">
        <w:rPr>
          <w:color w:val="000000"/>
        </w:rPr>
        <w:t xml:space="preserve"> </w:t>
      </w:r>
      <w:r>
        <w:rPr>
          <w:color w:val="000000"/>
        </w:rPr>
        <w:t>two</w:t>
      </w:r>
      <w:r w:rsidR="00BF059B">
        <w:rPr>
          <w:color w:val="000000"/>
        </w:rPr>
        <w:t xml:space="preserve"> </w:t>
      </w:r>
      <w:r>
        <w:rPr>
          <w:color w:val="000000"/>
        </w:rPr>
        <w:t>local</w:t>
      </w:r>
      <w:r w:rsidR="00BF059B">
        <w:rPr>
          <w:color w:val="000000"/>
        </w:rPr>
        <w:t xml:space="preserve"> </w:t>
      </w:r>
      <w:r>
        <w:rPr>
          <w:color w:val="000000"/>
        </w:rPr>
        <w:t>partner</w:t>
      </w:r>
      <w:r w:rsidR="00BF059B">
        <w:rPr>
          <w:color w:val="000000"/>
        </w:rPr>
        <w:t xml:space="preserve"> </w:t>
      </w:r>
      <w:r>
        <w:rPr>
          <w:color w:val="000000"/>
        </w:rPr>
        <w:t>schools</w:t>
      </w:r>
      <w:r w:rsidR="00BF059B">
        <w:rPr>
          <w:color w:val="000000"/>
        </w:rPr>
        <w:t xml:space="preserve"> </w:t>
      </w:r>
      <w:r>
        <w:rPr>
          <w:color w:val="000000"/>
        </w:rPr>
        <w:t>with</w:t>
      </w:r>
      <w:r w:rsidR="00BF059B">
        <w:rPr>
          <w:color w:val="000000"/>
        </w:rPr>
        <w:t xml:space="preserve"> </w:t>
      </w:r>
      <w:r>
        <w:rPr>
          <w:color w:val="000000"/>
        </w:rPr>
        <w:t>between</w:t>
      </w:r>
      <w:r w:rsidR="00BF059B">
        <w:rPr>
          <w:color w:val="000000"/>
        </w:rPr>
        <w:t xml:space="preserve"> </w:t>
      </w:r>
      <w:r>
        <w:rPr>
          <w:color w:val="000000"/>
        </w:rPr>
        <w:t>49%</w:t>
      </w:r>
      <w:r w:rsidR="00BF059B">
        <w:rPr>
          <w:color w:val="000000"/>
        </w:rPr>
        <w:t xml:space="preserve"> </w:t>
      </w:r>
      <w:r>
        <w:rPr>
          <w:color w:val="000000"/>
        </w:rPr>
        <w:t>and</w:t>
      </w:r>
      <w:r w:rsidR="00BF059B">
        <w:rPr>
          <w:color w:val="000000"/>
        </w:rPr>
        <w:t xml:space="preserve"> </w:t>
      </w:r>
      <w:r>
        <w:rPr>
          <w:color w:val="000000"/>
        </w:rPr>
        <w:t>66%</w:t>
      </w:r>
      <w:r w:rsidR="00BF059B">
        <w:rPr>
          <w:color w:val="000000"/>
        </w:rPr>
        <w:t xml:space="preserve"> </w:t>
      </w:r>
      <w:r>
        <w:rPr>
          <w:color w:val="000000"/>
        </w:rPr>
        <w:t>of</w:t>
      </w:r>
      <w:r w:rsidR="00BF059B">
        <w:rPr>
          <w:color w:val="000000"/>
        </w:rPr>
        <w:t xml:space="preserve"> </w:t>
      </w:r>
      <w:r>
        <w:rPr>
          <w:color w:val="000000"/>
        </w:rPr>
        <w:t>pupils</w:t>
      </w:r>
      <w:r w:rsidR="00BF059B">
        <w:rPr>
          <w:color w:val="000000"/>
        </w:rPr>
        <w:t xml:space="preserve"> </w:t>
      </w:r>
      <w:r>
        <w:rPr>
          <w:color w:val="000000"/>
        </w:rPr>
        <w:t>eligible</w:t>
      </w:r>
      <w:r w:rsidR="00BF059B">
        <w:rPr>
          <w:color w:val="000000"/>
        </w:rPr>
        <w:t xml:space="preserve"> </w:t>
      </w:r>
      <w:r>
        <w:rPr>
          <w:color w:val="000000"/>
        </w:rPr>
        <w:t>for</w:t>
      </w:r>
      <w:r w:rsidR="00BF059B">
        <w:rPr>
          <w:color w:val="000000"/>
        </w:rPr>
        <w:t xml:space="preserve"> </w:t>
      </w:r>
      <w:r>
        <w:rPr>
          <w:color w:val="000000"/>
        </w:rPr>
        <w:t>free</w:t>
      </w:r>
      <w:r w:rsidR="00BF059B">
        <w:rPr>
          <w:color w:val="000000"/>
        </w:rPr>
        <w:t xml:space="preserve"> </w:t>
      </w:r>
      <w:r>
        <w:rPr>
          <w:color w:val="000000"/>
        </w:rPr>
        <w:t>school</w:t>
      </w:r>
      <w:r w:rsidR="00BF059B">
        <w:rPr>
          <w:color w:val="000000"/>
        </w:rPr>
        <w:t xml:space="preserve"> </w:t>
      </w:r>
      <w:r>
        <w:rPr>
          <w:color w:val="000000"/>
        </w:rPr>
        <w:t>meals</w:t>
      </w:r>
      <w:r w:rsidR="00BF059B">
        <w:rPr>
          <w:color w:val="000000"/>
        </w:rPr>
        <w:t xml:space="preserve"> </w:t>
      </w:r>
      <w:r>
        <w:rPr>
          <w:color w:val="000000"/>
        </w:rPr>
        <w:t>in</w:t>
      </w:r>
      <w:r w:rsidR="00BF059B">
        <w:rPr>
          <w:color w:val="000000"/>
        </w:rPr>
        <w:t xml:space="preserve"> </w:t>
      </w:r>
      <w:r>
        <w:rPr>
          <w:color w:val="000000"/>
        </w:rPr>
        <w:t>term</w:t>
      </w:r>
      <w:r w:rsidR="00BF059B">
        <w:rPr>
          <w:color w:val="000000"/>
        </w:rPr>
        <w:t xml:space="preserve"> </w:t>
      </w:r>
      <w:r>
        <w:rPr>
          <w:color w:val="000000"/>
        </w:rPr>
        <w:t>time.</w:t>
      </w:r>
      <w:r w:rsidR="00BF059B">
        <w:rPr>
          <w:color w:val="000000"/>
        </w:rPr>
        <w:t xml:space="preserve">  </w:t>
      </w:r>
    </w:p>
    <w:p w14:paraId="1929053B" w14:textId="77777777" w:rsidR="00BE13A8" w:rsidRDefault="00BE13A8">
      <w:pPr>
        <w:pBdr>
          <w:top w:val="nil"/>
          <w:left w:val="nil"/>
          <w:bottom w:val="nil"/>
          <w:right w:val="nil"/>
          <w:between w:val="nil"/>
        </w:pBdr>
        <w:ind w:left="720"/>
        <w:jc w:val="both"/>
        <w:rPr>
          <w:i/>
          <w:color w:val="000000"/>
        </w:rPr>
      </w:pPr>
    </w:p>
    <w:p w14:paraId="55BA5790" w14:textId="5C683A67" w:rsidR="00BE13A8" w:rsidRDefault="00BF059B" w:rsidP="00BF059B">
      <w:pPr>
        <w:pStyle w:val="Heading4"/>
      </w:pPr>
      <w:r>
        <w:t xml:space="preserve">1.1 </w:t>
      </w:r>
      <w:r w:rsidR="00D70530">
        <w:t>Audience</w:t>
      </w:r>
      <w:r>
        <w:t xml:space="preserve"> </w:t>
      </w:r>
    </w:p>
    <w:p w14:paraId="5EE4BE28" w14:textId="209654A0" w:rsidR="00BE13A8" w:rsidRDefault="00D70530" w:rsidP="00BF059B">
      <w:pPr>
        <w:pBdr>
          <w:top w:val="nil"/>
          <w:left w:val="nil"/>
          <w:bottom w:val="nil"/>
          <w:right w:val="nil"/>
          <w:between w:val="nil"/>
        </w:pBdr>
        <w:jc w:val="both"/>
        <w:rPr>
          <w:rFonts w:ascii="Quattrocento Sans" w:eastAsia="Quattrocento Sans" w:hAnsi="Quattrocento Sans" w:cs="Quattrocento Sans"/>
          <w:color w:val="000000"/>
          <w:sz w:val="18"/>
          <w:szCs w:val="18"/>
        </w:rPr>
      </w:pPr>
      <w:r>
        <w:rPr>
          <w:color w:val="000000"/>
        </w:rPr>
        <w:t>Museum</w:t>
      </w:r>
      <w:r w:rsidR="00BF059B">
        <w:rPr>
          <w:color w:val="000000"/>
        </w:rPr>
        <w:t xml:space="preserve"> </w:t>
      </w:r>
      <w:r>
        <w:rPr>
          <w:color w:val="000000"/>
        </w:rPr>
        <w:t>visitor</w:t>
      </w:r>
      <w:r w:rsidR="00BF059B">
        <w:rPr>
          <w:color w:val="000000"/>
        </w:rPr>
        <w:t xml:space="preserve"> </w:t>
      </w:r>
      <w:r>
        <w:rPr>
          <w:color w:val="000000"/>
        </w:rPr>
        <w:t>numbers</w:t>
      </w:r>
      <w:r w:rsidR="00BF059B">
        <w:rPr>
          <w:color w:val="000000"/>
        </w:rPr>
        <w:t xml:space="preserve"> </w:t>
      </w:r>
      <w:r>
        <w:rPr>
          <w:color w:val="000000"/>
        </w:rPr>
        <w:t>were</w:t>
      </w:r>
      <w:r w:rsidR="00BF059B">
        <w:rPr>
          <w:color w:val="000000"/>
        </w:rPr>
        <w:t xml:space="preserve"> </w:t>
      </w:r>
      <w:r>
        <w:rPr>
          <w:color w:val="000000"/>
        </w:rPr>
        <w:t>down</w:t>
      </w:r>
      <w:r w:rsidR="00BF059B">
        <w:rPr>
          <w:color w:val="000000"/>
        </w:rPr>
        <w:t xml:space="preserve"> </w:t>
      </w:r>
      <w:r>
        <w:rPr>
          <w:color w:val="000000"/>
        </w:rPr>
        <w:t>14%</w:t>
      </w:r>
      <w:r w:rsidR="00BF059B">
        <w:rPr>
          <w:color w:val="000000"/>
        </w:rPr>
        <w:t xml:space="preserve"> </w:t>
      </w:r>
      <w:r>
        <w:rPr>
          <w:color w:val="000000"/>
        </w:rPr>
        <w:t>on</w:t>
      </w:r>
      <w:r w:rsidR="00BF059B">
        <w:rPr>
          <w:color w:val="000000"/>
        </w:rPr>
        <w:t xml:space="preserve"> </w:t>
      </w:r>
      <w:r>
        <w:rPr>
          <w:color w:val="000000"/>
        </w:rPr>
        <w:t>the</w:t>
      </w:r>
      <w:r w:rsidR="00BF059B">
        <w:rPr>
          <w:color w:val="000000"/>
        </w:rPr>
        <w:t xml:space="preserve"> </w:t>
      </w:r>
      <w:r>
        <w:rPr>
          <w:color w:val="000000"/>
        </w:rPr>
        <w:t>previous</w:t>
      </w:r>
      <w:r w:rsidR="00BF059B">
        <w:rPr>
          <w:color w:val="000000"/>
        </w:rPr>
        <w:t xml:space="preserve"> </w:t>
      </w:r>
      <w:r>
        <w:rPr>
          <w:color w:val="000000"/>
        </w:rPr>
        <w:t>financial</w:t>
      </w:r>
      <w:r w:rsidR="00BF059B">
        <w:rPr>
          <w:color w:val="000000"/>
        </w:rPr>
        <w:t xml:space="preserve"> </w:t>
      </w:r>
      <w:r>
        <w:rPr>
          <w:color w:val="000000"/>
        </w:rPr>
        <w:t>year,</w:t>
      </w:r>
      <w:r w:rsidR="00BF059B">
        <w:rPr>
          <w:color w:val="000000"/>
        </w:rPr>
        <w:t xml:space="preserve"> </w:t>
      </w:r>
      <w:r>
        <w:rPr>
          <w:color w:val="000000"/>
        </w:rPr>
        <w:t>an</w:t>
      </w:r>
      <w:r w:rsidR="00BF059B">
        <w:rPr>
          <w:color w:val="000000"/>
        </w:rPr>
        <w:t xml:space="preserve"> </w:t>
      </w:r>
      <w:r>
        <w:rPr>
          <w:color w:val="000000"/>
        </w:rPr>
        <w:t>anticipated</w:t>
      </w:r>
      <w:r w:rsidR="00BF059B">
        <w:rPr>
          <w:color w:val="000000"/>
        </w:rPr>
        <w:t xml:space="preserve"> </w:t>
      </w:r>
      <w:r>
        <w:rPr>
          <w:color w:val="000000"/>
        </w:rPr>
        <w:t>drop</w:t>
      </w:r>
      <w:r w:rsidR="00BF059B">
        <w:rPr>
          <w:color w:val="000000"/>
        </w:rPr>
        <w:t xml:space="preserve"> </w:t>
      </w:r>
      <w:r>
        <w:rPr>
          <w:color w:val="000000"/>
        </w:rPr>
        <w:t>as</w:t>
      </w:r>
      <w:r w:rsidR="00BF059B">
        <w:rPr>
          <w:color w:val="000000"/>
        </w:rPr>
        <w:t xml:space="preserve"> </w:t>
      </w:r>
      <w:r>
        <w:rPr>
          <w:color w:val="000000"/>
        </w:rPr>
        <w:t>a</w:t>
      </w:r>
      <w:r w:rsidR="00BF059B">
        <w:rPr>
          <w:color w:val="000000"/>
        </w:rPr>
        <w:t xml:space="preserve"> </w:t>
      </w:r>
      <w:r>
        <w:rPr>
          <w:color w:val="000000"/>
        </w:rPr>
        <w:t>direct</w:t>
      </w:r>
      <w:r w:rsidR="00BF059B">
        <w:rPr>
          <w:color w:val="000000"/>
        </w:rPr>
        <w:t xml:space="preserve"> </w:t>
      </w:r>
      <w:r>
        <w:rPr>
          <w:color w:val="000000"/>
        </w:rPr>
        <w:t>result</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temporary</w:t>
      </w:r>
      <w:r w:rsidR="00BF059B">
        <w:rPr>
          <w:color w:val="000000"/>
        </w:rPr>
        <w:t xml:space="preserve"> </w:t>
      </w:r>
      <w:r>
        <w:rPr>
          <w:color w:val="000000"/>
        </w:rPr>
        <w:t>closure</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Natural</w:t>
      </w:r>
      <w:r w:rsidR="00BF059B">
        <w:rPr>
          <w:color w:val="000000"/>
        </w:rPr>
        <w:t xml:space="preserve"> </w:t>
      </w:r>
      <w:r>
        <w:rPr>
          <w:color w:val="000000"/>
        </w:rPr>
        <w:t>History</w:t>
      </w:r>
      <w:r w:rsidR="00BF059B">
        <w:rPr>
          <w:color w:val="000000"/>
        </w:rPr>
        <w:t xml:space="preserve"> </w:t>
      </w:r>
      <w:r>
        <w:rPr>
          <w:color w:val="000000"/>
        </w:rPr>
        <w:t>Gallery,</w:t>
      </w:r>
      <w:r w:rsidR="00BF059B">
        <w:rPr>
          <w:color w:val="000000"/>
        </w:rPr>
        <w:t xml:space="preserve"> </w:t>
      </w:r>
      <w:r>
        <w:rPr>
          <w:color w:val="000000"/>
        </w:rPr>
        <w:t>as</w:t>
      </w:r>
      <w:r w:rsidR="00BF059B">
        <w:rPr>
          <w:color w:val="000000"/>
        </w:rPr>
        <w:t xml:space="preserve"> </w:t>
      </w:r>
      <w:r>
        <w:rPr>
          <w:color w:val="000000"/>
        </w:rPr>
        <w:t>part</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major</w:t>
      </w:r>
      <w:r w:rsidR="00BF059B">
        <w:rPr>
          <w:color w:val="000000"/>
        </w:rPr>
        <w:t xml:space="preserve"> </w:t>
      </w:r>
      <w:r>
        <w:rPr>
          <w:color w:val="000000"/>
        </w:rPr>
        <w:t>capital</w:t>
      </w:r>
      <w:r w:rsidR="00BF059B">
        <w:rPr>
          <w:color w:val="000000"/>
        </w:rPr>
        <w:t xml:space="preserve"> </w:t>
      </w:r>
      <w:r>
        <w:rPr>
          <w:color w:val="000000"/>
        </w:rPr>
        <w:t>project,</w:t>
      </w:r>
      <w:r w:rsidR="00BF059B">
        <w:rPr>
          <w:color w:val="000000"/>
        </w:rPr>
        <w:t xml:space="preserve"> </w:t>
      </w:r>
      <w:r>
        <w:rPr>
          <w:color w:val="000000"/>
        </w:rPr>
        <w:t>Nature</w:t>
      </w:r>
      <w:r w:rsidR="00BF059B">
        <w:rPr>
          <w:color w:val="000000"/>
        </w:rPr>
        <w:t xml:space="preserve"> </w:t>
      </w:r>
      <w:r>
        <w:rPr>
          <w:color w:val="000000"/>
        </w:rPr>
        <w:t>+</w:t>
      </w:r>
      <w:r w:rsidR="00BF059B">
        <w:rPr>
          <w:color w:val="000000"/>
        </w:rPr>
        <w:t xml:space="preserve"> </w:t>
      </w:r>
      <w:r>
        <w:rPr>
          <w:color w:val="000000"/>
        </w:rPr>
        <w:t>Love.</w:t>
      </w:r>
      <w:r w:rsidR="00BF059B">
        <w:rPr>
          <w:color w:val="000000"/>
        </w:rPr>
        <w:t xml:space="preserve"> </w:t>
      </w:r>
      <w:r>
        <w:rPr>
          <w:color w:val="000000"/>
        </w:rPr>
        <w:t>Gardens</w:t>
      </w:r>
      <w:r w:rsidR="00BF059B">
        <w:rPr>
          <w:color w:val="000000"/>
        </w:rPr>
        <w:t xml:space="preserve"> </w:t>
      </w:r>
      <w:r>
        <w:rPr>
          <w:color w:val="000000"/>
        </w:rPr>
        <w:t>visitors</w:t>
      </w:r>
      <w:r w:rsidR="00BF059B">
        <w:rPr>
          <w:color w:val="000000"/>
        </w:rPr>
        <w:t xml:space="preserve"> </w:t>
      </w:r>
      <w:r>
        <w:rPr>
          <w:color w:val="000000"/>
        </w:rPr>
        <w:t>however</w:t>
      </w:r>
      <w:r w:rsidR="00BF059B">
        <w:rPr>
          <w:color w:val="000000"/>
        </w:rPr>
        <w:t xml:space="preserve"> </w:t>
      </w:r>
      <w:r>
        <w:rPr>
          <w:color w:val="000000"/>
        </w:rPr>
        <w:t>were</w:t>
      </w:r>
      <w:r w:rsidR="00BF059B">
        <w:rPr>
          <w:color w:val="000000"/>
        </w:rPr>
        <w:t xml:space="preserve"> </w:t>
      </w:r>
      <w:r>
        <w:rPr>
          <w:color w:val="000000"/>
        </w:rPr>
        <w:t>up</w:t>
      </w:r>
      <w:r w:rsidR="00BF059B">
        <w:rPr>
          <w:color w:val="000000"/>
        </w:rPr>
        <w:t xml:space="preserve"> </w:t>
      </w:r>
      <w:r>
        <w:rPr>
          <w:color w:val="000000"/>
        </w:rPr>
        <w:t>1.9%</w:t>
      </w:r>
      <w:r w:rsidR="00BF059B">
        <w:rPr>
          <w:color w:val="000000"/>
        </w:rPr>
        <w:t xml:space="preserve"> </w:t>
      </w:r>
      <w:r>
        <w:rPr>
          <w:color w:val="000000"/>
        </w:rPr>
        <w:t>on</w:t>
      </w:r>
      <w:r w:rsidR="00BF059B">
        <w:rPr>
          <w:color w:val="000000"/>
        </w:rPr>
        <w:t xml:space="preserve"> </w:t>
      </w:r>
      <w:r>
        <w:rPr>
          <w:color w:val="000000"/>
        </w:rPr>
        <w:t>the</w:t>
      </w:r>
      <w:r w:rsidR="00BF059B">
        <w:rPr>
          <w:color w:val="000000"/>
        </w:rPr>
        <w:t xml:space="preserve"> </w:t>
      </w:r>
      <w:r>
        <w:rPr>
          <w:color w:val="000000"/>
        </w:rPr>
        <w:t>previous</w:t>
      </w:r>
      <w:r w:rsidR="00BF059B">
        <w:rPr>
          <w:color w:val="000000"/>
        </w:rPr>
        <w:t xml:space="preserve"> </w:t>
      </w:r>
      <w:r>
        <w:rPr>
          <w:color w:val="000000"/>
        </w:rPr>
        <w:t>financial</w:t>
      </w:r>
      <w:r w:rsidR="00BF059B">
        <w:rPr>
          <w:color w:val="000000"/>
        </w:rPr>
        <w:t xml:space="preserve"> </w:t>
      </w:r>
      <w:r>
        <w:rPr>
          <w:color w:val="000000"/>
        </w:rPr>
        <w:t>year.</w:t>
      </w:r>
    </w:p>
    <w:p w14:paraId="5750DA63" w14:textId="77777777" w:rsidR="00BF059B" w:rsidRDefault="00BF059B" w:rsidP="00BF059B">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61A34B84" w14:textId="40E58318" w:rsidR="00BE13A8" w:rsidRDefault="00D70530">
      <w:pPr>
        <w:pBdr>
          <w:top w:val="nil"/>
          <w:left w:val="nil"/>
          <w:bottom w:val="nil"/>
          <w:right w:val="nil"/>
          <w:between w:val="nil"/>
        </w:pBdr>
        <w:jc w:val="both"/>
        <w:rPr>
          <w:rFonts w:ascii="Quattrocento Sans" w:eastAsia="Quattrocento Sans" w:hAnsi="Quattrocento Sans" w:cs="Quattrocento Sans"/>
          <w:color w:val="000000"/>
          <w:sz w:val="18"/>
          <w:szCs w:val="18"/>
        </w:rPr>
      </w:pPr>
      <w:r>
        <w:rPr>
          <w:color w:val="000000"/>
        </w:rPr>
        <w:t>41%</w:t>
      </w:r>
      <w:r w:rsidR="00BF059B">
        <w:rPr>
          <w:color w:val="000000"/>
        </w:rPr>
        <w:t xml:space="preserve"> </w:t>
      </w:r>
      <w:r>
        <w:rPr>
          <w:color w:val="000000"/>
        </w:rPr>
        <w:t>of</w:t>
      </w:r>
      <w:r w:rsidR="00BF059B">
        <w:rPr>
          <w:color w:val="000000"/>
        </w:rPr>
        <w:t xml:space="preserve"> </w:t>
      </w:r>
      <w:r>
        <w:rPr>
          <w:color w:val="000000"/>
        </w:rPr>
        <w:t>visitors</w:t>
      </w:r>
      <w:r w:rsidR="00BF059B">
        <w:rPr>
          <w:color w:val="000000"/>
        </w:rPr>
        <w:t xml:space="preserve"> </w:t>
      </w:r>
      <w:r>
        <w:rPr>
          <w:color w:val="000000"/>
        </w:rPr>
        <w:t>were</w:t>
      </w:r>
      <w:r w:rsidR="00BF059B">
        <w:rPr>
          <w:color w:val="000000"/>
        </w:rPr>
        <w:t xml:space="preserve"> </w:t>
      </w:r>
      <w:r>
        <w:rPr>
          <w:color w:val="000000"/>
        </w:rPr>
        <w:t>on</w:t>
      </w:r>
      <w:r w:rsidR="00BF059B">
        <w:rPr>
          <w:color w:val="000000"/>
        </w:rPr>
        <w:t xml:space="preserve"> </w:t>
      </w:r>
      <w:r>
        <w:rPr>
          <w:color w:val="000000"/>
        </w:rPr>
        <w:t>their</w:t>
      </w:r>
      <w:r w:rsidR="00BF059B">
        <w:rPr>
          <w:color w:val="000000"/>
        </w:rPr>
        <w:t xml:space="preserve"> </w:t>
      </w:r>
      <w:r>
        <w:rPr>
          <w:color w:val="000000"/>
        </w:rPr>
        <w:t>first</w:t>
      </w:r>
      <w:r w:rsidR="00BF059B">
        <w:rPr>
          <w:color w:val="000000"/>
        </w:rPr>
        <w:t xml:space="preserve"> </w:t>
      </w:r>
      <w:r>
        <w:rPr>
          <w:color w:val="000000"/>
        </w:rPr>
        <w:t>visit</w:t>
      </w:r>
      <w:r w:rsidR="00BF059B">
        <w:rPr>
          <w:color w:val="000000"/>
        </w:rPr>
        <w:t xml:space="preserve"> </w:t>
      </w:r>
      <w:r>
        <w:rPr>
          <w:color w:val="000000"/>
        </w:rPr>
        <w:t>to</w:t>
      </w:r>
      <w:r w:rsidR="00BF059B">
        <w:rPr>
          <w:color w:val="000000"/>
        </w:rPr>
        <w:t xml:space="preserve"> </w:t>
      </w:r>
      <w:r>
        <w:rPr>
          <w:color w:val="000000"/>
        </w:rPr>
        <w:t>the</w:t>
      </w:r>
      <w:r w:rsidR="00BF059B">
        <w:rPr>
          <w:color w:val="000000"/>
        </w:rPr>
        <w:t xml:space="preserve"> </w:t>
      </w:r>
      <w:r>
        <w:rPr>
          <w:color w:val="000000"/>
        </w:rPr>
        <w:t>Museum,</w:t>
      </w:r>
      <w:r w:rsidR="00BF059B">
        <w:rPr>
          <w:color w:val="000000"/>
        </w:rPr>
        <w:t xml:space="preserve"> </w:t>
      </w:r>
      <w:r>
        <w:rPr>
          <w:color w:val="000000"/>
        </w:rPr>
        <w:t>and</w:t>
      </w:r>
      <w:r w:rsidR="00BF059B">
        <w:rPr>
          <w:color w:val="000000"/>
        </w:rPr>
        <w:t xml:space="preserve"> </w:t>
      </w:r>
      <w:r>
        <w:rPr>
          <w:color w:val="000000"/>
        </w:rPr>
        <w:t>a</w:t>
      </w:r>
      <w:r w:rsidR="00BF059B">
        <w:rPr>
          <w:color w:val="000000"/>
        </w:rPr>
        <w:t xml:space="preserve"> </w:t>
      </w:r>
      <w:r>
        <w:rPr>
          <w:color w:val="000000"/>
        </w:rPr>
        <w:t>further</w:t>
      </w:r>
      <w:r w:rsidR="00BF059B">
        <w:rPr>
          <w:color w:val="000000"/>
        </w:rPr>
        <w:t xml:space="preserve"> </w:t>
      </w:r>
      <w:r>
        <w:rPr>
          <w:color w:val="000000"/>
        </w:rPr>
        <w:t>40%</w:t>
      </w:r>
      <w:r w:rsidR="00BF059B">
        <w:rPr>
          <w:color w:val="000000"/>
        </w:rPr>
        <w:t xml:space="preserve"> </w:t>
      </w:r>
      <w:r>
        <w:rPr>
          <w:color w:val="000000"/>
        </w:rPr>
        <w:t>were</w:t>
      </w:r>
      <w:r w:rsidR="00BF059B">
        <w:rPr>
          <w:color w:val="000000"/>
        </w:rPr>
        <w:t xml:space="preserve"> </w:t>
      </w:r>
      <w:r>
        <w:rPr>
          <w:color w:val="000000"/>
        </w:rPr>
        <w:t>on</w:t>
      </w:r>
      <w:r w:rsidR="00BF059B">
        <w:rPr>
          <w:color w:val="000000"/>
        </w:rPr>
        <w:t xml:space="preserve"> </w:t>
      </w:r>
      <w:r>
        <w:rPr>
          <w:color w:val="000000"/>
        </w:rPr>
        <w:t>a</w:t>
      </w:r>
      <w:r w:rsidR="00BF059B">
        <w:rPr>
          <w:color w:val="000000"/>
        </w:rPr>
        <w:t xml:space="preserve"> </w:t>
      </w:r>
      <w:r>
        <w:rPr>
          <w:color w:val="000000"/>
        </w:rPr>
        <w:t>return</w:t>
      </w:r>
      <w:r w:rsidR="00BF059B">
        <w:rPr>
          <w:color w:val="000000"/>
        </w:rPr>
        <w:t xml:space="preserve"> </w:t>
      </w:r>
      <w:r>
        <w:rPr>
          <w:color w:val="000000"/>
        </w:rPr>
        <w:t>visit</w:t>
      </w:r>
      <w:r w:rsidR="00BF059B">
        <w:rPr>
          <w:color w:val="000000"/>
        </w:rPr>
        <w:t xml:space="preserve"> </w:t>
      </w:r>
      <w:r>
        <w:rPr>
          <w:color w:val="000000"/>
        </w:rPr>
        <w:t>within</w:t>
      </w:r>
      <w:r w:rsidR="00BF059B">
        <w:rPr>
          <w:color w:val="000000"/>
        </w:rPr>
        <w:t xml:space="preserve"> </w:t>
      </w:r>
      <w:r>
        <w:rPr>
          <w:color w:val="000000"/>
        </w:rPr>
        <w:t>the</w:t>
      </w:r>
      <w:r w:rsidR="00BF059B">
        <w:rPr>
          <w:color w:val="000000"/>
        </w:rPr>
        <w:t xml:space="preserve"> </w:t>
      </w:r>
      <w:r>
        <w:rPr>
          <w:color w:val="000000"/>
        </w:rPr>
        <w:t>past</w:t>
      </w:r>
      <w:r w:rsidR="00BF059B">
        <w:rPr>
          <w:color w:val="000000"/>
        </w:rPr>
        <w:t xml:space="preserve"> </w:t>
      </w:r>
      <w:r>
        <w:rPr>
          <w:color w:val="000000"/>
        </w:rPr>
        <w:t>year.</w:t>
      </w:r>
      <w:r w:rsidR="00BF059B">
        <w:rPr>
          <w:color w:val="000000"/>
        </w:rPr>
        <w:t xml:space="preserve"> </w:t>
      </w:r>
      <w:r>
        <w:rPr>
          <w:color w:val="000000"/>
        </w:rPr>
        <w:t>The</w:t>
      </w:r>
      <w:r w:rsidR="00BF059B">
        <w:rPr>
          <w:color w:val="000000"/>
        </w:rPr>
        <w:t xml:space="preserve"> </w:t>
      </w:r>
      <w:r>
        <w:rPr>
          <w:color w:val="000000"/>
        </w:rPr>
        <w:t>average</w:t>
      </w:r>
      <w:r w:rsidR="00BF059B">
        <w:rPr>
          <w:color w:val="000000"/>
        </w:rPr>
        <w:t xml:space="preserve"> </w:t>
      </w:r>
      <w:r>
        <w:rPr>
          <w:color w:val="000000"/>
        </w:rPr>
        <w:t>number</w:t>
      </w:r>
      <w:r w:rsidR="00BF059B">
        <w:rPr>
          <w:color w:val="000000"/>
        </w:rPr>
        <w:t xml:space="preserve"> </w:t>
      </w:r>
      <w:r>
        <w:rPr>
          <w:color w:val="000000"/>
        </w:rPr>
        <w:t>of</w:t>
      </w:r>
      <w:r w:rsidR="00BF059B">
        <w:rPr>
          <w:color w:val="000000"/>
        </w:rPr>
        <w:t xml:space="preserve"> </w:t>
      </w:r>
      <w:r>
        <w:rPr>
          <w:color w:val="000000"/>
        </w:rPr>
        <w:t>visits</w:t>
      </w:r>
      <w:r w:rsidR="00BF059B">
        <w:rPr>
          <w:color w:val="000000"/>
        </w:rPr>
        <w:t xml:space="preserve"> </w:t>
      </w:r>
      <w:r>
        <w:rPr>
          <w:color w:val="000000"/>
        </w:rPr>
        <w:t>by</w:t>
      </w:r>
      <w:r w:rsidR="00BF059B">
        <w:rPr>
          <w:color w:val="000000"/>
        </w:rPr>
        <w:t xml:space="preserve"> </w:t>
      </w:r>
      <w:r>
        <w:rPr>
          <w:color w:val="000000"/>
        </w:rPr>
        <w:t>returning</w:t>
      </w:r>
      <w:r w:rsidR="00BF059B">
        <w:rPr>
          <w:color w:val="000000"/>
        </w:rPr>
        <w:t xml:space="preserve"> </w:t>
      </w:r>
      <w:r>
        <w:rPr>
          <w:color w:val="000000"/>
        </w:rPr>
        <w:t>visitors</w:t>
      </w:r>
      <w:r w:rsidR="00BF059B">
        <w:rPr>
          <w:color w:val="000000"/>
        </w:rPr>
        <w:t xml:space="preserve"> </w:t>
      </w:r>
      <w:r>
        <w:rPr>
          <w:color w:val="000000"/>
        </w:rPr>
        <w:t>was</w:t>
      </w:r>
      <w:r w:rsidR="00BF059B">
        <w:rPr>
          <w:color w:val="000000"/>
        </w:rPr>
        <w:t xml:space="preserve"> </w:t>
      </w:r>
      <w:r>
        <w:rPr>
          <w:color w:val="000000"/>
        </w:rPr>
        <w:t>7.7</w:t>
      </w:r>
      <w:r w:rsidR="00BF059B">
        <w:rPr>
          <w:color w:val="000000"/>
        </w:rPr>
        <w:t xml:space="preserve"> </w:t>
      </w:r>
      <w:r>
        <w:rPr>
          <w:color w:val="000000"/>
        </w:rPr>
        <w:t>(down</w:t>
      </w:r>
      <w:r w:rsidR="00BF059B">
        <w:rPr>
          <w:color w:val="000000"/>
        </w:rPr>
        <w:t xml:space="preserve"> </w:t>
      </w:r>
      <w:r>
        <w:rPr>
          <w:color w:val="000000"/>
        </w:rPr>
        <w:t>from</w:t>
      </w:r>
      <w:r w:rsidR="00BF059B">
        <w:rPr>
          <w:color w:val="000000"/>
        </w:rPr>
        <w:t xml:space="preserve"> </w:t>
      </w:r>
      <w:r>
        <w:rPr>
          <w:color w:val="000000"/>
        </w:rPr>
        <w:t>8.3</w:t>
      </w:r>
      <w:r w:rsidR="00BF059B">
        <w:rPr>
          <w:color w:val="000000"/>
        </w:rPr>
        <w:t xml:space="preserve"> </w:t>
      </w:r>
      <w:r>
        <w:rPr>
          <w:color w:val="000000"/>
        </w:rPr>
        <w:t>in</w:t>
      </w:r>
      <w:r w:rsidR="00BF059B">
        <w:rPr>
          <w:color w:val="000000"/>
        </w:rPr>
        <w:t xml:space="preserve"> </w:t>
      </w:r>
      <w:r>
        <w:rPr>
          <w:color w:val="000000"/>
        </w:rPr>
        <w:t>2023/24).</w:t>
      </w:r>
      <w:r w:rsidR="00BF059B">
        <w:rPr>
          <w:color w:val="000000"/>
        </w:rPr>
        <w:t xml:space="preserve"> </w:t>
      </w:r>
      <w:r>
        <w:rPr>
          <w:color w:val="000000"/>
        </w:rPr>
        <w:t>Lapsed</w:t>
      </w:r>
      <w:r w:rsidR="00BF059B">
        <w:rPr>
          <w:color w:val="000000"/>
        </w:rPr>
        <w:t xml:space="preserve"> </w:t>
      </w:r>
      <w:r>
        <w:rPr>
          <w:color w:val="000000"/>
        </w:rPr>
        <w:t>visitors</w:t>
      </w:r>
      <w:r w:rsidR="00BF059B">
        <w:rPr>
          <w:color w:val="000000"/>
        </w:rPr>
        <w:t xml:space="preserve"> </w:t>
      </w:r>
      <w:r>
        <w:rPr>
          <w:color w:val="000000"/>
        </w:rPr>
        <w:t>decreased</w:t>
      </w:r>
      <w:r w:rsidR="00BF059B">
        <w:rPr>
          <w:color w:val="000000"/>
        </w:rPr>
        <w:t xml:space="preserve"> </w:t>
      </w:r>
      <w:r>
        <w:rPr>
          <w:color w:val="000000"/>
        </w:rPr>
        <w:t>by</w:t>
      </w:r>
      <w:r w:rsidR="00BF059B">
        <w:rPr>
          <w:color w:val="000000"/>
        </w:rPr>
        <w:t xml:space="preserve"> </w:t>
      </w:r>
      <w:r>
        <w:rPr>
          <w:color w:val="000000"/>
        </w:rPr>
        <w:t>7%,</w:t>
      </w:r>
      <w:r w:rsidR="00BF059B">
        <w:rPr>
          <w:color w:val="000000"/>
        </w:rPr>
        <w:t xml:space="preserve"> </w:t>
      </w:r>
      <w:r>
        <w:rPr>
          <w:color w:val="000000"/>
        </w:rPr>
        <w:t>equating</w:t>
      </w:r>
      <w:r w:rsidR="00BF059B">
        <w:rPr>
          <w:color w:val="000000"/>
        </w:rPr>
        <w:t xml:space="preserve"> </w:t>
      </w:r>
      <w:r>
        <w:rPr>
          <w:color w:val="000000"/>
        </w:rPr>
        <w:t>to</w:t>
      </w:r>
      <w:r w:rsidR="00BF059B">
        <w:rPr>
          <w:color w:val="000000"/>
        </w:rPr>
        <w:t xml:space="preserve"> </w:t>
      </w:r>
      <w:r>
        <w:rPr>
          <w:color w:val="000000"/>
        </w:rPr>
        <w:t>around</w:t>
      </w:r>
      <w:r w:rsidR="00BF059B">
        <w:rPr>
          <w:color w:val="000000"/>
        </w:rPr>
        <w:t xml:space="preserve"> </w:t>
      </w:r>
      <w:r>
        <w:rPr>
          <w:color w:val="000000"/>
        </w:rPr>
        <w:t>72,000</w:t>
      </w:r>
      <w:r w:rsidR="00BF059B">
        <w:rPr>
          <w:color w:val="000000"/>
        </w:rPr>
        <w:t xml:space="preserve"> </w:t>
      </w:r>
      <w:r>
        <w:rPr>
          <w:color w:val="000000"/>
        </w:rPr>
        <w:t>visits.</w:t>
      </w:r>
    </w:p>
    <w:p w14:paraId="6C79A9BF" w14:textId="77777777" w:rsidR="00BF059B" w:rsidRDefault="00BF059B">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7F0CC90A" w14:textId="392B5BB3" w:rsidR="00BE13A8" w:rsidRDefault="00D70530">
      <w:pPr>
        <w:pBdr>
          <w:top w:val="nil"/>
          <w:left w:val="nil"/>
          <w:bottom w:val="nil"/>
          <w:right w:val="nil"/>
          <w:between w:val="nil"/>
        </w:pBdr>
        <w:jc w:val="both"/>
        <w:rPr>
          <w:rFonts w:ascii="Times New Roman" w:eastAsia="Times New Roman" w:hAnsi="Times New Roman" w:cs="Times New Roman"/>
          <w:color w:val="000000"/>
        </w:rPr>
      </w:pPr>
      <w:r>
        <w:rPr>
          <w:color w:val="000000"/>
        </w:rPr>
        <w:t>63%</w:t>
      </w:r>
      <w:r w:rsidR="00BF059B">
        <w:rPr>
          <w:color w:val="000000"/>
        </w:rPr>
        <w:t xml:space="preserve"> </w:t>
      </w:r>
      <w:r>
        <w:rPr>
          <w:color w:val="000000"/>
        </w:rPr>
        <w:t>of</w:t>
      </w:r>
      <w:r w:rsidR="00BF059B">
        <w:rPr>
          <w:color w:val="000000"/>
        </w:rPr>
        <w:t xml:space="preserve"> </w:t>
      </w:r>
      <w:r>
        <w:rPr>
          <w:color w:val="000000"/>
        </w:rPr>
        <w:t>visitors</w:t>
      </w:r>
      <w:r w:rsidR="00BF059B">
        <w:rPr>
          <w:color w:val="000000"/>
        </w:rPr>
        <w:t xml:space="preserve"> </w:t>
      </w:r>
      <w:r>
        <w:rPr>
          <w:color w:val="000000"/>
        </w:rPr>
        <w:t>were</w:t>
      </w:r>
      <w:r w:rsidR="00BF059B">
        <w:rPr>
          <w:color w:val="000000"/>
        </w:rPr>
        <w:t xml:space="preserve"> </w:t>
      </w:r>
      <w:r>
        <w:rPr>
          <w:color w:val="000000"/>
        </w:rPr>
        <w:t>in</w:t>
      </w:r>
      <w:r w:rsidR="00BF059B">
        <w:rPr>
          <w:color w:val="000000"/>
        </w:rPr>
        <w:t xml:space="preserve"> </w:t>
      </w:r>
      <w:r>
        <w:rPr>
          <w:color w:val="000000"/>
        </w:rPr>
        <w:t>family</w:t>
      </w:r>
      <w:r w:rsidR="00BF059B">
        <w:rPr>
          <w:color w:val="000000"/>
        </w:rPr>
        <w:t xml:space="preserve"> </w:t>
      </w:r>
      <w:r>
        <w:rPr>
          <w:color w:val="000000"/>
        </w:rPr>
        <w:t>groups</w:t>
      </w:r>
      <w:r w:rsidR="00BF059B">
        <w:rPr>
          <w:color w:val="000000"/>
        </w:rPr>
        <w:t xml:space="preserve"> </w:t>
      </w:r>
      <w:r>
        <w:rPr>
          <w:color w:val="000000"/>
        </w:rPr>
        <w:t>(down</w:t>
      </w:r>
      <w:r w:rsidR="00BF059B">
        <w:rPr>
          <w:color w:val="000000"/>
        </w:rPr>
        <w:t xml:space="preserve"> </w:t>
      </w:r>
      <w:r>
        <w:rPr>
          <w:color w:val="000000"/>
        </w:rPr>
        <w:t>from</w:t>
      </w:r>
      <w:r w:rsidR="00BF059B">
        <w:rPr>
          <w:color w:val="000000"/>
        </w:rPr>
        <w:t xml:space="preserve"> </w:t>
      </w:r>
      <w:r>
        <w:rPr>
          <w:color w:val="000000"/>
        </w:rPr>
        <w:t>70%</w:t>
      </w:r>
      <w:r w:rsidR="00BF059B">
        <w:rPr>
          <w:color w:val="000000"/>
        </w:rPr>
        <w:t xml:space="preserve"> </w:t>
      </w:r>
      <w:r>
        <w:rPr>
          <w:color w:val="000000"/>
        </w:rPr>
        <w:t>in</w:t>
      </w:r>
      <w:r w:rsidR="00BF059B">
        <w:rPr>
          <w:color w:val="000000"/>
        </w:rPr>
        <w:t xml:space="preserve"> </w:t>
      </w:r>
      <w:r>
        <w:rPr>
          <w:color w:val="000000"/>
        </w:rPr>
        <w:t>2023/24).</w:t>
      </w:r>
      <w:r w:rsidR="00BF059B">
        <w:rPr>
          <w:color w:val="000000"/>
        </w:rPr>
        <w:t xml:space="preserve"> </w:t>
      </w:r>
      <w:r>
        <w:rPr>
          <w:color w:val="000000"/>
        </w:rPr>
        <w:t>This</w:t>
      </w:r>
      <w:r w:rsidR="00BF059B">
        <w:rPr>
          <w:color w:val="000000"/>
        </w:rPr>
        <w:t xml:space="preserve"> </w:t>
      </w:r>
      <w:r>
        <w:rPr>
          <w:color w:val="000000"/>
        </w:rPr>
        <w:t>is</w:t>
      </w:r>
      <w:r w:rsidR="00BF059B">
        <w:rPr>
          <w:color w:val="000000"/>
        </w:rPr>
        <w:t xml:space="preserve"> </w:t>
      </w:r>
      <w:r>
        <w:rPr>
          <w:color w:val="000000"/>
        </w:rPr>
        <w:t>the</w:t>
      </w:r>
      <w:r w:rsidR="00BF059B">
        <w:rPr>
          <w:color w:val="000000"/>
        </w:rPr>
        <w:t xml:space="preserve"> </w:t>
      </w:r>
      <w:r>
        <w:rPr>
          <w:color w:val="000000"/>
        </w:rPr>
        <w:t>equivalent</w:t>
      </w:r>
      <w:r w:rsidR="00BF059B">
        <w:rPr>
          <w:color w:val="000000"/>
        </w:rPr>
        <w:t xml:space="preserve"> </w:t>
      </w:r>
      <w:r>
        <w:rPr>
          <w:color w:val="000000"/>
        </w:rPr>
        <w:t>of</w:t>
      </w:r>
      <w:r w:rsidR="00BF059B">
        <w:rPr>
          <w:color w:val="000000"/>
        </w:rPr>
        <w:t xml:space="preserve"> </w:t>
      </w:r>
      <w:r>
        <w:rPr>
          <w:color w:val="000000"/>
        </w:rPr>
        <w:t>around</w:t>
      </w:r>
      <w:r w:rsidR="00BF059B">
        <w:rPr>
          <w:color w:val="000000"/>
        </w:rPr>
        <w:t xml:space="preserve"> </w:t>
      </w:r>
      <w:r>
        <w:rPr>
          <w:color w:val="000000"/>
        </w:rPr>
        <w:t>117,000</w:t>
      </w:r>
      <w:r w:rsidR="00BF059B">
        <w:rPr>
          <w:color w:val="000000"/>
        </w:rPr>
        <w:t xml:space="preserve"> </w:t>
      </w:r>
      <w:r>
        <w:rPr>
          <w:color w:val="000000"/>
        </w:rPr>
        <w:t>fewer</w:t>
      </w:r>
      <w:r w:rsidR="00BF059B">
        <w:rPr>
          <w:color w:val="000000"/>
        </w:rPr>
        <w:t xml:space="preserve"> </w:t>
      </w:r>
      <w:r>
        <w:rPr>
          <w:color w:val="000000"/>
        </w:rPr>
        <w:t>visits</w:t>
      </w:r>
      <w:r w:rsidR="00BF059B">
        <w:rPr>
          <w:color w:val="000000"/>
        </w:rPr>
        <w:t xml:space="preserve"> </w:t>
      </w:r>
      <w:r>
        <w:rPr>
          <w:color w:val="000000"/>
        </w:rPr>
        <w:t>by</w:t>
      </w:r>
      <w:r w:rsidR="00BF059B">
        <w:rPr>
          <w:color w:val="000000"/>
        </w:rPr>
        <w:t xml:space="preserve"> </w:t>
      </w:r>
      <w:r>
        <w:rPr>
          <w:color w:val="000000"/>
        </w:rPr>
        <w:t>families.</w:t>
      </w:r>
      <w:r w:rsidR="00BF059B">
        <w:rPr>
          <w:color w:val="000000"/>
        </w:rPr>
        <w:t xml:space="preserve"> </w:t>
      </w:r>
      <w:r>
        <w:rPr>
          <w:color w:val="000000"/>
        </w:rPr>
        <w:t>Visitors</w:t>
      </w:r>
      <w:r w:rsidR="00BF059B">
        <w:rPr>
          <w:color w:val="000000"/>
        </w:rPr>
        <w:t xml:space="preserve"> </w:t>
      </w:r>
      <w:r>
        <w:rPr>
          <w:color w:val="000000"/>
        </w:rPr>
        <w:t>from</w:t>
      </w:r>
      <w:r w:rsidR="00BF059B">
        <w:rPr>
          <w:color w:val="000000"/>
        </w:rPr>
        <w:t xml:space="preserve"> </w:t>
      </w:r>
      <w:r>
        <w:rPr>
          <w:color w:val="000000"/>
        </w:rPr>
        <w:t>London</w:t>
      </w:r>
      <w:r w:rsidR="00BF059B">
        <w:rPr>
          <w:color w:val="000000"/>
        </w:rPr>
        <w:t xml:space="preserve"> </w:t>
      </w:r>
      <w:r>
        <w:rPr>
          <w:color w:val="000000"/>
        </w:rPr>
        <w:t>were</w:t>
      </w:r>
      <w:r w:rsidR="00BF059B">
        <w:rPr>
          <w:color w:val="000000"/>
        </w:rPr>
        <w:t xml:space="preserve"> </w:t>
      </w:r>
      <w:r>
        <w:rPr>
          <w:color w:val="000000"/>
        </w:rPr>
        <w:t>down</w:t>
      </w:r>
      <w:r w:rsidR="00BF059B">
        <w:rPr>
          <w:color w:val="000000"/>
        </w:rPr>
        <w:t xml:space="preserve"> </w:t>
      </w:r>
      <w:r>
        <w:rPr>
          <w:color w:val="000000"/>
        </w:rPr>
        <w:t>from</w:t>
      </w:r>
      <w:r w:rsidR="00BF059B">
        <w:rPr>
          <w:color w:val="000000"/>
        </w:rPr>
        <w:t xml:space="preserve"> </w:t>
      </w:r>
      <w:r>
        <w:rPr>
          <w:color w:val="000000"/>
        </w:rPr>
        <w:t>77%</w:t>
      </w:r>
      <w:r w:rsidR="00BF059B">
        <w:rPr>
          <w:color w:val="000000"/>
        </w:rPr>
        <w:t xml:space="preserve"> </w:t>
      </w:r>
      <w:r>
        <w:rPr>
          <w:color w:val="000000"/>
        </w:rPr>
        <w:t>to</w:t>
      </w:r>
      <w:r w:rsidR="00BF059B">
        <w:rPr>
          <w:color w:val="000000"/>
        </w:rPr>
        <w:t xml:space="preserve"> </w:t>
      </w:r>
      <w:r>
        <w:rPr>
          <w:color w:val="000000"/>
        </w:rPr>
        <w:t>71%.</w:t>
      </w:r>
      <w:r w:rsidR="00BF059B">
        <w:rPr>
          <w:color w:val="000000"/>
        </w:rPr>
        <w:t xml:space="preserve"> </w:t>
      </w:r>
      <w:r>
        <w:rPr>
          <w:color w:val="000000"/>
        </w:rPr>
        <w:t>We</w:t>
      </w:r>
      <w:r w:rsidR="00BF059B">
        <w:rPr>
          <w:color w:val="000000"/>
        </w:rPr>
        <w:t xml:space="preserve"> </w:t>
      </w:r>
      <w:r>
        <w:rPr>
          <w:color w:val="000000"/>
        </w:rPr>
        <w:t>saw</w:t>
      </w:r>
      <w:r w:rsidR="00BF059B">
        <w:rPr>
          <w:color w:val="000000"/>
        </w:rPr>
        <w:t xml:space="preserve"> </w:t>
      </w:r>
      <w:r>
        <w:rPr>
          <w:color w:val="000000"/>
        </w:rPr>
        <w:t>an</w:t>
      </w:r>
      <w:r w:rsidR="00BF059B">
        <w:rPr>
          <w:color w:val="000000"/>
        </w:rPr>
        <w:t xml:space="preserve"> </w:t>
      </w:r>
      <w:r>
        <w:rPr>
          <w:color w:val="000000"/>
        </w:rPr>
        <w:t>increase</w:t>
      </w:r>
      <w:r w:rsidR="00BF059B">
        <w:rPr>
          <w:color w:val="000000"/>
        </w:rPr>
        <w:t xml:space="preserve"> </w:t>
      </w:r>
      <w:r>
        <w:rPr>
          <w:color w:val="000000"/>
        </w:rPr>
        <w:t>in</w:t>
      </w:r>
      <w:r w:rsidR="00BF059B">
        <w:rPr>
          <w:color w:val="000000"/>
        </w:rPr>
        <w:t xml:space="preserve"> </w:t>
      </w:r>
      <w:r>
        <w:rPr>
          <w:color w:val="000000"/>
        </w:rPr>
        <w:t>overseas</w:t>
      </w:r>
      <w:r w:rsidR="00BF059B">
        <w:rPr>
          <w:color w:val="000000"/>
        </w:rPr>
        <w:t xml:space="preserve"> </w:t>
      </w:r>
      <w:r>
        <w:rPr>
          <w:color w:val="000000"/>
        </w:rPr>
        <w:t>visitors</w:t>
      </w:r>
      <w:r w:rsidR="00BF059B">
        <w:rPr>
          <w:color w:val="000000"/>
        </w:rPr>
        <w:t xml:space="preserve"> </w:t>
      </w:r>
      <w:r>
        <w:rPr>
          <w:color w:val="000000"/>
        </w:rPr>
        <w:t>from</w:t>
      </w:r>
      <w:r w:rsidR="00BF059B">
        <w:rPr>
          <w:color w:val="000000"/>
        </w:rPr>
        <w:t xml:space="preserve"> </w:t>
      </w:r>
      <w:r>
        <w:rPr>
          <w:color w:val="000000"/>
        </w:rPr>
        <w:t>5%</w:t>
      </w:r>
      <w:r w:rsidR="00BF059B">
        <w:rPr>
          <w:color w:val="000000"/>
        </w:rPr>
        <w:t xml:space="preserve"> </w:t>
      </w:r>
      <w:r>
        <w:rPr>
          <w:color w:val="000000"/>
        </w:rPr>
        <w:t>to</w:t>
      </w:r>
      <w:r w:rsidR="00BF059B">
        <w:rPr>
          <w:color w:val="000000"/>
        </w:rPr>
        <w:t xml:space="preserve"> </w:t>
      </w:r>
      <w:r>
        <w:rPr>
          <w:color w:val="000000"/>
        </w:rPr>
        <w:t>9%.</w:t>
      </w:r>
      <w:r w:rsidR="00BF059B">
        <w:rPr>
          <w:color w:val="000000"/>
        </w:rPr>
        <w:t xml:space="preserve"> </w:t>
      </w:r>
      <w:r>
        <w:rPr>
          <w:color w:val="000000"/>
        </w:rPr>
        <w:t>This</w:t>
      </w:r>
      <w:r w:rsidR="00BF059B">
        <w:rPr>
          <w:color w:val="000000"/>
        </w:rPr>
        <w:t xml:space="preserve"> </w:t>
      </w:r>
      <w:r>
        <w:rPr>
          <w:color w:val="000000"/>
        </w:rPr>
        <w:t>analysis</w:t>
      </w:r>
      <w:r w:rsidR="00BF059B">
        <w:rPr>
          <w:color w:val="000000"/>
        </w:rPr>
        <w:t xml:space="preserve"> </w:t>
      </w:r>
      <w:r>
        <w:rPr>
          <w:color w:val="000000"/>
        </w:rPr>
        <w:t>of</w:t>
      </w:r>
      <w:r w:rsidR="00BF059B">
        <w:rPr>
          <w:color w:val="000000"/>
        </w:rPr>
        <w:t xml:space="preserve"> </w:t>
      </w:r>
      <w:r>
        <w:rPr>
          <w:color w:val="000000"/>
        </w:rPr>
        <w:t>our</w:t>
      </w:r>
      <w:r w:rsidR="00BF059B">
        <w:rPr>
          <w:color w:val="000000"/>
        </w:rPr>
        <w:t xml:space="preserve"> </w:t>
      </w:r>
      <w:r>
        <w:rPr>
          <w:color w:val="000000"/>
        </w:rPr>
        <w:t>visitor</w:t>
      </w:r>
      <w:r w:rsidR="00BF059B">
        <w:rPr>
          <w:color w:val="000000"/>
        </w:rPr>
        <w:t xml:space="preserve"> </w:t>
      </w:r>
      <w:r>
        <w:rPr>
          <w:color w:val="000000"/>
        </w:rPr>
        <w:t>data</w:t>
      </w:r>
      <w:r w:rsidR="00BF059B">
        <w:rPr>
          <w:color w:val="000000"/>
        </w:rPr>
        <w:t xml:space="preserve"> </w:t>
      </w:r>
      <w:r>
        <w:rPr>
          <w:color w:val="000000"/>
        </w:rPr>
        <w:t>shows</w:t>
      </w:r>
      <w:r w:rsidR="00BF059B">
        <w:rPr>
          <w:color w:val="000000"/>
        </w:rPr>
        <w:t xml:space="preserve"> </w:t>
      </w:r>
      <w:r>
        <w:rPr>
          <w:color w:val="000000"/>
        </w:rPr>
        <w:t>us</w:t>
      </w:r>
      <w:r w:rsidR="00BF059B">
        <w:rPr>
          <w:color w:val="000000"/>
        </w:rPr>
        <w:t xml:space="preserve"> </w:t>
      </w:r>
      <w:r>
        <w:rPr>
          <w:color w:val="000000"/>
        </w:rPr>
        <w:t>that</w:t>
      </w:r>
      <w:r w:rsidR="00BF059B">
        <w:rPr>
          <w:color w:val="000000"/>
        </w:rPr>
        <w:t xml:space="preserve"> </w:t>
      </w:r>
      <w:r>
        <w:rPr>
          <w:color w:val="000000"/>
        </w:rPr>
        <w:t>the</w:t>
      </w:r>
      <w:r w:rsidR="00BF059B">
        <w:rPr>
          <w:color w:val="000000"/>
        </w:rPr>
        <w:t xml:space="preserve"> </w:t>
      </w:r>
      <w:r>
        <w:rPr>
          <w:color w:val="000000"/>
        </w:rPr>
        <w:t>decline</w:t>
      </w:r>
      <w:r w:rsidR="00BF059B">
        <w:rPr>
          <w:color w:val="000000"/>
        </w:rPr>
        <w:t xml:space="preserve"> </w:t>
      </w:r>
      <w:r>
        <w:rPr>
          <w:color w:val="000000"/>
        </w:rPr>
        <w:t>in</w:t>
      </w:r>
      <w:r w:rsidR="00BF059B">
        <w:rPr>
          <w:color w:val="000000"/>
        </w:rPr>
        <w:t xml:space="preserve"> </w:t>
      </w:r>
      <w:r>
        <w:rPr>
          <w:color w:val="000000"/>
        </w:rPr>
        <w:t>Museum</w:t>
      </w:r>
      <w:r w:rsidR="00BF059B">
        <w:rPr>
          <w:color w:val="000000"/>
        </w:rPr>
        <w:t xml:space="preserve"> </w:t>
      </w:r>
      <w:r>
        <w:rPr>
          <w:color w:val="000000"/>
        </w:rPr>
        <w:t>visitors</w:t>
      </w:r>
      <w:r w:rsidR="00BF059B">
        <w:rPr>
          <w:color w:val="000000"/>
        </w:rPr>
        <w:t xml:space="preserve"> </w:t>
      </w:r>
      <w:r>
        <w:rPr>
          <w:color w:val="000000"/>
        </w:rPr>
        <w:t>came</w:t>
      </w:r>
      <w:r w:rsidR="00BF059B">
        <w:rPr>
          <w:color w:val="000000"/>
        </w:rPr>
        <w:t xml:space="preserve"> </w:t>
      </w:r>
      <w:r>
        <w:rPr>
          <w:color w:val="000000"/>
        </w:rPr>
        <w:t>from</w:t>
      </w:r>
      <w:r w:rsidR="00BF059B">
        <w:rPr>
          <w:color w:val="000000"/>
        </w:rPr>
        <w:t xml:space="preserve"> </w:t>
      </w:r>
      <w:r>
        <w:rPr>
          <w:color w:val="000000"/>
        </w:rPr>
        <w:t>a</w:t>
      </w:r>
      <w:r w:rsidR="00BF059B">
        <w:rPr>
          <w:color w:val="000000"/>
        </w:rPr>
        <w:t xml:space="preserve"> </w:t>
      </w:r>
      <w:r>
        <w:rPr>
          <w:color w:val="000000"/>
        </w:rPr>
        <w:t>slight</w:t>
      </w:r>
      <w:r w:rsidR="00BF059B">
        <w:rPr>
          <w:color w:val="000000"/>
        </w:rPr>
        <w:t xml:space="preserve"> </w:t>
      </w:r>
      <w:r>
        <w:rPr>
          <w:color w:val="000000"/>
        </w:rPr>
        <w:t>drop</w:t>
      </w:r>
      <w:r w:rsidR="00BF059B">
        <w:rPr>
          <w:color w:val="000000"/>
        </w:rPr>
        <w:t xml:space="preserve"> </w:t>
      </w:r>
      <w:r>
        <w:rPr>
          <w:color w:val="000000"/>
        </w:rPr>
        <w:t>in</w:t>
      </w:r>
      <w:r w:rsidR="00BF059B">
        <w:rPr>
          <w:color w:val="000000"/>
        </w:rPr>
        <w:t xml:space="preserve"> </w:t>
      </w:r>
      <w:r>
        <w:rPr>
          <w:color w:val="000000"/>
        </w:rPr>
        <w:t>visit</w:t>
      </w:r>
      <w:r w:rsidR="00BF059B">
        <w:rPr>
          <w:color w:val="000000"/>
        </w:rPr>
        <w:t xml:space="preserve"> </w:t>
      </w:r>
      <w:r>
        <w:rPr>
          <w:color w:val="000000"/>
        </w:rPr>
        <w:t>frequency</w:t>
      </w:r>
      <w:r w:rsidR="00BF059B">
        <w:rPr>
          <w:color w:val="000000"/>
        </w:rPr>
        <w:t xml:space="preserve"> </w:t>
      </w:r>
      <w:r>
        <w:rPr>
          <w:color w:val="000000"/>
        </w:rPr>
        <w:t>from</w:t>
      </w:r>
      <w:r w:rsidR="00BF059B">
        <w:rPr>
          <w:color w:val="000000"/>
        </w:rPr>
        <w:t xml:space="preserve"> </w:t>
      </w:r>
      <w:r>
        <w:rPr>
          <w:color w:val="000000"/>
        </w:rPr>
        <w:t>our</w:t>
      </w:r>
      <w:r w:rsidR="00BF059B">
        <w:rPr>
          <w:color w:val="000000"/>
        </w:rPr>
        <w:t xml:space="preserve"> </w:t>
      </w:r>
      <w:r>
        <w:rPr>
          <w:color w:val="000000"/>
        </w:rPr>
        <w:t>very</w:t>
      </w:r>
      <w:r w:rsidR="00BF059B">
        <w:rPr>
          <w:color w:val="000000"/>
        </w:rPr>
        <w:t xml:space="preserve"> </w:t>
      </w:r>
      <w:r>
        <w:rPr>
          <w:color w:val="000000"/>
        </w:rPr>
        <w:t>loyal</w:t>
      </w:r>
      <w:r w:rsidR="00BF059B">
        <w:rPr>
          <w:color w:val="000000"/>
        </w:rPr>
        <w:t xml:space="preserve"> </w:t>
      </w:r>
      <w:r>
        <w:rPr>
          <w:color w:val="000000"/>
        </w:rPr>
        <w:t>audiences,</w:t>
      </w:r>
      <w:r w:rsidR="00BF059B">
        <w:rPr>
          <w:color w:val="000000"/>
        </w:rPr>
        <w:t xml:space="preserve"> </w:t>
      </w:r>
      <w:r>
        <w:rPr>
          <w:color w:val="000000"/>
        </w:rPr>
        <w:t>and</w:t>
      </w:r>
      <w:r w:rsidR="00BF059B">
        <w:rPr>
          <w:color w:val="000000"/>
        </w:rPr>
        <w:t xml:space="preserve"> </w:t>
      </w:r>
      <w:r>
        <w:rPr>
          <w:color w:val="000000"/>
        </w:rPr>
        <w:t>a</w:t>
      </w:r>
      <w:r w:rsidR="00BF059B">
        <w:rPr>
          <w:color w:val="000000"/>
        </w:rPr>
        <w:t xml:space="preserve"> </w:t>
      </w:r>
      <w:r>
        <w:rPr>
          <w:color w:val="000000"/>
        </w:rPr>
        <w:t>drop</w:t>
      </w:r>
      <w:r w:rsidR="00BF059B">
        <w:rPr>
          <w:color w:val="000000"/>
        </w:rPr>
        <w:t xml:space="preserve"> </w:t>
      </w:r>
      <w:r>
        <w:rPr>
          <w:color w:val="000000"/>
        </w:rPr>
        <w:t>in</w:t>
      </w:r>
      <w:r w:rsidR="00BF059B">
        <w:rPr>
          <w:color w:val="000000"/>
        </w:rPr>
        <w:t xml:space="preserve"> </w:t>
      </w:r>
      <w:r>
        <w:rPr>
          <w:color w:val="000000"/>
        </w:rPr>
        <w:t>visits</w:t>
      </w:r>
      <w:r w:rsidR="00BF059B">
        <w:rPr>
          <w:color w:val="000000"/>
        </w:rPr>
        <w:t xml:space="preserve"> </w:t>
      </w:r>
      <w:r>
        <w:rPr>
          <w:color w:val="000000"/>
        </w:rPr>
        <w:t>from</w:t>
      </w:r>
      <w:r w:rsidR="00BF059B">
        <w:rPr>
          <w:color w:val="000000"/>
        </w:rPr>
        <w:t xml:space="preserve"> </w:t>
      </w:r>
      <w:r>
        <w:rPr>
          <w:color w:val="000000"/>
        </w:rPr>
        <w:t>London-based</w:t>
      </w:r>
      <w:r w:rsidR="00BF059B">
        <w:rPr>
          <w:color w:val="000000"/>
        </w:rPr>
        <w:t xml:space="preserve"> </w:t>
      </w:r>
      <w:r>
        <w:rPr>
          <w:color w:val="000000"/>
        </w:rPr>
        <w:t>‘lapsed’</w:t>
      </w:r>
      <w:r w:rsidR="00BF059B">
        <w:rPr>
          <w:color w:val="000000"/>
        </w:rPr>
        <w:t xml:space="preserve"> </w:t>
      </w:r>
      <w:r>
        <w:rPr>
          <w:color w:val="000000"/>
        </w:rPr>
        <w:t>family</w:t>
      </w:r>
      <w:r w:rsidR="00BF059B">
        <w:rPr>
          <w:color w:val="000000"/>
        </w:rPr>
        <w:t xml:space="preserve"> </w:t>
      </w:r>
      <w:r>
        <w:rPr>
          <w:color w:val="000000"/>
        </w:rPr>
        <w:t>visitors</w:t>
      </w:r>
      <w:r w:rsidR="00BF059B">
        <w:rPr>
          <w:color w:val="000000"/>
        </w:rPr>
        <w:t xml:space="preserve"> </w:t>
      </w:r>
      <w:r>
        <w:rPr>
          <w:color w:val="000000"/>
        </w:rPr>
        <w:t>who</w:t>
      </w:r>
      <w:r w:rsidR="00BF059B">
        <w:rPr>
          <w:color w:val="000000"/>
        </w:rPr>
        <w:t xml:space="preserve"> </w:t>
      </w:r>
      <w:r>
        <w:rPr>
          <w:color w:val="000000"/>
        </w:rPr>
        <w:t>last</w:t>
      </w:r>
      <w:r w:rsidR="00BF059B">
        <w:rPr>
          <w:color w:val="000000"/>
        </w:rPr>
        <w:t xml:space="preserve"> </w:t>
      </w:r>
      <w:r>
        <w:rPr>
          <w:color w:val="000000"/>
        </w:rPr>
        <w:t>visited</w:t>
      </w:r>
      <w:r w:rsidR="00BF059B">
        <w:rPr>
          <w:color w:val="000000"/>
        </w:rPr>
        <w:t xml:space="preserve"> </w:t>
      </w:r>
      <w:r>
        <w:rPr>
          <w:color w:val="000000"/>
        </w:rPr>
        <w:t>over</w:t>
      </w:r>
      <w:r w:rsidR="00BF059B">
        <w:rPr>
          <w:color w:val="000000"/>
        </w:rPr>
        <w:t xml:space="preserve"> </w:t>
      </w:r>
      <w:r>
        <w:rPr>
          <w:color w:val="000000"/>
        </w:rPr>
        <w:t>a</w:t>
      </w:r>
      <w:r w:rsidR="00BF059B">
        <w:rPr>
          <w:color w:val="000000"/>
        </w:rPr>
        <w:t xml:space="preserve"> </w:t>
      </w:r>
      <w:r>
        <w:rPr>
          <w:color w:val="000000"/>
        </w:rPr>
        <w:t>year</w:t>
      </w:r>
      <w:r w:rsidR="00BF059B">
        <w:rPr>
          <w:color w:val="000000"/>
        </w:rPr>
        <w:t xml:space="preserve"> </w:t>
      </w:r>
      <w:r>
        <w:rPr>
          <w:color w:val="000000"/>
        </w:rPr>
        <w:t>ago.</w:t>
      </w:r>
      <w:r w:rsidR="00BF059B">
        <w:rPr>
          <w:color w:val="000000"/>
        </w:rPr>
        <w:t xml:space="preserve"> </w:t>
      </w:r>
      <w:r>
        <w:rPr>
          <w:color w:val="000000"/>
        </w:rPr>
        <w:t>This</w:t>
      </w:r>
      <w:r w:rsidR="00BF059B">
        <w:rPr>
          <w:color w:val="000000"/>
        </w:rPr>
        <w:t xml:space="preserve"> </w:t>
      </w:r>
      <w:r>
        <w:rPr>
          <w:color w:val="000000"/>
        </w:rPr>
        <w:t>is</w:t>
      </w:r>
      <w:r w:rsidR="00BF059B">
        <w:rPr>
          <w:color w:val="000000"/>
        </w:rPr>
        <w:t xml:space="preserve"> </w:t>
      </w:r>
      <w:r>
        <w:rPr>
          <w:color w:val="000000"/>
        </w:rPr>
        <w:t>to</w:t>
      </w:r>
      <w:r w:rsidR="00BF059B">
        <w:rPr>
          <w:color w:val="000000"/>
        </w:rPr>
        <w:t xml:space="preserve"> </w:t>
      </w:r>
      <w:r>
        <w:rPr>
          <w:color w:val="000000"/>
        </w:rPr>
        <w:t>be</w:t>
      </w:r>
      <w:r w:rsidR="00BF059B">
        <w:rPr>
          <w:color w:val="000000"/>
        </w:rPr>
        <w:t xml:space="preserve"> </w:t>
      </w:r>
      <w:r>
        <w:rPr>
          <w:color w:val="000000"/>
        </w:rPr>
        <w:t>expected,</w:t>
      </w:r>
      <w:r w:rsidR="00BF059B">
        <w:rPr>
          <w:color w:val="000000"/>
        </w:rPr>
        <w:t xml:space="preserve"> </w:t>
      </w:r>
      <w:r>
        <w:rPr>
          <w:color w:val="000000"/>
        </w:rPr>
        <w:t>as</w:t>
      </w:r>
      <w:r w:rsidR="00BF059B">
        <w:rPr>
          <w:color w:val="000000"/>
        </w:rPr>
        <w:t xml:space="preserve"> </w:t>
      </w:r>
      <w:r>
        <w:rPr>
          <w:color w:val="000000"/>
        </w:rPr>
        <w:t>lapsed</w:t>
      </w:r>
      <w:r w:rsidR="00BF059B">
        <w:rPr>
          <w:color w:val="000000"/>
        </w:rPr>
        <w:t xml:space="preserve"> </w:t>
      </w:r>
      <w:r>
        <w:rPr>
          <w:color w:val="000000"/>
        </w:rPr>
        <w:t>visitors</w:t>
      </w:r>
      <w:r w:rsidR="00BF059B">
        <w:rPr>
          <w:color w:val="000000"/>
        </w:rPr>
        <w:t xml:space="preserve"> </w:t>
      </w:r>
      <w:r>
        <w:rPr>
          <w:color w:val="000000"/>
        </w:rPr>
        <w:t>may</w:t>
      </w:r>
      <w:r w:rsidR="00BF059B">
        <w:rPr>
          <w:color w:val="000000"/>
        </w:rPr>
        <w:t xml:space="preserve"> </w:t>
      </w:r>
      <w:r>
        <w:rPr>
          <w:color w:val="000000"/>
        </w:rPr>
        <w:t>be</w:t>
      </w:r>
      <w:r w:rsidR="00BF059B">
        <w:rPr>
          <w:color w:val="000000"/>
        </w:rPr>
        <w:t xml:space="preserve"> </w:t>
      </w:r>
      <w:r>
        <w:rPr>
          <w:color w:val="000000"/>
        </w:rPr>
        <w:t>more</w:t>
      </w:r>
      <w:r w:rsidR="00BF059B">
        <w:rPr>
          <w:color w:val="000000"/>
        </w:rPr>
        <w:t xml:space="preserve"> </w:t>
      </w:r>
      <w:r>
        <w:rPr>
          <w:color w:val="000000"/>
        </w:rPr>
        <w:t>likely</w:t>
      </w:r>
      <w:r w:rsidR="00BF059B">
        <w:rPr>
          <w:color w:val="000000"/>
        </w:rPr>
        <w:t xml:space="preserve"> </w:t>
      </w:r>
      <w:r>
        <w:rPr>
          <w:color w:val="000000"/>
        </w:rPr>
        <w:t>to</w:t>
      </w:r>
      <w:r w:rsidR="00BF059B">
        <w:rPr>
          <w:color w:val="000000"/>
        </w:rPr>
        <w:t xml:space="preserve"> </w:t>
      </w:r>
      <w:r>
        <w:rPr>
          <w:color w:val="000000"/>
        </w:rPr>
        <w:t>return</w:t>
      </w:r>
      <w:r w:rsidR="00BF059B">
        <w:rPr>
          <w:color w:val="000000"/>
        </w:rPr>
        <w:t xml:space="preserve"> </w:t>
      </w:r>
      <w:r>
        <w:rPr>
          <w:color w:val="000000"/>
        </w:rPr>
        <w:t>after</w:t>
      </w:r>
      <w:r w:rsidR="00BF059B">
        <w:rPr>
          <w:color w:val="000000"/>
        </w:rPr>
        <w:t xml:space="preserve"> </w:t>
      </w:r>
      <w:r>
        <w:rPr>
          <w:color w:val="000000"/>
        </w:rPr>
        <w:t>Nature</w:t>
      </w:r>
      <w:r w:rsidR="00BF059B">
        <w:rPr>
          <w:color w:val="000000"/>
        </w:rPr>
        <w:t xml:space="preserve"> </w:t>
      </w:r>
      <w:r>
        <w:rPr>
          <w:color w:val="000000"/>
        </w:rPr>
        <w:t>+</w:t>
      </w:r>
      <w:r w:rsidR="00BF059B">
        <w:rPr>
          <w:color w:val="000000"/>
        </w:rPr>
        <w:t xml:space="preserve"> </w:t>
      </w:r>
      <w:r>
        <w:rPr>
          <w:color w:val="000000"/>
        </w:rPr>
        <w:t>Love</w:t>
      </w:r>
      <w:r w:rsidR="00BF059B">
        <w:rPr>
          <w:color w:val="000000"/>
        </w:rPr>
        <w:t xml:space="preserve"> </w:t>
      </w:r>
      <w:r>
        <w:rPr>
          <w:color w:val="000000"/>
        </w:rPr>
        <w:t>completes.</w:t>
      </w:r>
    </w:p>
    <w:p w14:paraId="11BD287F" w14:textId="77777777" w:rsidR="00BF059B" w:rsidRDefault="00BF059B">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288970FB" w14:textId="02E13F8F" w:rsidR="00BE13A8" w:rsidRDefault="00D70530">
      <w:pPr>
        <w:pBdr>
          <w:top w:val="nil"/>
          <w:left w:val="nil"/>
          <w:bottom w:val="nil"/>
          <w:right w:val="nil"/>
          <w:between w:val="nil"/>
        </w:pBdr>
        <w:jc w:val="both"/>
        <w:rPr>
          <w:rFonts w:ascii="Quattrocento Sans" w:eastAsia="Quattrocento Sans" w:hAnsi="Quattrocento Sans" w:cs="Quattrocento Sans"/>
          <w:color w:val="000000"/>
          <w:sz w:val="18"/>
          <w:szCs w:val="18"/>
        </w:rPr>
      </w:pPr>
      <w:r>
        <w:rPr>
          <w:color w:val="000000"/>
        </w:rPr>
        <w:lastRenderedPageBreak/>
        <w:t>The</w:t>
      </w:r>
      <w:r w:rsidR="00BF059B">
        <w:rPr>
          <w:color w:val="000000"/>
        </w:rPr>
        <w:t xml:space="preserve"> </w:t>
      </w:r>
      <w:r>
        <w:rPr>
          <w:color w:val="000000"/>
        </w:rPr>
        <w:t>increase</w:t>
      </w:r>
      <w:r w:rsidR="00BF059B">
        <w:rPr>
          <w:color w:val="000000"/>
        </w:rPr>
        <w:t xml:space="preserve"> </w:t>
      </w:r>
      <w:r>
        <w:rPr>
          <w:color w:val="000000"/>
        </w:rPr>
        <w:t>in</w:t>
      </w:r>
      <w:r w:rsidR="00BF059B">
        <w:rPr>
          <w:color w:val="000000"/>
        </w:rPr>
        <w:t xml:space="preserve"> </w:t>
      </w:r>
      <w:r>
        <w:rPr>
          <w:color w:val="000000"/>
        </w:rPr>
        <w:t>visitors</w:t>
      </w:r>
      <w:r w:rsidR="00BF059B">
        <w:rPr>
          <w:color w:val="000000"/>
        </w:rPr>
        <w:t xml:space="preserve"> </w:t>
      </w:r>
      <w:r>
        <w:rPr>
          <w:color w:val="000000"/>
        </w:rPr>
        <w:t>from</w:t>
      </w:r>
      <w:r w:rsidR="00BF059B">
        <w:rPr>
          <w:color w:val="000000"/>
        </w:rPr>
        <w:t xml:space="preserve"> </w:t>
      </w:r>
      <w:r>
        <w:rPr>
          <w:color w:val="000000"/>
        </w:rPr>
        <w:t>ethnically</w:t>
      </w:r>
      <w:r w:rsidR="00BF059B">
        <w:rPr>
          <w:color w:val="000000"/>
        </w:rPr>
        <w:t xml:space="preserve"> </w:t>
      </w:r>
      <w:r>
        <w:rPr>
          <w:color w:val="000000"/>
        </w:rPr>
        <w:t>diverse</w:t>
      </w:r>
      <w:r w:rsidR="00BF059B">
        <w:rPr>
          <w:color w:val="000000"/>
        </w:rPr>
        <w:t xml:space="preserve"> </w:t>
      </w:r>
      <w:r>
        <w:rPr>
          <w:color w:val="000000"/>
        </w:rPr>
        <w:t>groups,</w:t>
      </w:r>
      <w:r w:rsidR="00BF059B">
        <w:rPr>
          <w:color w:val="000000"/>
        </w:rPr>
        <w:t xml:space="preserve"> </w:t>
      </w:r>
      <w:r>
        <w:rPr>
          <w:color w:val="000000"/>
        </w:rPr>
        <w:t>from</w:t>
      </w:r>
      <w:r w:rsidR="00BF059B">
        <w:rPr>
          <w:color w:val="000000"/>
        </w:rPr>
        <w:t xml:space="preserve"> </w:t>
      </w:r>
      <w:r>
        <w:rPr>
          <w:color w:val="000000"/>
        </w:rPr>
        <w:t>17%</w:t>
      </w:r>
      <w:r w:rsidR="00BF059B">
        <w:rPr>
          <w:color w:val="000000"/>
        </w:rPr>
        <w:t xml:space="preserve"> </w:t>
      </w:r>
      <w:r>
        <w:rPr>
          <w:color w:val="000000"/>
        </w:rPr>
        <w:t>to</w:t>
      </w:r>
      <w:r w:rsidR="00BF059B">
        <w:rPr>
          <w:color w:val="000000"/>
        </w:rPr>
        <w:t xml:space="preserve"> </w:t>
      </w:r>
      <w:r>
        <w:rPr>
          <w:color w:val="000000"/>
        </w:rPr>
        <w:t>21%</w:t>
      </w:r>
      <w:r w:rsidR="00BF059B">
        <w:rPr>
          <w:color w:val="000000"/>
        </w:rPr>
        <w:t xml:space="preserve"> </w:t>
      </w:r>
      <w:r>
        <w:rPr>
          <w:color w:val="000000"/>
        </w:rPr>
        <w:t>equates</w:t>
      </w:r>
      <w:r w:rsidR="00BF059B">
        <w:rPr>
          <w:color w:val="000000"/>
        </w:rPr>
        <w:t xml:space="preserve"> </w:t>
      </w:r>
      <w:r>
        <w:rPr>
          <w:color w:val="000000"/>
        </w:rPr>
        <w:t>to</w:t>
      </w:r>
      <w:r w:rsidR="00BF059B">
        <w:rPr>
          <w:color w:val="000000"/>
        </w:rPr>
        <w:t xml:space="preserve"> </w:t>
      </w:r>
      <w:r>
        <w:rPr>
          <w:color w:val="000000"/>
        </w:rPr>
        <w:t>a</w:t>
      </w:r>
      <w:r w:rsidR="00BF059B">
        <w:rPr>
          <w:color w:val="000000"/>
        </w:rPr>
        <w:t xml:space="preserve"> </w:t>
      </w:r>
      <w:r>
        <w:rPr>
          <w:color w:val="000000"/>
        </w:rPr>
        <w:t>volume</w:t>
      </w:r>
      <w:r w:rsidR="00BF059B">
        <w:rPr>
          <w:color w:val="000000"/>
        </w:rPr>
        <w:t xml:space="preserve"> </w:t>
      </w:r>
      <w:r>
        <w:rPr>
          <w:color w:val="000000"/>
        </w:rPr>
        <w:t>increase</w:t>
      </w:r>
      <w:r w:rsidR="00BF059B">
        <w:rPr>
          <w:color w:val="000000"/>
        </w:rPr>
        <w:t xml:space="preserve"> </w:t>
      </w:r>
      <w:r>
        <w:rPr>
          <w:color w:val="000000"/>
        </w:rPr>
        <w:t>of</w:t>
      </w:r>
      <w:r w:rsidR="00BF059B">
        <w:rPr>
          <w:color w:val="000000"/>
        </w:rPr>
        <w:t xml:space="preserve"> </w:t>
      </w:r>
      <w:r>
        <w:rPr>
          <w:color w:val="000000"/>
        </w:rPr>
        <w:t>4,600.</w:t>
      </w:r>
      <w:r w:rsidR="00BF059B">
        <w:rPr>
          <w:color w:val="000000"/>
        </w:rPr>
        <w:t xml:space="preserve"> </w:t>
      </w:r>
      <w:r>
        <w:rPr>
          <w:color w:val="000000"/>
        </w:rPr>
        <w:t>In</w:t>
      </w:r>
      <w:r w:rsidR="00BF059B">
        <w:rPr>
          <w:color w:val="000000"/>
        </w:rPr>
        <w:t xml:space="preserve"> </w:t>
      </w:r>
      <w:r>
        <w:rPr>
          <w:color w:val="000000"/>
        </w:rPr>
        <w:t>addition,</w:t>
      </w:r>
      <w:r w:rsidR="00BF059B">
        <w:rPr>
          <w:color w:val="000000"/>
        </w:rPr>
        <w:t xml:space="preserve"> </w:t>
      </w:r>
      <w:r>
        <w:rPr>
          <w:color w:val="000000"/>
        </w:rPr>
        <w:t>specific</w:t>
      </w:r>
      <w:r w:rsidR="00BF059B">
        <w:rPr>
          <w:color w:val="000000"/>
        </w:rPr>
        <w:t xml:space="preserve"> </w:t>
      </w:r>
      <w:r>
        <w:rPr>
          <w:color w:val="000000"/>
        </w:rPr>
        <w:t>programming</w:t>
      </w:r>
      <w:r w:rsidR="00BF059B">
        <w:rPr>
          <w:color w:val="000000"/>
        </w:rPr>
        <w:t xml:space="preserve"> </w:t>
      </w:r>
      <w:r>
        <w:rPr>
          <w:color w:val="000000"/>
        </w:rPr>
        <w:t>resulted</w:t>
      </w:r>
      <w:r w:rsidR="00BF059B">
        <w:rPr>
          <w:color w:val="000000"/>
        </w:rPr>
        <w:t xml:space="preserve"> </w:t>
      </w:r>
      <w:r>
        <w:rPr>
          <w:color w:val="000000"/>
        </w:rPr>
        <w:t>in</w:t>
      </w:r>
      <w:r w:rsidR="00BF059B">
        <w:rPr>
          <w:color w:val="000000"/>
        </w:rPr>
        <w:t xml:space="preserve"> </w:t>
      </w:r>
      <w:r>
        <w:rPr>
          <w:color w:val="000000"/>
        </w:rPr>
        <w:t>more</w:t>
      </w:r>
      <w:r w:rsidR="00BF059B">
        <w:rPr>
          <w:color w:val="000000"/>
        </w:rPr>
        <w:t xml:space="preserve"> </w:t>
      </w:r>
      <w:r>
        <w:rPr>
          <w:color w:val="000000"/>
        </w:rPr>
        <w:t>success</w:t>
      </w:r>
      <w:r w:rsidR="00BF059B">
        <w:rPr>
          <w:color w:val="000000"/>
        </w:rPr>
        <w:t xml:space="preserve"> </w:t>
      </w:r>
      <w:r>
        <w:rPr>
          <w:color w:val="000000"/>
        </w:rPr>
        <w:t>at</w:t>
      </w:r>
      <w:r w:rsidR="00BF059B">
        <w:rPr>
          <w:color w:val="000000"/>
        </w:rPr>
        <w:t xml:space="preserve"> </w:t>
      </w:r>
      <w:r>
        <w:rPr>
          <w:color w:val="000000"/>
        </w:rPr>
        <w:t>attracting</w:t>
      </w:r>
      <w:r w:rsidR="00BF059B">
        <w:rPr>
          <w:color w:val="000000"/>
        </w:rPr>
        <w:t xml:space="preserve"> </w:t>
      </w:r>
      <w:r>
        <w:rPr>
          <w:color w:val="000000"/>
        </w:rPr>
        <w:t>ethnically</w:t>
      </w:r>
      <w:r w:rsidR="00BF059B">
        <w:rPr>
          <w:color w:val="000000"/>
        </w:rPr>
        <w:t xml:space="preserve"> </w:t>
      </w:r>
      <w:r>
        <w:rPr>
          <w:color w:val="000000"/>
        </w:rPr>
        <w:t>diverse</w:t>
      </w:r>
      <w:r w:rsidR="00BF059B">
        <w:rPr>
          <w:color w:val="000000"/>
        </w:rPr>
        <w:t xml:space="preserve"> </w:t>
      </w:r>
      <w:r>
        <w:rPr>
          <w:color w:val="000000"/>
        </w:rPr>
        <w:t>visitors,</w:t>
      </w:r>
      <w:r w:rsidR="00BF059B">
        <w:rPr>
          <w:color w:val="000000"/>
        </w:rPr>
        <w:t xml:space="preserve"> </w:t>
      </w:r>
      <w:r>
        <w:rPr>
          <w:color w:val="000000"/>
        </w:rPr>
        <w:t>accounting</w:t>
      </w:r>
      <w:r w:rsidR="00BF059B">
        <w:rPr>
          <w:color w:val="000000"/>
        </w:rPr>
        <w:t xml:space="preserve"> </w:t>
      </w:r>
      <w:r>
        <w:rPr>
          <w:color w:val="000000"/>
        </w:rPr>
        <w:t>for</w:t>
      </w:r>
      <w:r w:rsidR="00BF059B">
        <w:rPr>
          <w:color w:val="000000"/>
        </w:rPr>
        <w:t xml:space="preserve"> </w:t>
      </w:r>
      <w:r>
        <w:rPr>
          <w:color w:val="000000"/>
        </w:rPr>
        <w:t>79%</w:t>
      </w:r>
      <w:r w:rsidR="00BF059B">
        <w:rPr>
          <w:color w:val="000000"/>
        </w:rPr>
        <w:t xml:space="preserve"> </w:t>
      </w:r>
      <w:r>
        <w:rPr>
          <w:color w:val="000000"/>
        </w:rPr>
        <w:t>of</w:t>
      </w:r>
      <w:r w:rsidR="00BF059B">
        <w:rPr>
          <w:color w:val="000000"/>
        </w:rPr>
        <w:t xml:space="preserve"> </w:t>
      </w:r>
      <w:r>
        <w:rPr>
          <w:color w:val="000000"/>
        </w:rPr>
        <w:t>visitors</w:t>
      </w:r>
      <w:r w:rsidR="00BF059B">
        <w:rPr>
          <w:color w:val="000000"/>
        </w:rPr>
        <w:t xml:space="preserve"> </w:t>
      </w:r>
      <w:r>
        <w:rPr>
          <w:color w:val="000000"/>
        </w:rPr>
        <w:t>to</w:t>
      </w:r>
      <w:r w:rsidR="00BF059B">
        <w:rPr>
          <w:color w:val="000000"/>
        </w:rPr>
        <w:t xml:space="preserve"> </w:t>
      </w:r>
      <w:r>
        <w:rPr>
          <w:color w:val="000000"/>
        </w:rPr>
        <w:t>Music,</w:t>
      </w:r>
      <w:r w:rsidR="00BF059B">
        <w:rPr>
          <w:color w:val="000000"/>
        </w:rPr>
        <w:t xml:space="preserve"> </w:t>
      </w:r>
      <w:r>
        <w:rPr>
          <w:color w:val="000000"/>
        </w:rPr>
        <w:t>Jerk</w:t>
      </w:r>
      <w:r w:rsidR="00BF059B">
        <w:rPr>
          <w:color w:val="000000"/>
        </w:rPr>
        <w:t xml:space="preserve"> </w:t>
      </w:r>
      <w:r>
        <w:rPr>
          <w:color w:val="000000"/>
        </w:rPr>
        <w:t>‘n</w:t>
      </w:r>
      <w:r w:rsidR="00BF059B">
        <w:rPr>
          <w:color w:val="000000"/>
        </w:rPr>
        <w:t xml:space="preserve"> </w:t>
      </w:r>
      <w:r>
        <w:rPr>
          <w:color w:val="000000"/>
        </w:rPr>
        <w:t>Tings,</w:t>
      </w:r>
      <w:r w:rsidR="00BF059B">
        <w:rPr>
          <w:color w:val="000000"/>
        </w:rPr>
        <w:t xml:space="preserve"> </w:t>
      </w:r>
      <w:r>
        <w:rPr>
          <w:color w:val="000000"/>
        </w:rPr>
        <w:t>38%</w:t>
      </w:r>
      <w:r w:rsidR="00BF059B">
        <w:rPr>
          <w:color w:val="000000"/>
        </w:rPr>
        <w:t xml:space="preserve"> </w:t>
      </w:r>
      <w:r>
        <w:rPr>
          <w:color w:val="000000"/>
        </w:rPr>
        <w:t>to</w:t>
      </w:r>
      <w:r w:rsidR="00BF059B">
        <w:rPr>
          <w:color w:val="000000"/>
        </w:rPr>
        <w:t xml:space="preserve"> </w:t>
      </w:r>
      <w:r>
        <w:rPr>
          <w:color w:val="000000"/>
        </w:rPr>
        <w:t>Family</w:t>
      </w:r>
      <w:r w:rsidR="00BF059B">
        <w:rPr>
          <w:color w:val="000000"/>
        </w:rPr>
        <w:t xml:space="preserve"> </w:t>
      </w:r>
      <w:r>
        <w:rPr>
          <w:color w:val="000000"/>
        </w:rPr>
        <w:t>Craft</w:t>
      </w:r>
      <w:r w:rsidR="00BF059B">
        <w:rPr>
          <w:color w:val="000000"/>
        </w:rPr>
        <w:t xml:space="preserve"> </w:t>
      </w:r>
      <w:r>
        <w:rPr>
          <w:color w:val="000000"/>
        </w:rPr>
        <w:t>Saturdays,</w:t>
      </w:r>
      <w:r w:rsidR="00BF059B">
        <w:rPr>
          <w:color w:val="000000"/>
        </w:rPr>
        <w:t xml:space="preserve"> </w:t>
      </w:r>
      <w:r>
        <w:rPr>
          <w:color w:val="000000"/>
        </w:rPr>
        <w:t>and</w:t>
      </w:r>
      <w:r w:rsidR="00BF059B">
        <w:rPr>
          <w:color w:val="000000"/>
        </w:rPr>
        <w:t xml:space="preserve"> </w:t>
      </w:r>
      <w:r>
        <w:rPr>
          <w:color w:val="000000"/>
        </w:rPr>
        <w:t>28%</w:t>
      </w:r>
      <w:r w:rsidR="00BF059B">
        <w:rPr>
          <w:color w:val="000000"/>
        </w:rPr>
        <w:t xml:space="preserve"> </w:t>
      </w:r>
      <w:r>
        <w:rPr>
          <w:color w:val="000000"/>
        </w:rPr>
        <w:t>to</w:t>
      </w:r>
      <w:r w:rsidR="00BF059B">
        <w:rPr>
          <w:color w:val="000000"/>
        </w:rPr>
        <w:t xml:space="preserve"> </w:t>
      </w:r>
      <w:r>
        <w:rPr>
          <w:color w:val="000000"/>
        </w:rPr>
        <w:t>the</w:t>
      </w:r>
      <w:r w:rsidR="00BF059B">
        <w:rPr>
          <w:color w:val="000000"/>
        </w:rPr>
        <w:t xml:space="preserve"> </w:t>
      </w:r>
      <w:r>
        <w:rPr>
          <w:color w:val="000000"/>
        </w:rPr>
        <w:t>Cha,</w:t>
      </w:r>
      <w:r w:rsidR="00BF059B">
        <w:rPr>
          <w:color w:val="000000"/>
        </w:rPr>
        <w:t xml:space="preserve"> </w:t>
      </w:r>
      <w:r>
        <w:rPr>
          <w:color w:val="000000"/>
        </w:rPr>
        <w:t>Chai</w:t>
      </w:r>
      <w:r w:rsidR="00BF059B">
        <w:rPr>
          <w:color w:val="000000"/>
        </w:rPr>
        <w:t xml:space="preserve"> </w:t>
      </w:r>
      <w:r>
        <w:rPr>
          <w:color w:val="000000"/>
        </w:rPr>
        <w:t>Tea</w:t>
      </w:r>
      <w:r w:rsidR="00BF059B">
        <w:rPr>
          <w:color w:val="000000"/>
        </w:rPr>
        <w:t xml:space="preserve"> </w:t>
      </w:r>
      <w:r>
        <w:rPr>
          <w:color w:val="000000"/>
        </w:rPr>
        <w:t>exhibition</w:t>
      </w:r>
      <w:r w:rsidR="00BF059B">
        <w:rPr>
          <w:color w:val="000000"/>
        </w:rPr>
        <w:t xml:space="preserve"> </w:t>
      </w:r>
      <w:r>
        <w:rPr>
          <w:color w:val="000000"/>
        </w:rPr>
        <w:t>throughout</w:t>
      </w:r>
      <w:r w:rsidR="00BF059B">
        <w:rPr>
          <w:color w:val="000000"/>
        </w:rPr>
        <w:t xml:space="preserve"> </w:t>
      </w:r>
      <w:r>
        <w:rPr>
          <w:color w:val="000000"/>
        </w:rPr>
        <w:t>its</w:t>
      </w:r>
      <w:r w:rsidR="00BF059B">
        <w:rPr>
          <w:color w:val="000000"/>
        </w:rPr>
        <w:t xml:space="preserve"> </w:t>
      </w:r>
      <w:r>
        <w:rPr>
          <w:color w:val="000000"/>
        </w:rPr>
        <w:t>run.</w:t>
      </w:r>
      <w:r w:rsidR="00BF059B">
        <w:rPr>
          <w:i/>
          <w:color w:val="000000"/>
        </w:rPr>
        <w:t xml:space="preserve"> </w:t>
      </w:r>
      <w:r w:rsidR="00BF059B">
        <w:rPr>
          <w:rFonts w:ascii="Times New Roman" w:eastAsia="Times New Roman" w:hAnsi="Times New Roman" w:cs="Times New Roman"/>
          <w:color w:val="000000"/>
        </w:rPr>
        <w:t xml:space="preserve"> </w:t>
      </w:r>
    </w:p>
    <w:p w14:paraId="3BC019D6" w14:textId="77777777" w:rsidR="00BE13A8" w:rsidRDefault="00BE13A8">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53ABF99D" w14:textId="499D9334" w:rsidR="00BE13A8" w:rsidRDefault="00D70530">
      <w:pPr>
        <w:pBdr>
          <w:top w:val="nil"/>
          <w:left w:val="nil"/>
          <w:bottom w:val="nil"/>
          <w:right w:val="nil"/>
          <w:between w:val="nil"/>
        </w:pBdr>
        <w:jc w:val="both"/>
        <w:rPr>
          <w:rFonts w:ascii="Quattrocento Sans" w:eastAsia="Quattrocento Sans" w:hAnsi="Quattrocento Sans" w:cs="Quattrocento Sans"/>
          <w:color w:val="000000"/>
          <w:sz w:val="18"/>
          <w:szCs w:val="18"/>
        </w:rPr>
      </w:pPr>
      <w:r>
        <w:rPr>
          <w:color w:val="000000"/>
        </w:rPr>
        <w:t>There</w:t>
      </w:r>
      <w:r w:rsidR="00BF059B">
        <w:rPr>
          <w:color w:val="000000"/>
        </w:rPr>
        <w:t xml:space="preserve"> </w:t>
      </w:r>
      <w:r>
        <w:rPr>
          <w:color w:val="000000"/>
        </w:rPr>
        <w:t>was</w:t>
      </w:r>
      <w:r w:rsidR="00BF059B">
        <w:rPr>
          <w:color w:val="000000"/>
        </w:rPr>
        <w:t xml:space="preserve"> </w:t>
      </w:r>
      <w:r>
        <w:rPr>
          <w:color w:val="000000"/>
        </w:rPr>
        <w:t>a</w:t>
      </w:r>
      <w:r w:rsidR="00BF059B">
        <w:rPr>
          <w:color w:val="000000"/>
        </w:rPr>
        <w:t xml:space="preserve"> </w:t>
      </w:r>
      <w:r>
        <w:rPr>
          <w:color w:val="000000"/>
        </w:rPr>
        <w:t>small</w:t>
      </w:r>
      <w:r w:rsidR="00BF059B">
        <w:rPr>
          <w:color w:val="000000"/>
        </w:rPr>
        <w:t xml:space="preserve"> </w:t>
      </w:r>
      <w:r>
        <w:rPr>
          <w:color w:val="000000"/>
        </w:rPr>
        <w:t>decrease</w:t>
      </w:r>
      <w:r w:rsidR="00BF059B">
        <w:rPr>
          <w:color w:val="000000"/>
        </w:rPr>
        <w:t xml:space="preserve"> </w:t>
      </w:r>
      <w:r>
        <w:rPr>
          <w:color w:val="000000"/>
        </w:rPr>
        <w:t>in</w:t>
      </w:r>
      <w:r w:rsidR="00BF059B">
        <w:rPr>
          <w:color w:val="000000"/>
        </w:rPr>
        <w:t xml:space="preserve"> </w:t>
      </w:r>
      <w:r>
        <w:rPr>
          <w:color w:val="000000"/>
        </w:rPr>
        <w:t>the</w:t>
      </w:r>
      <w:r w:rsidR="00BF059B">
        <w:rPr>
          <w:color w:val="000000"/>
        </w:rPr>
        <w:t xml:space="preserve"> </w:t>
      </w:r>
      <w:r>
        <w:rPr>
          <w:color w:val="000000"/>
        </w:rPr>
        <w:t>number</w:t>
      </w:r>
      <w:r w:rsidR="00BF059B">
        <w:rPr>
          <w:color w:val="000000"/>
        </w:rPr>
        <w:t xml:space="preserve"> </w:t>
      </w:r>
      <w:r>
        <w:rPr>
          <w:color w:val="000000"/>
        </w:rPr>
        <w:t>of</w:t>
      </w:r>
      <w:r w:rsidR="00BF059B">
        <w:rPr>
          <w:color w:val="000000"/>
        </w:rPr>
        <w:t xml:space="preserve"> </w:t>
      </w:r>
      <w:r>
        <w:rPr>
          <w:color w:val="000000"/>
        </w:rPr>
        <w:t>general</w:t>
      </w:r>
      <w:r w:rsidR="00BF059B">
        <w:rPr>
          <w:color w:val="000000"/>
        </w:rPr>
        <w:t xml:space="preserve"> </w:t>
      </w:r>
      <w:r>
        <w:rPr>
          <w:color w:val="000000"/>
        </w:rPr>
        <w:t>visitors</w:t>
      </w:r>
      <w:r w:rsidR="00BF059B">
        <w:rPr>
          <w:color w:val="000000"/>
        </w:rPr>
        <w:t xml:space="preserve"> </w:t>
      </w:r>
      <w:r>
        <w:rPr>
          <w:color w:val="000000"/>
        </w:rPr>
        <w:t>from</w:t>
      </w:r>
      <w:r w:rsidR="00BF059B">
        <w:rPr>
          <w:color w:val="000000"/>
        </w:rPr>
        <w:t xml:space="preserve"> </w:t>
      </w:r>
      <w:r>
        <w:rPr>
          <w:color w:val="000000"/>
        </w:rPr>
        <w:t>disadvantaged</w:t>
      </w:r>
      <w:r w:rsidR="00BF059B">
        <w:rPr>
          <w:color w:val="000000"/>
        </w:rPr>
        <w:t xml:space="preserve"> </w:t>
      </w:r>
      <w:r>
        <w:rPr>
          <w:color w:val="000000"/>
        </w:rPr>
        <w:t>socio-economic</w:t>
      </w:r>
      <w:r w:rsidR="00BF059B">
        <w:rPr>
          <w:color w:val="000000"/>
        </w:rPr>
        <w:t xml:space="preserve"> </w:t>
      </w:r>
      <w:r>
        <w:rPr>
          <w:color w:val="000000"/>
        </w:rPr>
        <w:t>groups</w:t>
      </w:r>
      <w:r w:rsidR="00BF059B">
        <w:rPr>
          <w:color w:val="000000"/>
        </w:rPr>
        <w:t xml:space="preserve"> </w:t>
      </w:r>
      <w:r>
        <w:rPr>
          <w:color w:val="000000"/>
        </w:rPr>
        <w:t>(NS-SEC</w:t>
      </w:r>
      <w:r w:rsidR="00BF059B">
        <w:rPr>
          <w:color w:val="000000"/>
        </w:rPr>
        <w:t xml:space="preserve"> </w:t>
      </w:r>
      <w:r>
        <w:rPr>
          <w:color w:val="000000"/>
        </w:rPr>
        <w:t>5-8),</w:t>
      </w:r>
      <w:r w:rsidR="00BF059B">
        <w:rPr>
          <w:color w:val="000000"/>
        </w:rPr>
        <w:t xml:space="preserve"> </w:t>
      </w:r>
      <w:r>
        <w:rPr>
          <w:color w:val="000000"/>
        </w:rPr>
        <w:t>down</w:t>
      </w:r>
      <w:r w:rsidR="00BF059B">
        <w:rPr>
          <w:color w:val="000000"/>
        </w:rPr>
        <w:t xml:space="preserve"> </w:t>
      </w:r>
      <w:r>
        <w:rPr>
          <w:color w:val="000000"/>
        </w:rPr>
        <w:t>from</w:t>
      </w:r>
      <w:r w:rsidR="00BF059B">
        <w:rPr>
          <w:color w:val="000000"/>
        </w:rPr>
        <w:t xml:space="preserve"> </w:t>
      </w:r>
      <w:r>
        <w:rPr>
          <w:color w:val="000000"/>
        </w:rPr>
        <w:t>6%</w:t>
      </w:r>
      <w:r w:rsidR="00BF059B">
        <w:rPr>
          <w:color w:val="000000"/>
        </w:rPr>
        <w:t xml:space="preserve"> </w:t>
      </w:r>
      <w:r>
        <w:rPr>
          <w:color w:val="000000"/>
        </w:rPr>
        <w:t>to</w:t>
      </w:r>
      <w:r w:rsidR="00BF059B">
        <w:rPr>
          <w:color w:val="000000"/>
        </w:rPr>
        <w:t xml:space="preserve"> </w:t>
      </w:r>
      <w:r>
        <w:rPr>
          <w:color w:val="000000"/>
        </w:rPr>
        <w:t>5%.</w:t>
      </w:r>
      <w:r w:rsidR="00BF059B">
        <w:rPr>
          <w:color w:val="000000"/>
        </w:rPr>
        <w:t xml:space="preserve"> </w:t>
      </w:r>
      <w:r>
        <w:rPr>
          <w:color w:val="000000"/>
        </w:rPr>
        <w:t>Using</w:t>
      </w:r>
      <w:r w:rsidR="00BF059B">
        <w:rPr>
          <w:color w:val="000000"/>
        </w:rPr>
        <w:t xml:space="preserve"> </w:t>
      </w:r>
      <w:r>
        <w:rPr>
          <w:color w:val="000000"/>
        </w:rPr>
        <w:t>the</w:t>
      </w:r>
      <w:r w:rsidR="00BF059B">
        <w:rPr>
          <w:color w:val="000000"/>
        </w:rPr>
        <w:t xml:space="preserve"> </w:t>
      </w:r>
      <w:r>
        <w:rPr>
          <w:color w:val="000000"/>
        </w:rPr>
        <w:t>Social</w:t>
      </w:r>
      <w:r w:rsidR="00BF059B">
        <w:rPr>
          <w:color w:val="000000"/>
        </w:rPr>
        <w:t xml:space="preserve"> </w:t>
      </w:r>
      <w:r>
        <w:rPr>
          <w:color w:val="000000"/>
        </w:rPr>
        <w:t>Mobility</w:t>
      </w:r>
      <w:r w:rsidR="00BF059B">
        <w:rPr>
          <w:color w:val="000000"/>
        </w:rPr>
        <w:t xml:space="preserve"> </w:t>
      </w:r>
      <w:r>
        <w:rPr>
          <w:color w:val="000000"/>
        </w:rPr>
        <w:t>Commission</w:t>
      </w:r>
      <w:r w:rsidR="00BF059B">
        <w:rPr>
          <w:color w:val="000000"/>
        </w:rPr>
        <w:t xml:space="preserve"> </w:t>
      </w:r>
      <w:r>
        <w:rPr>
          <w:color w:val="000000"/>
        </w:rPr>
        <w:t>grading,</w:t>
      </w:r>
      <w:r w:rsidR="00BF059B">
        <w:rPr>
          <w:color w:val="000000"/>
        </w:rPr>
        <w:t xml:space="preserve"> </w:t>
      </w:r>
      <w:r>
        <w:rPr>
          <w:color w:val="000000"/>
        </w:rPr>
        <w:t>we</w:t>
      </w:r>
      <w:r w:rsidR="00BF059B">
        <w:rPr>
          <w:color w:val="000000"/>
        </w:rPr>
        <w:t xml:space="preserve"> </w:t>
      </w:r>
      <w:r>
        <w:rPr>
          <w:color w:val="000000"/>
        </w:rPr>
        <w:t>saw</w:t>
      </w:r>
      <w:r w:rsidR="00BF059B">
        <w:rPr>
          <w:color w:val="000000"/>
        </w:rPr>
        <w:t xml:space="preserve"> </w:t>
      </w:r>
      <w:r>
        <w:rPr>
          <w:color w:val="000000"/>
        </w:rPr>
        <w:t>a</w:t>
      </w:r>
      <w:r w:rsidR="00BF059B">
        <w:rPr>
          <w:color w:val="000000"/>
        </w:rPr>
        <w:t xml:space="preserve"> </w:t>
      </w:r>
      <w:r>
        <w:rPr>
          <w:color w:val="000000"/>
        </w:rPr>
        <w:t>decrease</w:t>
      </w:r>
      <w:r w:rsidR="00BF059B">
        <w:rPr>
          <w:color w:val="000000"/>
        </w:rPr>
        <w:t xml:space="preserve"> </w:t>
      </w:r>
      <w:r>
        <w:rPr>
          <w:color w:val="000000"/>
        </w:rPr>
        <w:t>from</w:t>
      </w:r>
      <w:r w:rsidR="00BF059B">
        <w:rPr>
          <w:color w:val="000000"/>
        </w:rPr>
        <w:t xml:space="preserve"> </w:t>
      </w:r>
      <w:r>
        <w:rPr>
          <w:color w:val="000000"/>
        </w:rPr>
        <w:t>10%</w:t>
      </w:r>
      <w:r w:rsidR="00BF059B">
        <w:rPr>
          <w:color w:val="000000"/>
        </w:rPr>
        <w:t xml:space="preserve"> </w:t>
      </w:r>
      <w:r>
        <w:rPr>
          <w:color w:val="000000"/>
        </w:rPr>
        <w:t>to</w:t>
      </w:r>
      <w:r w:rsidR="00BF059B">
        <w:rPr>
          <w:color w:val="000000"/>
        </w:rPr>
        <w:t xml:space="preserve"> </w:t>
      </w:r>
      <w:r>
        <w:rPr>
          <w:color w:val="000000"/>
        </w:rPr>
        <w:t>7%.</w:t>
      </w:r>
      <w:r w:rsidR="00BF059B">
        <w:rPr>
          <w:color w:val="000000"/>
        </w:rPr>
        <w:t xml:space="preserve"> </w:t>
      </w:r>
      <w:r>
        <w:rPr>
          <w:color w:val="000000"/>
        </w:rPr>
        <w:t>However,</w:t>
      </w:r>
      <w:r w:rsidR="00BF059B">
        <w:rPr>
          <w:color w:val="000000"/>
        </w:rPr>
        <w:t xml:space="preserve"> </w:t>
      </w:r>
      <w:r>
        <w:rPr>
          <w:color w:val="000000"/>
        </w:rPr>
        <w:t>following</w:t>
      </w:r>
      <w:r w:rsidR="00BF059B">
        <w:rPr>
          <w:color w:val="000000"/>
        </w:rPr>
        <w:t xml:space="preserve"> </w:t>
      </w:r>
      <w:r>
        <w:rPr>
          <w:color w:val="000000"/>
        </w:rPr>
        <w:t>the</w:t>
      </w:r>
      <w:r w:rsidR="00BF059B">
        <w:rPr>
          <w:color w:val="000000"/>
        </w:rPr>
        <w:t xml:space="preserve"> </w:t>
      </w:r>
      <w:r>
        <w:rPr>
          <w:color w:val="000000"/>
        </w:rPr>
        <w:t>introduction</w:t>
      </w:r>
      <w:r w:rsidR="00BF059B">
        <w:rPr>
          <w:color w:val="000000"/>
        </w:rPr>
        <w:t xml:space="preserve"> </w:t>
      </w:r>
      <w:r>
        <w:rPr>
          <w:color w:val="000000"/>
        </w:rPr>
        <w:t>of</w:t>
      </w:r>
      <w:r w:rsidR="00BF059B">
        <w:rPr>
          <w:color w:val="000000"/>
        </w:rPr>
        <w:t xml:space="preserve"> </w:t>
      </w:r>
      <w:r>
        <w:rPr>
          <w:color w:val="000000"/>
        </w:rPr>
        <w:t>a</w:t>
      </w:r>
      <w:r w:rsidR="00BF059B">
        <w:rPr>
          <w:color w:val="000000"/>
        </w:rPr>
        <w:t xml:space="preserve"> </w:t>
      </w:r>
      <w:r>
        <w:rPr>
          <w:color w:val="000000"/>
        </w:rPr>
        <w:t>Universal</w:t>
      </w:r>
      <w:r w:rsidR="00BF059B">
        <w:rPr>
          <w:color w:val="000000"/>
        </w:rPr>
        <w:t xml:space="preserve"> </w:t>
      </w:r>
      <w:r>
        <w:rPr>
          <w:color w:val="000000"/>
        </w:rPr>
        <w:t>Credit</w:t>
      </w:r>
      <w:r w:rsidR="00BF059B">
        <w:rPr>
          <w:color w:val="000000"/>
        </w:rPr>
        <w:t xml:space="preserve"> </w:t>
      </w:r>
      <w:r>
        <w:rPr>
          <w:color w:val="000000"/>
        </w:rPr>
        <w:t>ticket</w:t>
      </w:r>
      <w:r w:rsidR="00BF059B">
        <w:rPr>
          <w:color w:val="000000"/>
        </w:rPr>
        <w:t xml:space="preserve"> </w:t>
      </w:r>
      <w:r>
        <w:rPr>
          <w:color w:val="000000"/>
        </w:rPr>
        <w:t>scheme</w:t>
      </w:r>
      <w:r w:rsidR="00BF059B">
        <w:rPr>
          <w:color w:val="000000"/>
        </w:rPr>
        <w:t xml:space="preserve"> </w:t>
      </w:r>
      <w:r>
        <w:rPr>
          <w:color w:val="000000"/>
        </w:rPr>
        <w:t>in</w:t>
      </w:r>
      <w:r w:rsidR="00BF059B">
        <w:rPr>
          <w:color w:val="000000"/>
        </w:rPr>
        <w:t xml:space="preserve"> </w:t>
      </w:r>
      <w:r>
        <w:rPr>
          <w:color w:val="000000"/>
        </w:rPr>
        <w:t>February</w:t>
      </w:r>
      <w:r w:rsidR="00BF059B">
        <w:rPr>
          <w:color w:val="000000"/>
        </w:rPr>
        <w:t xml:space="preserve"> </w:t>
      </w:r>
      <w:r>
        <w:rPr>
          <w:color w:val="000000"/>
        </w:rPr>
        <w:t>2024</w:t>
      </w:r>
      <w:r w:rsidR="00BF059B">
        <w:rPr>
          <w:color w:val="000000"/>
        </w:rPr>
        <w:t xml:space="preserve"> </w:t>
      </w:r>
      <w:r>
        <w:rPr>
          <w:color w:val="000000"/>
        </w:rPr>
        <w:t>(extended</w:t>
      </w:r>
      <w:r w:rsidR="00BF059B">
        <w:rPr>
          <w:color w:val="000000"/>
        </w:rPr>
        <w:t xml:space="preserve"> </w:t>
      </w:r>
      <w:r>
        <w:rPr>
          <w:color w:val="000000"/>
        </w:rPr>
        <w:t>online</w:t>
      </w:r>
      <w:r w:rsidR="00BF059B">
        <w:rPr>
          <w:color w:val="000000"/>
        </w:rPr>
        <w:t xml:space="preserve"> </w:t>
      </w:r>
      <w:r>
        <w:rPr>
          <w:color w:val="000000"/>
        </w:rPr>
        <w:t>in</w:t>
      </w:r>
      <w:r w:rsidR="00BF059B">
        <w:rPr>
          <w:color w:val="000000"/>
        </w:rPr>
        <w:t xml:space="preserve"> </w:t>
      </w:r>
      <w:r>
        <w:rPr>
          <w:color w:val="000000"/>
        </w:rPr>
        <w:t>December</w:t>
      </w:r>
      <w:r w:rsidR="00BF059B">
        <w:rPr>
          <w:color w:val="000000"/>
        </w:rPr>
        <w:t xml:space="preserve"> </w:t>
      </w:r>
      <w:r>
        <w:rPr>
          <w:color w:val="000000"/>
        </w:rPr>
        <w:t>2024),</w:t>
      </w:r>
      <w:r w:rsidR="00BF059B">
        <w:rPr>
          <w:color w:val="000000"/>
        </w:rPr>
        <w:t xml:space="preserve"> </w:t>
      </w:r>
      <w:r>
        <w:rPr>
          <w:color w:val="000000"/>
        </w:rPr>
        <w:t>there</w:t>
      </w:r>
      <w:r w:rsidR="00BF059B">
        <w:rPr>
          <w:color w:val="000000"/>
        </w:rPr>
        <w:t xml:space="preserve"> </w:t>
      </w:r>
      <w:r>
        <w:rPr>
          <w:color w:val="000000"/>
        </w:rPr>
        <w:t>were</w:t>
      </w:r>
      <w:r w:rsidR="00BF059B">
        <w:rPr>
          <w:color w:val="000000"/>
        </w:rPr>
        <w:t xml:space="preserve"> </w:t>
      </w:r>
      <w:r>
        <w:rPr>
          <w:color w:val="000000"/>
        </w:rPr>
        <w:t>higher</w:t>
      </w:r>
      <w:r w:rsidR="00BF059B">
        <w:rPr>
          <w:color w:val="000000"/>
        </w:rPr>
        <w:t xml:space="preserve"> </w:t>
      </w:r>
      <w:r>
        <w:rPr>
          <w:color w:val="000000"/>
        </w:rPr>
        <w:t>percentages</w:t>
      </w:r>
      <w:r w:rsidR="00BF059B">
        <w:rPr>
          <w:color w:val="000000"/>
        </w:rPr>
        <w:t xml:space="preserve"> </w:t>
      </w:r>
      <w:r>
        <w:rPr>
          <w:color w:val="000000"/>
        </w:rPr>
        <w:t>of</w:t>
      </w:r>
      <w:r w:rsidR="00BF059B">
        <w:rPr>
          <w:color w:val="000000"/>
        </w:rPr>
        <w:t xml:space="preserve"> </w:t>
      </w:r>
      <w:r>
        <w:rPr>
          <w:color w:val="000000"/>
        </w:rPr>
        <w:t>visitors</w:t>
      </w:r>
      <w:r w:rsidR="00BF059B">
        <w:rPr>
          <w:color w:val="000000"/>
        </w:rPr>
        <w:t xml:space="preserve"> </w:t>
      </w:r>
      <w:r>
        <w:rPr>
          <w:color w:val="000000"/>
        </w:rPr>
        <w:t>from</w:t>
      </w:r>
      <w:r w:rsidR="00BF059B">
        <w:rPr>
          <w:color w:val="000000"/>
        </w:rPr>
        <w:t xml:space="preserve"> </w:t>
      </w:r>
      <w:r>
        <w:rPr>
          <w:color w:val="000000"/>
        </w:rPr>
        <w:t>disadvantaged</w:t>
      </w:r>
      <w:r w:rsidR="00BF059B">
        <w:rPr>
          <w:color w:val="000000"/>
        </w:rPr>
        <w:t xml:space="preserve"> </w:t>
      </w:r>
      <w:r>
        <w:rPr>
          <w:color w:val="000000"/>
        </w:rPr>
        <w:t>socio-economic</w:t>
      </w:r>
      <w:r w:rsidR="00BF059B">
        <w:rPr>
          <w:color w:val="000000"/>
        </w:rPr>
        <w:t xml:space="preserve"> </w:t>
      </w:r>
      <w:r>
        <w:rPr>
          <w:color w:val="000000"/>
        </w:rPr>
        <w:t>groups</w:t>
      </w:r>
      <w:r w:rsidR="00BF059B">
        <w:rPr>
          <w:color w:val="000000"/>
        </w:rPr>
        <w:t xml:space="preserve"> </w:t>
      </w:r>
      <w:r>
        <w:rPr>
          <w:color w:val="000000"/>
        </w:rPr>
        <w:t>going</w:t>
      </w:r>
      <w:r w:rsidR="00BF059B">
        <w:rPr>
          <w:color w:val="000000"/>
        </w:rPr>
        <w:t xml:space="preserve"> </w:t>
      </w:r>
      <w:r>
        <w:rPr>
          <w:color w:val="000000"/>
        </w:rPr>
        <w:t>to</w:t>
      </w:r>
      <w:r w:rsidR="00BF059B">
        <w:rPr>
          <w:color w:val="000000"/>
        </w:rPr>
        <w:t xml:space="preserve"> </w:t>
      </w:r>
      <w:r>
        <w:rPr>
          <w:color w:val="000000"/>
        </w:rPr>
        <w:t>our</w:t>
      </w:r>
      <w:r w:rsidR="00BF059B">
        <w:rPr>
          <w:color w:val="000000"/>
        </w:rPr>
        <w:t xml:space="preserve"> </w:t>
      </w:r>
      <w:r>
        <w:rPr>
          <w:color w:val="000000"/>
        </w:rPr>
        <w:t>paid</w:t>
      </w:r>
      <w:r w:rsidR="00BF059B">
        <w:rPr>
          <w:color w:val="000000"/>
        </w:rPr>
        <w:t xml:space="preserve"> </w:t>
      </w:r>
      <w:r>
        <w:rPr>
          <w:color w:val="000000"/>
        </w:rPr>
        <w:t>attractions.</w:t>
      </w:r>
      <w:r w:rsidR="00BF059B">
        <w:rPr>
          <w:color w:val="000000"/>
        </w:rPr>
        <w:t xml:space="preserve"> </w:t>
      </w:r>
      <w:r>
        <w:rPr>
          <w:color w:val="000000"/>
        </w:rPr>
        <w:t>Both</w:t>
      </w:r>
      <w:r w:rsidR="00BF059B">
        <w:rPr>
          <w:color w:val="000000"/>
        </w:rPr>
        <w:t xml:space="preserve"> </w:t>
      </w:r>
      <w:r>
        <w:rPr>
          <w:color w:val="000000"/>
        </w:rPr>
        <w:t>the</w:t>
      </w:r>
      <w:r w:rsidR="00BF059B">
        <w:rPr>
          <w:color w:val="000000"/>
        </w:rPr>
        <w:t xml:space="preserve"> </w:t>
      </w:r>
      <w:r>
        <w:rPr>
          <w:color w:val="000000"/>
        </w:rPr>
        <w:t>Aquarium</w:t>
      </w:r>
      <w:r w:rsidR="00BF059B">
        <w:rPr>
          <w:color w:val="000000"/>
        </w:rPr>
        <w:t xml:space="preserve"> </w:t>
      </w:r>
      <w:r>
        <w:rPr>
          <w:color w:val="000000"/>
        </w:rPr>
        <w:t>and</w:t>
      </w:r>
      <w:r w:rsidR="00BF059B">
        <w:rPr>
          <w:color w:val="000000"/>
        </w:rPr>
        <w:t xml:space="preserve"> </w:t>
      </w:r>
      <w:r>
        <w:rPr>
          <w:color w:val="000000"/>
        </w:rPr>
        <w:t>Butterfly</w:t>
      </w:r>
      <w:r w:rsidR="00BF059B">
        <w:rPr>
          <w:color w:val="000000"/>
        </w:rPr>
        <w:t xml:space="preserve"> </w:t>
      </w:r>
      <w:r>
        <w:rPr>
          <w:color w:val="000000"/>
        </w:rPr>
        <w:t>House</w:t>
      </w:r>
      <w:r w:rsidR="00BF059B">
        <w:rPr>
          <w:color w:val="000000"/>
        </w:rPr>
        <w:t xml:space="preserve"> </w:t>
      </w:r>
      <w:r>
        <w:rPr>
          <w:color w:val="000000"/>
        </w:rPr>
        <w:t>had</w:t>
      </w:r>
      <w:r w:rsidR="00BF059B">
        <w:rPr>
          <w:color w:val="000000"/>
        </w:rPr>
        <w:t xml:space="preserve"> </w:t>
      </w:r>
      <w:r>
        <w:rPr>
          <w:color w:val="000000"/>
        </w:rPr>
        <w:t>8%</w:t>
      </w:r>
      <w:r w:rsidR="00BF059B">
        <w:rPr>
          <w:color w:val="000000"/>
        </w:rPr>
        <w:t xml:space="preserve"> </w:t>
      </w:r>
      <w:r>
        <w:rPr>
          <w:color w:val="000000"/>
        </w:rPr>
        <w:t>of</w:t>
      </w:r>
      <w:r w:rsidR="00BF059B">
        <w:rPr>
          <w:color w:val="000000"/>
        </w:rPr>
        <w:t xml:space="preserve"> </w:t>
      </w:r>
      <w:r>
        <w:rPr>
          <w:color w:val="000000"/>
        </w:rPr>
        <w:t>visitors</w:t>
      </w:r>
      <w:r w:rsidR="00BF059B">
        <w:rPr>
          <w:color w:val="000000"/>
        </w:rPr>
        <w:t xml:space="preserve"> </w:t>
      </w:r>
      <w:r>
        <w:rPr>
          <w:color w:val="000000"/>
        </w:rPr>
        <w:t>from</w:t>
      </w:r>
      <w:r w:rsidR="00BF059B">
        <w:rPr>
          <w:color w:val="000000"/>
        </w:rPr>
        <w:t xml:space="preserve"> </w:t>
      </w:r>
      <w:r>
        <w:rPr>
          <w:color w:val="000000"/>
        </w:rPr>
        <w:t>NS-SEC</w:t>
      </w:r>
      <w:r w:rsidR="00BF059B">
        <w:rPr>
          <w:color w:val="000000"/>
        </w:rPr>
        <w:t xml:space="preserve"> </w:t>
      </w:r>
      <w:r>
        <w:rPr>
          <w:color w:val="000000"/>
        </w:rPr>
        <w:t>groups</w:t>
      </w:r>
      <w:r w:rsidR="00BF059B">
        <w:rPr>
          <w:color w:val="000000"/>
        </w:rPr>
        <w:t xml:space="preserve"> </w:t>
      </w:r>
      <w:r>
        <w:rPr>
          <w:color w:val="000000"/>
        </w:rPr>
        <w:t>5-8.</w:t>
      </w:r>
      <w:r w:rsidR="00BF059B">
        <w:rPr>
          <w:color w:val="000000"/>
        </w:rPr>
        <w:t xml:space="preserve"> </w:t>
      </w:r>
      <w:r>
        <w:rPr>
          <w:color w:val="000000"/>
        </w:rPr>
        <w:t>The</w:t>
      </w:r>
      <w:r w:rsidR="00BF059B">
        <w:rPr>
          <w:color w:val="000000"/>
        </w:rPr>
        <w:t xml:space="preserve"> </w:t>
      </w:r>
      <w:r>
        <w:rPr>
          <w:color w:val="000000"/>
        </w:rPr>
        <w:t>total</w:t>
      </w:r>
      <w:r w:rsidR="00BF059B">
        <w:rPr>
          <w:color w:val="000000"/>
        </w:rPr>
        <w:t xml:space="preserve"> </w:t>
      </w:r>
      <w:r>
        <w:rPr>
          <w:color w:val="000000"/>
        </w:rPr>
        <w:t>number</w:t>
      </w:r>
      <w:r w:rsidR="00BF059B">
        <w:rPr>
          <w:color w:val="000000"/>
        </w:rPr>
        <w:t xml:space="preserve"> </w:t>
      </w:r>
      <w:r>
        <w:rPr>
          <w:color w:val="000000"/>
        </w:rPr>
        <w:t>of</w:t>
      </w:r>
      <w:r w:rsidR="00BF059B">
        <w:rPr>
          <w:color w:val="000000"/>
        </w:rPr>
        <w:t xml:space="preserve"> </w:t>
      </w:r>
      <w:r>
        <w:rPr>
          <w:color w:val="000000"/>
        </w:rPr>
        <w:t>Universal</w:t>
      </w:r>
      <w:r w:rsidR="00BF059B">
        <w:rPr>
          <w:color w:val="000000"/>
        </w:rPr>
        <w:t xml:space="preserve"> </w:t>
      </w:r>
      <w:r>
        <w:rPr>
          <w:color w:val="000000"/>
        </w:rPr>
        <w:t>Credit</w:t>
      </w:r>
      <w:r w:rsidR="00BF059B">
        <w:rPr>
          <w:color w:val="000000"/>
        </w:rPr>
        <w:t xml:space="preserve"> </w:t>
      </w:r>
      <w:r>
        <w:rPr>
          <w:color w:val="000000"/>
        </w:rPr>
        <w:t>tickets</w:t>
      </w:r>
      <w:r w:rsidR="00BF059B">
        <w:rPr>
          <w:color w:val="000000"/>
        </w:rPr>
        <w:t xml:space="preserve"> </w:t>
      </w:r>
      <w:r>
        <w:rPr>
          <w:color w:val="000000"/>
        </w:rPr>
        <w:t>sold</w:t>
      </w:r>
      <w:r w:rsidR="00BF059B">
        <w:rPr>
          <w:color w:val="000000"/>
        </w:rPr>
        <w:t xml:space="preserve"> </w:t>
      </w:r>
      <w:r>
        <w:rPr>
          <w:color w:val="000000"/>
        </w:rPr>
        <w:t>in</w:t>
      </w:r>
      <w:r w:rsidR="00BF059B">
        <w:rPr>
          <w:color w:val="000000"/>
        </w:rPr>
        <w:t xml:space="preserve"> </w:t>
      </w:r>
      <w:r>
        <w:rPr>
          <w:color w:val="000000"/>
        </w:rPr>
        <w:t>2024/25</w:t>
      </w:r>
      <w:r w:rsidR="00BF059B">
        <w:rPr>
          <w:color w:val="000000"/>
        </w:rPr>
        <w:t xml:space="preserve"> </w:t>
      </w:r>
      <w:r>
        <w:rPr>
          <w:color w:val="000000"/>
        </w:rPr>
        <w:t>was</w:t>
      </w:r>
      <w:r w:rsidR="00BF059B">
        <w:rPr>
          <w:color w:val="000000"/>
        </w:rPr>
        <w:t xml:space="preserve"> </w:t>
      </w:r>
      <w:r>
        <w:rPr>
          <w:color w:val="000000"/>
        </w:rPr>
        <w:t>28,654.</w:t>
      </w:r>
      <w:r w:rsidR="00BF059B">
        <w:rPr>
          <w:rFonts w:ascii="Times New Roman" w:eastAsia="Times New Roman" w:hAnsi="Times New Roman" w:cs="Times New Roman"/>
          <w:color w:val="000000"/>
        </w:rPr>
        <w:t xml:space="preserve"> </w:t>
      </w:r>
    </w:p>
    <w:p w14:paraId="0793D1D5" w14:textId="77777777" w:rsidR="00BE13A8" w:rsidRDefault="00BE13A8">
      <w:pPr>
        <w:pBdr>
          <w:top w:val="nil"/>
          <w:left w:val="nil"/>
          <w:bottom w:val="nil"/>
          <w:right w:val="nil"/>
          <w:between w:val="nil"/>
        </w:pBdr>
        <w:ind w:left="360"/>
        <w:jc w:val="both"/>
        <w:rPr>
          <w:rFonts w:ascii="Quattrocento Sans" w:eastAsia="Quattrocento Sans" w:hAnsi="Quattrocento Sans" w:cs="Quattrocento Sans"/>
          <w:color w:val="000000"/>
          <w:sz w:val="18"/>
          <w:szCs w:val="18"/>
        </w:rPr>
      </w:pPr>
    </w:p>
    <w:p w14:paraId="4CE58B08" w14:textId="37C26AEA" w:rsidR="00BE13A8" w:rsidRDefault="00D70530">
      <w:pPr>
        <w:pBdr>
          <w:top w:val="nil"/>
          <w:left w:val="nil"/>
          <w:bottom w:val="nil"/>
          <w:right w:val="nil"/>
          <w:between w:val="nil"/>
        </w:pBdr>
        <w:jc w:val="both"/>
        <w:rPr>
          <w:rFonts w:ascii="Times New Roman" w:eastAsia="Times New Roman" w:hAnsi="Times New Roman" w:cs="Times New Roman"/>
          <w:color w:val="000000"/>
        </w:rPr>
      </w:pPr>
      <w:r>
        <w:rPr>
          <w:color w:val="000000"/>
        </w:rPr>
        <w:t>In</w:t>
      </w:r>
      <w:r w:rsidR="00BF059B">
        <w:rPr>
          <w:color w:val="000000"/>
        </w:rPr>
        <w:t xml:space="preserve"> </w:t>
      </w:r>
      <w:r>
        <w:rPr>
          <w:color w:val="000000"/>
        </w:rPr>
        <w:t>2024/25,</w:t>
      </w:r>
      <w:r w:rsidR="00BF059B">
        <w:rPr>
          <w:color w:val="000000"/>
        </w:rPr>
        <w:t xml:space="preserve"> </w:t>
      </w:r>
      <w:r>
        <w:rPr>
          <w:color w:val="000000"/>
        </w:rPr>
        <w:t>our</w:t>
      </w:r>
      <w:r w:rsidR="00BF059B">
        <w:rPr>
          <w:color w:val="000000"/>
        </w:rPr>
        <w:t xml:space="preserve"> </w:t>
      </w:r>
      <w:r>
        <w:rPr>
          <w:color w:val="000000"/>
        </w:rPr>
        <w:t>website</w:t>
      </w:r>
      <w:r w:rsidR="00BF059B">
        <w:rPr>
          <w:color w:val="000000"/>
        </w:rPr>
        <w:t xml:space="preserve"> </w:t>
      </w:r>
      <w:r>
        <w:rPr>
          <w:color w:val="000000"/>
        </w:rPr>
        <w:t>received</w:t>
      </w:r>
      <w:r w:rsidR="00BF059B">
        <w:rPr>
          <w:color w:val="000000"/>
        </w:rPr>
        <w:t xml:space="preserve"> </w:t>
      </w:r>
      <w:r>
        <w:rPr>
          <w:color w:val="000000"/>
        </w:rPr>
        <w:t>820,202</w:t>
      </w:r>
      <w:r w:rsidR="00BF059B">
        <w:rPr>
          <w:color w:val="000000"/>
        </w:rPr>
        <w:t xml:space="preserve"> </w:t>
      </w:r>
      <w:r>
        <w:rPr>
          <w:color w:val="000000"/>
        </w:rPr>
        <w:t>website</w:t>
      </w:r>
      <w:r w:rsidR="00BF059B">
        <w:rPr>
          <w:color w:val="000000"/>
        </w:rPr>
        <w:t xml:space="preserve"> </w:t>
      </w:r>
      <w:r>
        <w:rPr>
          <w:color w:val="000000"/>
        </w:rPr>
        <w:t>visits,</w:t>
      </w:r>
      <w:r w:rsidR="00BF059B">
        <w:rPr>
          <w:color w:val="000000"/>
        </w:rPr>
        <w:t xml:space="preserve"> </w:t>
      </w:r>
      <w:r>
        <w:rPr>
          <w:color w:val="000000"/>
        </w:rPr>
        <w:t>which</w:t>
      </w:r>
      <w:r w:rsidR="00BF059B">
        <w:rPr>
          <w:color w:val="000000"/>
        </w:rPr>
        <w:t xml:space="preserve"> </w:t>
      </w:r>
      <w:r>
        <w:rPr>
          <w:color w:val="000000"/>
        </w:rPr>
        <w:t>was</w:t>
      </w:r>
      <w:r w:rsidR="00BF059B">
        <w:rPr>
          <w:color w:val="000000"/>
        </w:rPr>
        <w:t xml:space="preserve"> </w:t>
      </w:r>
      <w:r>
        <w:rPr>
          <w:color w:val="000000"/>
        </w:rPr>
        <w:t>below</w:t>
      </w:r>
      <w:r w:rsidR="00BF059B">
        <w:rPr>
          <w:color w:val="000000"/>
        </w:rPr>
        <w:t xml:space="preserve"> </w:t>
      </w:r>
      <w:r>
        <w:rPr>
          <w:color w:val="000000"/>
        </w:rPr>
        <w:t>our</w:t>
      </w:r>
      <w:r w:rsidR="00BF059B">
        <w:rPr>
          <w:color w:val="000000"/>
        </w:rPr>
        <w:t xml:space="preserve"> </w:t>
      </w:r>
      <w:r>
        <w:rPr>
          <w:color w:val="000000"/>
        </w:rPr>
        <w:t>target</w:t>
      </w:r>
      <w:r w:rsidR="00BF059B">
        <w:rPr>
          <w:color w:val="000000"/>
        </w:rPr>
        <w:t xml:space="preserve"> </w:t>
      </w:r>
      <w:r>
        <w:rPr>
          <w:color w:val="000000"/>
        </w:rPr>
        <w:t>of</w:t>
      </w:r>
      <w:r w:rsidR="00BF059B">
        <w:rPr>
          <w:color w:val="000000"/>
        </w:rPr>
        <w:t xml:space="preserve"> </w:t>
      </w:r>
      <w:r>
        <w:rPr>
          <w:color w:val="000000"/>
        </w:rPr>
        <w:t>936,000</w:t>
      </w:r>
      <w:r w:rsidR="00BF059B">
        <w:rPr>
          <w:color w:val="000000"/>
        </w:rPr>
        <w:t xml:space="preserve"> </w:t>
      </w:r>
      <w:r>
        <w:rPr>
          <w:color w:val="000000"/>
        </w:rPr>
        <w:t>and</w:t>
      </w:r>
      <w:r w:rsidR="00BF059B">
        <w:rPr>
          <w:color w:val="000000"/>
        </w:rPr>
        <w:t xml:space="preserve"> </w:t>
      </w:r>
      <w:r>
        <w:rPr>
          <w:color w:val="000000"/>
        </w:rPr>
        <w:t>a</w:t>
      </w:r>
      <w:r w:rsidR="00BF059B">
        <w:rPr>
          <w:color w:val="000000"/>
        </w:rPr>
        <w:t xml:space="preserve"> </w:t>
      </w:r>
      <w:r>
        <w:rPr>
          <w:color w:val="000000"/>
        </w:rPr>
        <w:t>decrease</w:t>
      </w:r>
      <w:r w:rsidR="00BF059B">
        <w:rPr>
          <w:color w:val="000000"/>
        </w:rPr>
        <w:t xml:space="preserve"> </w:t>
      </w:r>
      <w:r>
        <w:rPr>
          <w:color w:val="000000"/>
        </w:rPr>
        <w:t>of</w:t>
      </w:r>
      <w:r w:rsidR="00BF059B">
        <w:rPr>
          <w:color w:val="000000"/>
        </w:rPr>
        <w:t xml:space="preserve"> </w:t>
      </w:r>
      <w:r>
        <w:rPr>
          <w:color w:val="000000"/>
        </w:rPr>
        <w:t>20%</w:t>
      </w:r>
      <w:r w:rsidR="00BF059B">
        <w:rPr>
          <w:color w:val="000000"/>
        </w:rPr>
        <w:t xml:space="preserve"> </w:t>
      </w:r>
      <w:r>
        <w:rPr>
          <w:color w:val="000000"/>
        </w:rPr>
        <w:t>against</w:t>
      </w:r>
      <w:r w:rsidR="00BF059B">
        <w:rPr>
          <w:color w:val="000000"/>
        </w:rPr>
        <w:t xml:space="preserve"> </w:t>
      </w:r>
      <w:r>
        <w:rPr>
          <w:color w:val="000000"/>
        </w:rPr>
        <w:t>2023/24.</w:t>
      </w:r>
      <w:r w:rsidR="00BF059B">
        <w:rPr>
          <w:color w:val="000000"/>
          <w:highlight w:val="white"/>
        </w:rPr>
        <w:t xml:space="preserve"> </w:t>
      </w:r>
      <w:r>
        <w:rPr>
          <w:color w:val="000000"/>
          <w:highlight w:val="white"/>
        </w:rPr>
        <w:t>Website</w:t>
      </w:r>
      <w:r w:rsidR="00BF059B">
        <w:rPr>
          <w:color w:val="000000"/>
          <w:highlight w:val="white"/>
        </w:rPr>
        <w:t xml:space="preserve"> </w:t>
      </w:r>
      <w:r>
        <w:rPr>
          <w:color w:val="000000"/>
          <w:highlight w:val="white"/>
        </w:rPr>
        <w:t>visits</w:t>
      </w:r>
      <w:r w:rsidR="00BF059B">
        <w:rPr>
          <w:color w:val="000000"/>
          <w:highlight w:val="white"/>
        </w:rPr>
        <w:t xml:space="preserve"> </w:t>
      </w:r>
      <w:r>
        <w:rPr>
          <w:color w:val="000000"/>
          <w:highlight w:val="white"/>
        </w:rPr>
        <w:t>are</w:t>
      </w:r>
      <w:r w:rsidR="00BF059B">
        <w:rPr>
          <w:color w:val="000000"/>
          <w:highlight w:val="white"/>
        </w:rPr>
        <w:t xml:space="preserve"> </w:t>
      </w:r>
      <w:r>
        <w:rPr>
          <w:color w:val="000000"/>
          <w:highlight w:val="white"/>
        </w:rPr>
        <w:t>predominantly</w:t>
      </w:r>
      <w:r w:rsidR="00BF059B">
        <w:rPr>
          <w:color w:val="000000"/>
          <w:highlight w:val="white"/>
        </w:rPr>
        <w:t xml:space="preserve"> </w:t>
      </w:r>
      <w:r>
        <w:rPr>
          <w:color w:val="000000"/>
          <w:highlight w:val="white"/>
        </w:rPr>
        <w:t>for</w:t>
      </w:r>
      <w:r w:rsidR="00BF059B">
        <w:rPr>
          <w:color w:val="000000"/>
          <w:highlight w:val="white"/>
        </w:rPr>
        <w:t xml:space="preserve"> </w:t>
      </w:r>
      <w:r>
        <w:rPr>
          <w:color w:val="000000"/>
          <w:highlight w:val="white"/>
        </w:rPr>
        <w:t>visit</w:t>
      </w:r>
      <w:r w:rsidR="00BF059B">
        <w:rPr>
          <w:color w:val="000000"/>
          <w:highlight w:val="white"/>
        </w:rPr>
        <w:t xml:space="preserve"> </w:t>
      </w:r>
      <w:r>
        <w:rPr>
          <w:color w:val="000000"/>
          <w:highlight w:val="white"/>
        </w:rPr>
        <w:t>planning.</w:t>
      </w:r>
      <w:r w:rsidR="00BF059B">
        <w:rPr>
          <w:color w:val="000000"/>
          <w:highlight w:val="white"/>
        </w:rPr>
        <w:t xml:space="preserve"> </w:t>
      </w:r>
      <w:r>
        <w:rPr>
          <w:color w:val="000000"/>
          <w:highlight w:val="white"/>
        </w:rPr>
        <w:t>Some</w:t>
      </w:r>
      <w:r w:rsidR="00BF059B">
        <w:rPr>
          <w:color w:val="000000"/>
          <w:highlight w:val="white"/>
        </w:rPr>
        <w:t xml:space="preserve"> </w:t>
      </w:r>
      <w:r>
        <w:rPr>
          <w:color w:val="000000"/>
          <w:highlight w:val="white"/>
        </w:rPr>
        <w:t>of</w:t>
      </w:r>
      <w:r w:rsidR="00BF059B">
        <w:rPr>
          <w:color w:val="000000"/>
          <w:highlight w:val="white"/>
        </w:rPr>
        <w:t xml:space="preserve"> </w:t>
      </w:r>
      <w:r>
        <w:rPr>
          <w:color w:val="000000"/>
          <w:highlight w:val="white"/>
        </w:rPr>
        <w:t>the</w:t>
      </w:r>
      <w:r w:rsidR="00BF059B">
        <w:rPr>
          <w:color w:val="000000"/>
          <w:highlight w:val="white"/>
        </w:rPr>
        <w:t xml:space="preserve"> </w:t>
      </w:r>
      <w:r>
        <w:rPr>
          <w:color w:val="000000"/>
          <w:highlight w:val="white"/>
        </w:rPr>
        <w:t>decrease</w:t>
      </w:r>
      <w:r w:rsidR="00BF059B">
        <w:rPr>
          <w:color w:val="000000"/>
          <w:highlight w:val="white"/>
        </w:rPr>
        <w:t xml:space="preserve"> </w:t>
      </w:r>
      <w:r>
        <w:rPr>
          <w:color w:val="000000"/>
          <w:highlight w:val="white"/>
        </w:rPr>
        <w:t>can</w:t>
      </w:r>
      <w:r w:rsidR="00BF059B">
        <w:rPr>
          <w:color w:val="000000"/>
          <w:highlight w:val="white"/>
        </w:rPr>
        <w:t xml:space="preserve"> </w:t>
      </w:r>
      <w:r>
        <w:rPr>
          <w:color w:val="000000"/>
          <w:highlight w:val="white"/>
        </w:rPr>
        <w:t>be</w:t>
      </w:r>
      <w:r w:rsidR="00BF059B">
        <w:rPr>
          <w:color w:val="000000"/>
          <w:highlight w:val="white"/>
        </w:rPr>
        <w:t xml:space="preserve"> </w:t>
      </w:r>
      <w:r>
        <w:rPr>
          <w:color w:val="000000"/>
          <w:highlight w:val="white"/>
        </w:rPr>
        <w:t>explained</w:t>
      </w:r>
      <w:r w:rsidR="00BF059B">
        <w:rPr>
          <w:color w:val="000000"/>
          <w:highlight w:val="white"/>
        </w:rPr>
        <w:t xml:space="preserve"> </w:t>
      </w:r>
      <w:r>
        <w:rPr>
          <w:color w:val="000000"/>
          <w:highlight w:val="white"/>
        </w:rPr>
        <w:t>by</w:t>
      </w:r>
      <w:r w:rsidR="00BF059B">
        <w:rPr>
          <w:color w:val="000000"/>
          <w:highlight w:val="white"/>
        </w:rPr>
        <w:t xml:space="preserve"> </w:t>
      </w:r>
      <w:r>
        <w:rPr>
          <w:color w:val="000000"/>
          <w:highlight w:val="white"/>
        </w:rPr>
        <w:t>the</w:t>
      </w:r>
      <w:r w:rsidR="00BF059B">
        <w:rPr>
          <w:color w:val="000000"/>
          <w:highlight w:val="white"/>
        </w:rPr>
        <w:t xml:space="preserve"> </w:t>
      </w:r>
      <w:r>
        <w:rPr>
          <w:color w:val="000000"/>
          <w:highlight w:val="white"/>
        </w:rPr>
        <w:t>anticipated</w:t>
      </w:r>
      <w:r w:rsidR="00BF059B">
        <w:rPr>
          <w:color w:val="000000"/>
          <w:highlight w:val="white"/>
        </w:rPr>
        <w:t xml:space="preserve"> </w:t>
      </w:r>
      <w:r>
        <w:rPr>
          <w:color w:val="000000"/>
          <w:highlight w:val="white"/>
        </w:rPr>
        <w:t>drop</w:t>
      </w:r>
      <w:r w:rsidR="00BF059B">
        <w:rPr>
          <w:color w:val="000000"/>
          <w:highlight w:val="white"/>
        </w:rPr>
        <w:t xml:space="preserve"> </w:t>
      </w:r>
      <w:r>
        <w:rPr>
          <w:color w:val="000000"/>
          <w:highlight w:val="white"/>
        </w:rPr>
        <w:t>in</w:t>
      </w:r>
      <w:r w:rsidR="00BF059B">
        <w:rPr>
          <w:color w:val="000000"/>
          <w:highlight w:val="white"/>
        </w:rPr>
        <w:t xml:space="preserve"> </w:t>
      </w:r>
      <w:r>
        <w:rPr>
          <w:color w:val="000000"/>
          <w:highlight w:val="white"/>
        </w:rPr>
        <w:t>visitor</w:t>
      </w:r>
      <w:r w:rsidR="00BF059B">
        <w:rPr>
          <w:color w:val="000000"/>
          <w:highlight w:val="white"/>
        </w:rPr>
        <w:t xml:space="preserve"> </w:t>
      </w:r>
      <w:r>
        <w:rPr>
          <w:color w:val="000000"/>
          <w:highlight w:val="white"/>
        </w:rPr>
        <w:t>numbers</w:t>
      </w:r>
      <w:r w:rsidR="00BF059B">
        <w:rPr>
          <w:color w:val="000000"/>
          <w:highlight w:val="white"/>
        </w:rPr>
        <w:t xml:space="preserve"> </w:t>
      </w:r>
      <w:r>
        <w:rPr>
          <w:color w:val="000000"/>
        </w:rPr>
        <w:t>because</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temporary</w:t>
      </w:r>
      <w:r w:rsidR="00BF059B">
        <w:rPr>
          <w:color w:val="000000"/>
        </w:rPr>
        <w:t xml:space="preserve"> </w:t>
      </w:r>
      <w:r>
        <w:rPr>
          <w:color w:val="000000"/>
        </w:rPr>
        <w:t>closure</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Natural</w:t>
      </w:r>
      <w:r w:rsidR="00BF059B">
        <w:rPr>
          <w:color w:val="000000"/>
        </w:rPr>
        <w:t xml:space="preserve"> </w:t>
      </w:r>
      <w:r>
        <w:rPr>
          <w:color w:val="000000"/>
        </w:rPr>
        <w:t>History</w:t>
      </w:r>
      <w:r w:rsidR="00BF059B">
        <w:rPr>
          <w:color w:val="000000"/>
        </w:rPr>
        <w:t xml:space="preserve"> </w:t>
      </w:r>
      <w:r>
        <w:rPr>
          <w:color w:val="000000"/>
        </w:rPr>
        <w:t>Gallery</w:t>
      </w:r>
      <w:r w:rsidR="00BF059B">
        <w:rPr>
          <w:color w:val="000000"/>
        </w:rPr>
        <w:t xml:space="preserve"> </w:t>
      </w:r>
      <w:r>
        <w:rPr>
          <w:color w:val="000000"/>
        </w:rPr>
        <w:t>and</w:t>
      </w:r>
      <w:r w:rsidR="00BF059B">
        <w:rPr>
          <w:color w:val="000000"/>
        </w:rPr>
        <w:t xml:space="preserve"> </w:t>
      </w:r>
      <w:r>
        <w:rPr>
          <w:color w:val="000000"/>
        </w:rPr>
        <w:t>other</w:t>
      </w:r>
      <w:r w:rsidR="00BF059B">
        <w:rPr>
          <w:color w:val="000000"/>
        </w:rPr>
        <w:t xml:space="preserve"> </w:t>
      </w:r>
      <w:r>
        <w:rPr>
          <w:color w:val="000000"/>
        </w:rPr>
        <w:t>closures</w:t>
      </w:r>
      <w:r w:rsidR="00BF059B">
        <w:rPr>
          <w:color w:val="000000"/>
        </w:rPr>
        <w:t xml:space="preserve"> </w:t>
      </w:r>
      <w:r>
        <w:rPr>
          <w:color w:val="000000"/>
        </w:rPr>
        <w:t>early</w:t>
      </w:r>
      <w:r w:rsidR="00BF059B">
        <w:rPr>
          <w:color w:val="000000"/>
        </w:rPr>
        <w:t xml:space="preserve"> </w:t>
      </w:r>
      <w:r>
        <w:rPr>
          <w:color w:val="000000"/>
        </w:rPr>
        <w:t>in</w:t>
      </w:r>
      <w:r w:rsidR="00BF059B">
        <w:rPr>
          <w:color w:val="000000"/>
        </w:rPr>
        <w:t xml:space="preserve"> </w:t>
      </w:r>
      <w:r>
        <w:rPr>
          <w:color w:val="000000"/>
        </w:rPr>
        <w:t>the</w:t>
      </w:r>
      <w:r w:rsidR="00BF059B">
        <w:rPr>
          <w:color w:val="000000"/>
        </w:rPr>
        <w:t xml:space="preserve"> </w:t>
      </w:r>
      <w:r>
        <w:rPr>
          <w:color w:val="000000"/>
        </w:rPr>
        <w:t>year.</w:t>
      </w:r>
      <w:r w:rsidR="00BF059B">
        <w:rPr>
          <w:color w:val="000000"/>
          <w:highlight w:val="white"/>
        </w:rPr>
        <w:t xml:space="preserve"> </w:t>
      </w:r>
      <w:r>
        <w:rPr>
          <w:color w:val="000000"/>
          <w:highlight w:val="white"/>
        </w:rPr>
        <w:t>Pages</w:t>
      </w:r>
      <w:r w:rsidR="00BF059B">
        <w:rPr>
          <w:color w:val="000000"/>
          <w:highlight w:val="white"/>
        </w:rPr>
        <w:t xml:space="preserve"> </w:t>
      </w:r>
      <w:r>
        <w:rPr>
          <w:color w:val="000000"/>
          <w:highlight w:val="white"/>
        </w:rPr>
        <w:t>viewed</w:t>
      </w:r>
      <w:r w:rsidR="00BF059B">
        <w:rPr>
          <w:color w:val="000000"/>
          <w:highlight w:val="white"/>
        </w:rPr>
        <w:t xml:space="preserve"> </w:t>
      </w:r>
      <w:r>
        <w:rPr>
          <w:color w:val="000000"/>
          <w:highlight w:val="white"/>
        </w:rPr>
        <w:t>on</w:t>
      </w:r>
      <w:r w:rsidR="00BF059B">
        <w:rPr>
          <w:color w:val="000000"/>
          <w:highlight w:val="white"/>
        </w:rPr>
        <w:t xml:space="preserve"> </w:t>
      </w:r>
      <w:r>
        <w:rPr>
          <w:color w:val="000000"/>
          <w:highlight w:val="white"/>
        </w:rPr>
        <w:t>the</w:t>
      </w:r>
      <w:r w:rsidR="00BF059B">
        <w:rPr>
          <w:color w:val="000000"/>
          <w:highlight w:val="white"/>
        </w:rPr>
        <w:t xml:space="preserve"> </w:t>
      </w:r>
      <w:r>
        <w:rPr>
          <w:color w:val="000000"/>
          <w:highlight w:val="white"/>
        </w:rPr>
        <w:t>site</w:t>
      </w:r>
      <w:r w:rsidR="00BF059B">
        <w:rPr>
          <w:color w:val="000000"/>
          <w:highlight w:val="white"/>
        </w:rPr>
        <w:t xml:space="preserve"> </w:t>
      </w:r>
      <w:r>
        <w:rPr>
          <w:color w:val="000000"/>
          <w:highlight w:val="white"/>
        </w:rPr>
        <w:t>were</w:t>
      </w:r>
      <w:r w:rsidR="00BF059B">
        <w:rPr>
          <w:color w:val="000000"/>
          <w:highlight w:val="white"/>
        </w:rPr>
        <w:t xml:space="preserve"> </w:t>
      </w:r>
      <w:r>
        <w:rPr>
          <w:color w:val="000000"/>
          <w:highlight w:val="white"/>
        </w:rPr>
        <w:t>down</w:t>
      </w:r>
      <w:r w:rsidR="00BF059B">
        <w:rPr>
          <w:color w:val="000000"/>
          <w:highlight w:val="white"/>
        </w:rPr>
        <w:t xml:space="preserve"> </w:t>
      </w:r>
      <w:r>
        <w:rPr>
          <w:color w:val="000000"/>
          <w:highlight w:val="white"/>
        </w:rPr>
        <w:t>by</w:t>
      </w:r>
      <w:r w:rsidR="00BF059B">
        <w:rPr>
          <w:color w:val="000000"/>
          <w:highlight w:val="white"/>
        </w:rPr>
        <w:t xml:space="preserve"> </w:t>
      </w:r>
      <w:r>
        <w:rPr>
          <w:color w:val="000000"/>
          <w:highlight w:val="white"/>
        </w:rPr>
        <w:t>24%</w:t>
      </w:r>
      <w:r w:rsidR="00BF059B">
        <w:rPr>
          <w:color w:val="000000"/>
          <w:highlight w:val="white"/>
        </w:rPr>
        <w:t xml:space="preserve"> </w:t>
      </w:r>
      <w:r>
        <w:rPr>
          <w:color w:val="000000"/>
          <w:highlight w:val="white"/>
        </w:rPr>
        <w:t>to</w:t>
      </w:r>
      <w:r w:rsidR="00BF059B">
        <w:rPr>
          <w:color w:val="000000"/>
          <w:highlight w:val="white"/>
        </w:rPr>
        <w:t xml:space="preserve"> </w:t>
      </w:r>
      <w:r>
        <w:rPr>
          <w:color w:val="000000"/>
          <w:highlight w:val="white"/>
        </w:rPr>
        <w:t>2.3</w:t>
      </w:r>
      <w:r w:rsidR="00BF059B">
        <w:rPr>
          <w:color w:val="000000"/>
          <w:highlight w:val="white"/>
        </w:rPr>
        <w:t xml:space="preserve"> </w:t>
      </w:r>
      <w:r>
        <w:rPr>
          <w:color w:val="000000"/>
          <w:highlight w:val="white"/>
        </w:rPr>
        <w:t>million</w:t>
      </w:r>
      <w:r w:rsidR="00BF059B">
        <w:rPr>
          <w:color w:val="000000"/>
          <w:highlight w:val="white"/>
        </w:rPr>
        <w:t xml:space="preserve"> </w:t>
      </w:r>
      <w:r>
        <w:rPr>
          <w:color w:val="000000"/>
          <w:highlight w:val="white"/>
        </w:rPr>
        <w:t>(3</w:t>
      </w:r>
      <w:r w:rsidR="00BF059B">
        <w:rPr>
          <w:color w:val="000000"/>
          <w:highlight w:val="white"/>
        </w:rPr>
        <w:t xml:space="preserve"> </w:t>
      </w:r>
      <w:r>
        <w:rPr>
          <w:color w:val="000000"/>
          <w:highlight w:val="white"/>
        </w:rPr>
        <w:t>million</w:t>
      </w:r>
      <w:r w:rsidR="00BF059B">
        <w:rPr>
          <w:color w:val="000000"/>
          <w:highlight w:val="white"/>
        </w:rPr>
        <w:t xml:space="preserve"> </w:t>
      </w:r>
      <w:r>
        <w:rPr>
          <w:color w:val="000000"/>
          <w:highlight w:val="white"/>
        </w:rPr>
        <w:t>in</w:t>
      </w:r>
      <w:r w:rsidR="00BF059B">
        <w:rPr>
          <w:color w:val="000000"/>
          <w:highlight w:val="white"/>
        </w:rPr>
        <w:t xml:space="preserve"> </w:t>
      </w:r>
      <w:r>
        <w:rPr>
          <w:color w:val="000000"/>
          <w:highlight w:val="white"/>
        </w:rPr>
        <w:t>2023/24).</w:t>
      </w:r>
      <w:r w:rsidR="00BF059B">
        <w:rPr>
          <w:color w:val="000000"/>
          <w:highlight w:val="white"/>
        </w:rPr>
        <w:t xml:space="preserve"> </w:t>
      </w:r>
      <w:r>
        <w:rPr>
          <w:color w:val="000000"/>
          <w:highlight w:val="white"/>
        </w:rPr>
        <w:t>The</w:t>
      </w:r>
      <w:r w:rsidR="00BF059B">
        <w:rPr>
          <w:color w:val="000000"/>
          <w:highlight w:val="white"/>
        </w:rPr>
        <w:t xml:space="preserve"> </w:t>
      </w:r>
      <w:r>
        <w:rPr>
          <w:color w:val="000000"/>
          <w:highlight w:val="white"/>
        </w:rPr>
        <w:t>number</w:t>
      </w:r>
      <w:r w:rsidR="00BF059B">
        <w:rPr>
          <w:color w:val="000000"/>
          <w:highlight w:val="white"/>
        </w:rPr>
        <w:t xml:space="preserve"> </w:t>
      </w:r>
      <w:r>
        <w:rPr>
          <w:color w:val="000000"/>
          <w:highlight w:val="white"/>
        </w:rPr>
        <w:t>of</w:t>
      </w:r>
      <w:r w:rsidR="00BF059B">
        <w:rPr>
          <w:color w:val="000000"/>
          <w:highlight w:val="white"/>
        </w:rPr>
        <w:t xml:space="preserve"> </w:t>
      </w:r>
      <w:r>
        <w:rPr>
          <w:color w:val="000000"/>
          <w:highlight w:val="white"/>
        </w:rPr>
        <w:t>records</w:t>
      </w:r>
      <w:r w:rsidR="00BF059B">
        <w:rPr>
          <w:color w:val="000000"/>
          <w:highlight w:val="white"/>
        </w:rPr>
        <w:t xml:space="preserve"> </w:t>
      </w:r>
      <w:r>
        <w:rPr>
          <w:color w:val="000000"/>
          <w:highlight w:val="white"/>
        </w:rPr>
        <w:t>online</w:t>
      </w:r>
      <w:r w:rsidR="00BF059B">
        <w:rPr>
          <w:color w:val="000000"/>
          <w:highlight w:val="white"/>
        </w:rPr>
        <w:t xml:space="preserve"> </w:t>
      </w:r>
      <w:r>
        <w:rPr>
          <w:color w:val="000000"/>
          <w:highlight w:val="white"/>
        </w:rPr>
        <w:t>stands</w:t>
      </w:r>
      <w:r w:rsidR="00BF059B">
        <w:rPr>
          <w:color w:val="000000"/>
          <w:highlight w:val="white"/>
        </w:rPr>
        <w:t xml:space="preserve"> </w:t>
      </w:r>
      <w:r>
        <w:rPr>
          <w:color w:val="000000"/>
          <w:highlight w:val="white"/>
        </w:rPr>
        <w:t>at</w:t>
      </w:r>
      <w:r w:rsidR="00BF059B">
        <w:rPr>
          <w:color w:val="000000"/>
          <w:highlight w:val="white"/>
        </w:rPr>
        <w:t xml:space="preserve"> </w:t>
      </w:r>
      <w:r>
        <w:rPr>
          <w:color w:val="000000"/>
          <w:highlight w:val="white"/>
        </w:rPr>
        <w:t>137,031</w:t>
      </w:r>
      <w:r w:rsidR="00BF059B">
        <w:rPr>
          <w:color w:val="000000"/>
          <w:highlight w:val="white"/>
        </w:rPr>
        <w:t xml:space="preserve"> </w:t>
      </w:r>
      <w:r>
        <w:rPr>
          <w:color w:val="000000"/>
          <w:highlight w:val="white"/>
        </w:rPr>
        <w:t>at</w:t>
      </w:r>
      <w:r w:rsidR="00BF059B">
        <w:rPr>
          <w:color w:val="000000"/>
          <w:highlight w:val="white"/>
        </w:rPr>
        <w:t xml:space="preserve"> </w:t>
      </w:r>
      <w:r>
        <w:rPr>
          <w:color w:val="000000"/>
          <w:highlight w:val="white"/>
        </w:rPr>
        <w:t>the</w:t>
      </w:r>
      <w:r w:rsidR="00BF059B">
        <w:rPr>
          <w:color w:val="000000"/>
          <w:highlight w:val="white"/>
        </w:rPr>
        <w:t xml:space="preserve"> </w:t>
      </w:r>
      <w:r>
        <w:rPr>
          <w:color w:val="000000"/>
          <w:highlight w:val="white"/>
        </w:rPr>
        <w:t>end</w:t>
      </w:r>
      <w:r w:rsidR="00BF059B">
        <w:rPr>
          <w:color w:val="000000"/>
          <w:highlight w:val="white"/>
        </w:rPr>
        <w:t xml:space="preserve"> </w:t>
      </w:r>
      <w:r>
        <w:rPr>
          <w:color w:val="000000"/>
          <w:highlight w:val="white"/>
        </w:rPr>
        <w:t>of</w:t>
      </w:r>
      <w:r w:rsidR="00BF059B">
        <w:rPr>
          <w:color w:val="000000"/>
          <w:highlight w:val="white"/>
        </w:rPr>
        <w:t xml:space="preserve"> </w:t>
      </w:r>
      <w:r>
        <w:rPr>
          <w:color w:val="000000"/>
          <w:highlight w:val="white"/>
        </w:rPr>
        <w:t>the</w:t>
      </w:r>
      <w:r w:rsidR="00BF059B">
        <w:rPr>
          <w:color w:val="000000"/>
          <w:highlight w:val="white"/>
        </w:rPr>
        <w:t xml:space="preserve"> </w:t>
      </w:r>
      <w:r>
        <w:rPr>
          <w:color w:val="000000"/>
          <w:highlight w:val="white"/>
        </w:rPr>
        <w:t>year</w:t>
      </w:r>
      <w:r w:rsidR="00BF059B">
        <w:rPr>
          <w:color w:val="000000"/>
          <w:highlight w:val="white"/>
        </w:rPr>
        <w:t xml:space="preserve"> </w:t>
      </w:r>
      <w:r>
        <w:rPr>
          <w:color w:val="000000"/>
          <w:highlight w:val="white"/>
        </w:rPr>
        <w:t>(up</w:t>
      </w:r>
      <w:r w:rsidR="00BF059B">
        <w:rPr>
          <w:color w:val="000000"/>
          <w:highlight w:val="white"/>
        </w:rPr>
        <w:t xml:space="preserve"> </w:t>
      </w:r>
      <w:r>
        <w:rPr>
          <w:color w:val="000000"/>
          <w:highlight w:val="white"/>
        </w:rPr>
        <w:t>4%</w:t>
      </w:r>
      <w:r w:rsidR="00BF059B">
        <w:rPr>
          <w:color w:val="000000"/>
          <w:highlight w:val="white"/>
        </w:rPr>
        <w:t xml:space="preserve"> </w:t>
      </w:r>
      <w:r>
        <w:rPr>
          <w:color w:val="000000"/>
          <w:highlight w:val="white"/>
        </w:rPr>
        <w:t>on</w:t>
      </w:r>
      <w:r w:rsidR="00BF059B">
        <w:rPr>
          <w:color w:val="000000"/>
          <w:highlight w:val="white"/>
        </w:rPr>
        <w:t xml:space="preserve"> </w:t>
      </w:r>
      <w:r>
        <w:rPr>
          <w:color w:val="000000"/>
          <w:highlight w:val="white"/>
        </w:rPr>
        <w:t>last</w:t>
      </w:r>
      <w:r w:rsidR="00BF059B">
        <w:rPr>
          <w:color w:val="000000"/>
          <w:highlight w:val="white"/>
        </w:rPr>
        <w:t xml:space="preserve"> </w:t>
      </w:r>
      <w:r>
        <w:rPr>
          <w:color w:val="000000"/>
          <w:highlight w:val="white"/>
        </w:rPr>
        <w:t>year).</w:t>
      </w:r>
      <w:r w:rsidR="00BF059B">
        <w:rPr>
          <w:rFonts w:ascii="Times New Roman" w:eastAsia="Times New Roman" w:hAnsi="Times New Roman" w:cs="Times New Roman"/>
          <w:color w:val="000000"/>
        </w:rPr>
        <w:t xml:space="preserve"> </w:t>
      </w:r>
    </w:p>
    <w:p w14:paraId="1D1383A8" w14:textId="77777777" w:rsidR="00BE13A8" w:rsidRDefault="00BE13A8">
      <w:pPr>
        <w:pBdr>
          <w:top w:val="nil"/>
          <w:left w:val="nil"/>
          <w:bottom w:val="nil"/>
          <w:right w:val="nil"/>
          <w:between w:val="nil"/>
        </w:pBdr>
        <w:jc w:val="both"/>
        <w:rPr>
          <w:rFonts w:ascii="Quattrocento Sans" w:eastAsia="Quattrocento Sans" w:hAnsi="Quattrocento Sans" w:cs="Quattrocento Sans"/>
          <w:color w:val="000000"/>
          <w:sz w:val="18"/>
          <w:szCs w:val="18"/>
        </w:rPr>
      </w:pPr>
    </w:p>
    <w:p w14:paraId="10AE7E07" w14:textId="74B91956" w:rsidR="00BE13A8" w:rsidRDefault="00D70530">
      <w:pPr>
        <w:pBdr>
          <w:top w:val="nil"/>
          <w:left w:val="nil"/>
          <w:bottom w:val="nil"/>
          <w:right w:val="nil"/>
          <w:between w:val="nil"/>
        </w:pBdr>
        <w:shd w:val="clear" w:color="auto" w:fill="FFFFFF"/>
        <w:jc w:val="both"/>
        <w:rPr>
          <w:color w:val="000000"/>
          <w:highlight w:val="white"/>
        </w:rPr>
      </w:pPr>
      <w:r>
        <w:rPr>
          <w:color w:val="000000"/>
          <w:highlight w:val="white"/>
        </w:rPr>
        <w:t>Our</w:t>
      </w:r>
      <w:r w:rsidR="00BF059B">
        <w:rPr>
          <w:color w:val="000000"/>
          <w:highlight w:val="white"/>
        </w:rPr>
        <w:t xml:space="preserve"> </w:t>
      </w:r>
      <w:r>
        <w:rPr>
          <w:color w:val="000000"/>
          <w:highlight w:val="white"/>
        </w:rPr>
        <w:t>social</w:t>
      </w:r>
      <w:r w:rsidR="00BF059B">
        <w:rPr>
          <w:color w:val="000000"/>
          <w:highlight w:val="white"/>
        </w:rPr>
        <w:t xml:space="preserve"> </w:t>
      </w:r>
      <w:r>
        <w:rPr>
          <w:color w:val="000000"/>
          <w:highlight w:val="white"/>
        </w:rPr>
        <w:t>media</w:t>
      </w:r>
      <w:r w:rsidR="00BF059B">
        <w:rPr>
          <w:color w:val="000000"/>
          <w:highlight w:val="white"/>
        </w:rPr>
        <w:t xml:space="preserve"> </w:t>
      </w:r>
      <w:r>
        <w:rPr>
          <w:color w:val="000000"/>
          <w:highlight w:val="white"/>
        </w:rPr>
        <w:t>presence</w:t>
      </w:r>
      <w:r w:rsidR="00BF059B">
        <w:rPr>
          <w:color w:val="000000"/>
          <w:highlight w:val="white"/>
        </w:rPr>
        <w:t xml:space="preserve"> </w:t>
      </w:r>
      <w:r>
        <w:rPr>
          <w:color w:val="000000"/>
          <w:highlight w:val="white"/>
        </w:rPr>
        <w:t>increased</w:t>
      </w:r>
      <w:r w:rsidR="00BF059B">
        <w:rPr>
          <w:color w:val="000000"/>
          <w:highlight w:val="white"/>
        </w:rPr>
        <w:t xml:space="preserve"> </w:t>
      </w:r>
      <w:r>
        <w:rPr>
          <w:color w:val="000000"/>
          <w:highlight w:val="white"/>
        </w:rPr>
        <w:t>in</w:t>
      </w:r>
      <w:r w:rsidR="00BF059B">
        <w:rPr>
          <w:color w:val="000000"/>
          <w:highlight w:val="white"/>
        </w:rPr>
        <w:t xml:space="preserve"> </w:t>
      </w:r>
      <w:r>
        <w:rPr>
          <w:color w:val="000000"/>
          <w:highlight w:val="white"/>
        </w:rPr>
        <w:t>followers</w:t>
      </w:r>
      <w:r w:rsidR="00BF059B">
        <w:rPr>
          <w:color w:val="000000"/>
          <w:highlight w:val="white"/>
        </w:rPr>
        <w:t xml:space="preserve"> </w:t>
      </w:r>
      <w:r>
        <w:rPr>
          <w:color w:val="000000"/>
          <w:highlight w:val="white"/>
        </w:rPr>
        <w:t>by</w:t>
      </w:r>
      <w:r w:rsidR="00BF059B">
        <w:rPr>
          <w:color w:val="000000"/>
          <w:highlight w:val="white"/>
        </w:rPr>
        <w:t xml:space="preserve"> </w:t>
      </w:r>
      <w:r>
        <w:rPr>
          <w:color w:val="000000"/>
          <w:highlight w:val="white"/>
        </w:rPr>
        <w:t>1%,</w:t>
      </w:r>
      <w:r w:rsidR="00BF059B">
        <w:rPr>
          <w:color w:val="000000"/>
          <w:highlight w:val="white"/>
        </w:rPr>
        <w:t xml:space="preserve"> </w:t>
      </w:r>
      <w:r>
        <w:rPr>
          <w:color w:val="000000"/>
          <w:highlight w:val="white"/>
        </w:rPr>
        <w:t>with</w:t>
      </w:r>
      <w:r w:rsidR="00BF059B">
        <w:rPr>
          <w:color w:val="000000"/>
          <w:highlight w:val="white"/>
        </w:rPr>
        <w:t xml:space="preserve"> </w:t>
      </w:r>
      <w:r>
        <w:rPr>
          <w:color w:val="000000"/>
          <w:highlight w:val="white"/>
        </w:rPr>
        <w:t>a</w:t>
      </w:r>
      <w:r w:rsidR="00BF059B">
        <w:rPr>
          <w:color w:val="000000"/>
          <w:highlight w:val="white"/>
        </w:rPr>
        <w:t xml:space="preserve"> </w:t>
      </w:r>
      <w:r>
        <w:rPr>
          <w:color w:val="000000"/>
          <w:highlight w:val="white"/>
        </w:rPr>
        <w:t>community</w:t>
      </w:r>
      <w:r w:rsidR="00BF059B">
        <w:rPr>
          <w:color w:val="000000"/>
          <w:highlight w:val="white"/>
        </w:rPr>
        <w:t xml:space="preserve"> </w:t>
      </w:r>
      <w:r>
        <w:rPr>
          <w:color w:val="000000"/>
          <w:highlight w:val="white"/>
        </w:rPr>
        <w:t>of</w:t>
      </w:r>
      <w:r w:rsidR="00BF059B">
        <w:rPr>
          <w:color w:val="000000"/>
          <w:highlight w:val="white"/>
        </w:rPr>
        <w:t xml:space="preserve"> </w:t>
      </w:r>
      <w:r>
        <w:rPr>
          <w:color w:val="000000"/>
          <w:highlight w:val="white"/>
        </w:rPr>
        <w:t>643,000.</w:t>
      </w:r>
      <w:r w:rsidR="00BF059B">
        <w:rPr>
          <w:color w:val="000000"/>
          <w:highlight w:val="white"/>
        </w:rPr>
        <w:t xml:space="preserve"> </w:t>
      </w:r>
      <w:r>
        <w:rPr>
          <w:color w:val="000000"/>
          <w:highlight w:val="white"/>
        </w:rPr>
        <w:t>Most</w:t>
      </w:r>
      <w:r w:rsidR="00BF059B">
        <w:rPr>
          <w:color w:val="000000"/>
          <w:highlight w:val="white"/>
        </w:rPr>
        <w:t xml:space="preserve"> </w:t>
      </w:r>
      <w:r>
        <w:rPr>
          <w:color w:val="000000"/>
          <w:highlight w:val="white"/>
        </w:rPr>
        <w:t>of</w:t>
      </w:r>
      <w:r w:rsidR="00BF059B">
        <w:rPr>
          <w:color w:val="000000"/>
          <w:highlight w:val="white"/>
        </w:rPr>
        <w:t xml:space="preserve"> </w:t>
      </w:r>
      <w:r>
        <w:rPr>
          <w:color w:val="000000"/>
          <w:highlight w:val="white"/>
        </w:rPr>
        <w:t>our</w:t>
      </w:r>
      <w:r w:rsidR="00BF059B">
        <w:rPr>
          <w:color w:val="000000"/>
          <w:highlight w:val="white"/>
        </w:rPr>
        <w:t xml:space="preserve"> </w:t>
      </w:r>
      <w:r>
        <w:rPr>
          <w:color w:val="000000"/>
          <w:highlight w:val="white"/>
        </w:rPr>
        <w:t>social</w:t>
      </w:r>
      <w:r w:rsidR="00BF059B">
        <w:rPr>
          <w:color w:val="000000"/>
          <w:highlight w:val="white"/>
        </w:rPr>
        <w:t xml:space="preserve"> </w:t>
      </w:r>
      <w:r>
        <w:rPr>
          <w:color w:val="000000"/>
          <w:highlight w:val="white"/>
        </w:rPr>
        <w:t>audience</w:t>
      </w:r>
      <w:r w:rsidR="00BF059B">
        <w:rPr>
          <w:color w:val="000000"/>
          <w:highlight w:val="white"/>
        </w:rPr>
        <w:t xml:space="preserve"> </w:t>
      </w:r>
      <w:r>
        <w:rPr>
          <w:color w:val="000000"/>
          <w:highlight w:val="white"/>
        </w:rPr>
        <w:t>came</w:t>
      </w:r>
      <w:r w:rsidR="00BF059B">
        <w:rPr>
          <w:color w:val="000000"/>
          <w:highlight w:val="white"/>
        </w:rPr>
        <w:t xml:space="preserve"> </w:t>
      </w:r>
      <w:r>
        <w:rPr>
          <w:color w:val="000000"/>
          <w:highlight w:val="white"/>
        </w:rPr>
        <w:t>via</w:t>
      </w:r>
      <w:r w:rsidR="00BF059B">
        <w:rPr>
          <w:color w:val="000000"/>
          <w:highlight w:val="white"/>
        </w:rPr>
        <w:t xml:space="preserve"> </w:t>
      </w:r>
      <w:r>
        <w:rPr>
          <w:color w:val="000000"/>
          <w:highlight w:val="white"/>
        </w:rPr>
        <w:t>Pinterest,</w:t>
      </w:r>
      <w:r w:rsidR="00BF059B">
        <w:rPr>
          <w:color w:val="000000"/>
          <w:highlight w:val="white"/>
        </w:rPr>
        <w:t xml:space="preserve"> </w:t>
      </w:r>
      <w:r>
        <w:rPr>
          <w:color w:val="000000"/>
          <w:highlight w:val="white"/>
        </w:rPr>
        <w:t>but</w:t>
      </w:r>
      <w:r w:rsidR="00BF059B">
        <w:rPr>
          <w:color w:val="000000"/>
          <w:highlight w:val="white"/>
        </w:rPr>
        <w:t xml:space="preserve"> </w:t>
      </w:r>
      <w:r>
        <w:rPr>
          <w:color w:val="000000"/>
          <w:highlight w:val="white"/>
        </w:rPr>
        <w:t>our</w:t>
      </w:r>
      <w:r w:rsidR="00BF059B">
        <w:rPr>
          <w:color w:val="000000"/>
          <w:highlight w:val="white"/>
        </w:rPr>
        <w:t xml:space="preserve"> </w:t>
      </w:r>
      <w:r>
        <w:rPr>
          <w:color w:val="000000"/>
          <w:highlight w:val="white"/>
        </w:rPr>
        <w:t>biggest</w:t>
      </w:r>
      <w:r w:rsidR="00BF059B">
        <w:rPr>
          <w:color w:val="000000"/>
          <w:highlight w:val="white"/>
        </w:rPr>
        <w:t xml:space="preserve"> </w:t>
      </w:r>
      <w:r>
        <w:rPr>
          <w:color w:val="000000"/>
          <w:highlight w:val="white"/>
        </w:rPr>
        <w:t>growth</w:t>
      </w:r>
      <w:r w:rsidR="00BF059B">
        <w:rPr>
          <w:color w:val="000000"/>
          <w:highlight w:val="white"/>
        </w:rPr>
        <w:t xml:space="preserve"> </w:t>
      </w:r>
      <w:r>
        <w:rPr>
          <w:color w:val="000000"/>
          <w:highlight w:val="white"/>
        </w:rPr>
        <w:t>has</w:t>
      </w:r>
      <w:r w:rsidR="00BF059B">
        <w:rPr>
          <w:color w:val="000000"/>
          <w:highlight w:val="white"/>
        </w:rPr>
        <w:t xml:space="preserve"> </w:t>
      </w:r>
      <w:r>
        <w:rPr>
          <w:color w:val="000000"/>
          <w:highlight w:val="white"/>
        </w:rPr>
        <w:t>come</w:t>
      </w:r>
      <w:r w:rsidR="00BF059B">
        <w:rPr>
          <w:color w:val="000000"/>
          <w:highlight w:val="white"/>
        </w:rPr>
        <w:t xml:space="preserve"> </w:t>
      </w:r>
      <w:r>
        <w:rPr>
          <w:color w:val="000000"/>
          <w:highlight w:val="white"/>
        </w:rPr>
        <w:t>from</w:t>
      </w:r>
      <w:r w:rsidR="00BF059B">
        <w:rPr>
          <w:color w:val="000000"/>
          <w:highlight w:val="white"/>
        </w:rPr>
        <w:t xml:space="preserve"> </w:t>
      </w:r>
      <w:r>
        <w:rPr>
          <w:color w:val="000000"/>
          <w:highlight w:val="white"/>
        </w:rPr>
        <w:t>TikTok</w:t>
      </w:r>
      <w:r w:rsidR="00BF059B">
        <w:rPr>
          <w:color w:val="000000"/>
          <w:highlight w:val="white"/>
        </w:rPr>
        <w:t xml:space="preserve"> </w:t>
      </w:r>
      <w:r>
        <w:rPr>
          <w:color w:val="000000"/>
          <w:highlight w:val="white"/>
        </w:rPr>
        <w:t>with</w:t>
      </w:r>
      <w:r w:rsidR="00BF059B">
        <w:rPr>
          <w:color w:val="000000"/>
          <w:highlight w:val="white"/>
        </w:rPr>
        <w:t xml:space="preserve"> </w:t>
      </w:r>
      <w:r>
        <w:rPr>
          <w:color w:val="000000"/>
          <w:highlight w:val="white"/>
        </w:rPr>
        <w:t>323%</w:t>
      </w:r>
      <w:r w:rsidR="00BF059B">
        <w:rPr>
          <w:color w:val="000000"/>
          <w:highlight w:val="white"/>
        </w:rPr>
        <w:t xml:space="preserve"> </w:t>
      </w:r>
      <w:r>
        <w:rPr>
          <w:color w:val="000000"/>
          <w:highlight w:val="white"/>
        </w:rPr>
        <w:t>growth</w:t>
      </w:r>
      <w:r w:rsidR="00BF059B">
        <w:rPr>
          <w:color w:val="000000"/>
          <w:highlight w:val="white"/>
        </w:rPr>
        <w:t xml:space="preserve"> </w:t>
      </w:r>
      <w:r>
        <w:rPr>
          <w:color w:val="000000"/>
          <w:highlight w:val="white"/>
        </w:rPr>
        <w:t>to</w:t>
      </w:r>
      <w:r w:rsidR="00BF059B">
        <w:rPr>
          <w:color w:val="000000"/>
          <w:highlight w:val="white"/>
        </w:rPr>
        <w:t xml:space="preserve"> </w:t>
      </w:r>
      <w:r>
        <w:rPr>
          <w:color w:val="000000"/>
          <w:highlight w:val="white"/>
        </w:rPr>
        <w:t>4,900</w:t>
      </w:r>
      <w:r w:rsidR="00BF059B">
        <w:rPr>
          <w:color w:val="000000"/>
          <w:highlight w:val="white"/>
        </w:rPr>
        <w:t xml:space="preserve"> </w:t>
      </w:r>
      <w:r>
        <w:rPr>
          <w:color w:val="000000"/>
          <w:highlight w:val="white"/>
        </w:rPr>
        <w:t>followers.</w:t>
      </w:r>
      <w:r w:rsidR="00BF059B">
        <w:rPr>
          <w:color w:val="000000"/>
          <w:highlight w:val="white"/>
        </w:rPr>
        <w:t xml:space="preserve"> </w:t>
      </w:r>
      <w:r>
        <w:rPr>
          <w:color w:val="000000"/>
          <w:highlight w:val="white"/>
        </w:rPr>
        <w:t>LinkedIn</w:t>
      </w:r>
      <w:r w:rsidR="00BF059B">
        <w:rPr>
          <w:color w:val="000000"/>
          <w:highlight w:val="white"/>
        </w:rPr>
        <w:t xml:space="preserve"> </w:t>
      </w:r>
      <w:r>
        <w:rPr>
          <w:color w:val="000000"/>
          <w:highlight w:val="white"/>
        </w:rPr>
        <w:t>audiences</w:t>
      </w:r>
      <w:r w:rsidR="00BF059B">
        <w:rPr>
          <w:color w:val="000000"/>
          <w:highlight w:val="white"/>
        </w:rPr>
        <w:t xml:space="preserve"> </w:t>
      </w:r>
      <w:r>
        <w:rPr>
          <w:color w:val="000000"/>
          <w:highlight w:val="white"/>
        </w:rPr>
        <w:t>have</w:t>
      </w:r>
      <w:r w:rsidR="00BF059B">
        <w:rPr>
          <w:color w:val="000000"/>
          <w:highlight w:val="white"/>
        </w:rPr>
        <w:t xml:space="preserve"> </w:t>
      </w:r>
      <w:r>
        <w:rPr>
          <w:color w:val="000000"/>
          <w:highlight w:val="white"/>
        </w:rPr>
        <w:t>grown</w:t>
      </w:r>
      <w:r w:rsidR="00BF059B">
        <w:rPr>
          <w:color w:val="000000"/>
          <w:highlight w:val="white"/>
        </w:rPr>
        <w:t xml:space="preserve"> </w:t>
      </w:r>
      <w:r>
        <w:rPr>
          <w:color w:val="000000"/>
          <w:highlight w:val="white"/>
        </w:rPr>
        <w:t>by</w:t>
      </w:r>
      <w:r w:rsidR="00BF059B">
        <w:rPr>
          <w:color w:val="000000"/>
          <w:highlight w:val="white"/>
        </w:rPr>
        <w:t xml:space="preserve"> </w:t>
      </w:r>
      <w:r>
        <w:rPr>
          <w:color w:val="000000"/>
          <w:highlight w:val="white"/>
        </w:rPr>
        <w:t>16%</w:t>
      </w:r>
      <w:r w:rsidR="00BF059B">
        <w:rPr>
          <w:color w:val="000000"/>
          <w:highlight w:val="white"/>
        </w:rPr>
        <w:t xml:space="preserve"> </w:t>
      </w:r>
      <w:r>
        <w:rPr>
          <w:color w:val="000000"/>
          <w:highlight w:val="white"/>
        </w:rPr>
        <w:t>to</w:t>
      </w:r>
      <w:r w:rsidR="00BF059B">
        <w:rPr>
          <w:color w:val="000000"/>
          <w:highlight w:val="white"/>
        </w:rPr>
        <w:t xml:space="preserve"> </w:t>
      </w:r>
      <w:r>
        <w:rPr>
          <w:color w:val="000000"/>
          <w:highlight w:val="white"/>
        </w:rPr>
        <w:t>14,400,</w:t>
      </w:r>
      <w:r w:rsidR="00BF059B">
        <w:rPr>
          <w:color w:val="000000"/>
          <w:highlight w:val="white"/>
        </w:rPr>
        <w:t xml:space="preserve"> </w:t>
      </w:r>
      <w:r>
        <w:rPr>
          <w:color w:val="000000"/>
          <w:highlight w:val="white"/>
        </w:rPr>
        <w:t>YouTube</w:t>
      </w:r>
      <w:r w:rsidR="00BF059B">
        <w:rPr>
          <w:color w:val="000000"/>
          <w:highlight w:val="white"/>
        </w:rPr>
        <w:t xml:space="preserve"> </w:t>
      </w:r>
      <w:r>
        <w:rPr>
          <w:color w:val="000000"/>
          <w:highlight w:val="white"/>
        </w:rPr>
        <w:t>grew</w:t>
      </w:r>
      <w:r w:rsidR="00BF059B">
        <w:rPr>
          <w:color w:val="000000"/>
          <w:highlight w:val="white"/>
        </w:rPr>
        <w:t xml:space="preserve"> </w:t>
      </w:r>
      <w:r>
        <w:rPr>
          <w:color w:val="000000"/>
          <w:highlight w:val="white"/>
        </w:rPr>
        <w:t>by</w:t>
      </w:r>
      <w:r w:rsidR="00BF059B">
        <w:rPr>
          <w:color w:val="000000"/>
          <w:highlight w:val="white"/>
        </w:rPr>
        <w:t xml:space="preserve"> </w:t>
      </w:r>
      <w:r>
        <w:rPr>
          <w:color w:val="000000"/>
          <w:highlight w:val="white"/>
        </w:rPr>
        <w:t>11%</w:t>
      </w:r>
      <w:r w:rsidR="00BF059B">
        <w:rPr>
          <w:color w:val="000000"/>
          <w:highlight w:val="white"/>
        </w:rPr>
        <w:t xml:space="preserve"> </w:t>
      </w:r>
      <w:r>
        <w:rPr>
          <w:color w:val="000000"/>
          <w:highlight w:val="white"/>
        </w:rPr>
        <w:t>to</w:t>
      </w:r>
      <w:r w:rsidR="00BF059B">
        <w:rPr>
          <w:color w:val="000000"/>
          <w:highlight w:val="white"/>
        </w:rPr>
        <w:t xml:space="preserve"> </w:t>
      </w:r>
      <w:r>
        <w:rPr>
          <w:color w:val="000000"/>
          <w:highlight w:val="white"/>
        </w:rPr>
        <w:t>4,200,</w:t>
      </w:r>
      <w:r w:rsidR="00BF059B">
        <w:rPr>
          <w:color w:val="000000"/>
          <w:highlight w:val="white"/>
        </w:rPr>
        <w:t xml:space="preserve"> </w:t>
      </w:r>
      <w:r>
        <w:rPr>
          <w:color w:val="000000"/>
          <w:highlight w:val="white"/>
        </w:rPr>
        <w:t>and</w:t>
      </w:r>
      <w:r w:rsidR="00BF059B">
        <w:rPr>
          <w:color w:val="000000"/>
          <w:highlight w:val="white"/>
        </w:rPr>
        <w:t xml:space="preserve"> </w:t>
      </w:r>
      <w:r>
        <w:rPr>
          <w:color w:val="000000"/>
          <w:highlight w:val="white"/>
        </w:rPr>
        <w:t>Instagram</w:t>
      </w:r>
      <w:r w:rsidR="00BF059B">
        <w:rPr>
          <w:color w:val="000000"/>
          <w:highlight w:val="white"/>
        </w:rPr>
        <w:t xml:space="preserve"> </w:t>
      </w:r>
      <w:r>
        <w:rPr>
          <w:color w:val="000000"/>
          <w:highlight w:val="white"/>
        </w:rPr>
        <w:t>audiences</w:t>
      </w:r>
      <w:r w:rsidR="00BF059B">
        <w:rPr>
          <w:color w:val="000000"/>
          <w:highlight w:val="white"/>
        </w:rPr>
        <w:t xml:space="preserve"> </w:t>
      </w:r>
      <w:r>
        <w:rPr>
          <w:color w:val="000000"/>
          <w:highlight w:val="white"/>
        </w:rPr>
        <w:t>grew</w:t>
      </w:r>
      <w:r w:rsidR="00BF059B">
        <w:rPr>
          <w:color w:val="000000"/>
          <w:highlight w:val="white"/>
        </w:rPr>
        <w:t xml:space="preserve"> </w:t>
      </w:r>
      <w:r>
        <w:rPr>
          <w:color w:val="000000"/>
          <w:highlight w:val="white"/>
        </w:rPr>
        <w:t>8%</w:t>
      </w:r>
      <w:r w:rsidR="00BF059B">
        <w:rPr>
          <w:color w:val="000000"/>
          <w:highlight w:val="white"/>
        </w:rPr>
        <w:t xml:space="preserve"> </w:t>
      </w:r>
      <w:r>
        <w:rPr>
          <w:color w:val="000000"/>
          <w:highlight w:val="white"/>
        </w:rPr>
        <w:t>to</w:t>
      </w:r>
      <w:r w:rsidR="00BF059B">
        <w:rPr>
          <w:color w:val="000000"/>
          <w:highlight w:val="white"/>
        </w:rPr>
        <w:t xml:space="preserve"> </w:t>
      </w:r>
      <w:r>
        <w:rPr>
          <w:color w:val="000000"/>
          <w:highlight w:val="white"/>
        </w:rPr>
        <w:t>69,000</w:t>
      </w:r>
      <w:r w:rsidR="00BF059B">
        <w:rPr>
          <w:color w:val="000000"/>
          <w:highlight w:val="white"/>
        </w:rPr>
        <w:t xml:space="preserve"> </w:t>
      </w:r>
      <w:r>
        <w:rPr>
          <w:color w:val="000000"/>
          <w:highlight w:val="white"/>
        </w:rPr>
        <w:t>followers.</w:t>
      </w:r>
      <w:r w:rsidR="00BF059B">
        <w:rPr>
          <w:color w:val="000000"/>
          <w:highlight w:val="white"/>
        </w:rPr>
        <w:t xml:space="preserve"> </w:t>
      </w:r>
      <w:r>
        <w:rPr>
          <w:color w:val="000000"/>
          <w:highlight w:val="white"/>
        </w:rPr>
        <w:t>Our</w:t>
      </w:r>
      <w:r w:rsidR="00BF059B">
        <w:rPr>
          <w:color w:val="000000"/>
          <w:highlight w:val="white"/>
        </w:rPr>
        <w:t xml:space="preserve"> </w:t>
      </w:r>
      <w:r>
        <w:rPr>
          <w:color w:val="000000"/>
          <w:highlight w:val="white"/>
        </w:rPr>
        <w:t>Facebook</w:t>
      </w:r>
      <w:r w:rsidR="00BF059B">
        <w:rPr>
          <w:color w:val="000000"/>
          <w:highlight w:val="white"/>
        </w:rPr>
        <w:t xml:space="preserve"> </w:t>
      </w:r>
      <w:r>
        <w:rPr>
          <w:color w:val="000000"/>
          <w:highlight w:val="white"/>
        </w:rPr>
        <w:t>followers</w:t>
      </w:r>
      <w:r w:rsidR="00BF059B">
        <w:rPr>
          <w:color w:val="000000"/>
          <w:highlight w:val="white"/>
        </w:rPr>
        <w:t xml:space="preserve"> </w:t>
      </w:r>
      <w:r>
        <w:rPr>
          <w:color w:val="000000"/>
          <w:highlight w:val="white"/>
        </w:rPr>
        <w:t>had</w:t>
      </w:r>
      <w:r w:rsidR="00BF059B">
        <w:rPr>
          <w:color w:val="000000"/>
          <w:highlight w:val="white"/>
        </w:rPr>
        <w:t xml:space="preserve"> </w:t>
      </w:r>
      <w:r>
        <w:rPr>
          <w:color w:val="000000"/>
          <w:highlight w:val="white"/>
        </w:rPr>
        <w:t>a</w:t>
      </w:r>
      <w:r w:rsidR="00BF059B">
        <w:rPr>
          <w:color w:val="000000"/>
          <w:highlight w:val="white"/>
        </w:rPr>
        <w:t xml:space="preserve"> </w:t>
      </w:r>
      <w:r>
        <w:rPr>
          <w:color w:val="000000"/>
          <w:highlight w:val="white"/>
        </w:rPr>
        <w:t>small</w:t>
      </w:r>
      <w:r w:rsidR="00BF059B">
        <w:rPr>
          <w:color w:val="000000"/>
          <w:highlight w:val="white"/>
        </w:rPr>
        <w:t xml:space="preserve"> </w:t>
      </w:r>
      <w:r>
        <w:rPr>
          <w:color w:val="000000"/>
          <w:highlight w:val="white"/>
        </w:rPr>
        <w:t>increase</w:t>
      </w:r>
      <w:r w:rsidR="00BF059B">
        <w:rPr>
          <w:color w:val="000000"/>
          <w:highlight w:val="white"/>
        </w:rPr>
        <w:t xml:space="preserve"> </w:t>
      </w:r>
      <w:r>
        <w:rPr>
          <w:color w:val="000000"/>
          <w:highlight w:val="white"/>
        </w:rPr>
        <w:t>to</w:t>
      </w:r>
      <w:r w:rsidR="00BF059B">
        <w:rPr>
          <w:color w:val="000000"/>
          <w:highlight w:val="white"/>
        </w:rPr>
        <w:t xml:space="preserve"> </w:t>
      </w:r>
      <w:r>
        <w:rPr>
          <w:color w:val="000000"/>
          <w:highlight w:val="white"/>
        </w:rPr>
        <w:t>34,400</w:t>
      </w:r>
      <w:r w:rsidR="00BF059B">
        <w:rPr>
          <w:color w:val="000000"/>
          <w:highlight w:val="white"/>
        </w:rPr>
        <w:t xml:space="preserve"> </w:t>
      </w:r>
      <w:r>
        <w:rPr>
          <w:color w:val="000000"/>
          <w:highlight w:val="white"/>
        </w:rPr>
        <w:t>(0.5%</w:t>
      </w:r>
      <w:r w:rsidR="00BF059B">
        <w:rPr>
          <w:color w:val="000000"/>
          <w:highlight w:val="white"/>
        </w:rPr>
        <w:t xml:space="preserve"> </w:t>
      </w:r>
      <w:r>
        <w:rPr>
          <w:color w:val="000000"/>
          <w:highlight w:val="white"/>
        </w:rPr>
        <w:t>growth).</w:t>
      </w:r>
      <w:r w:rsidR="00BF059B">
        <w:rPr>
          <w:color w:val="000000"/>
          <w:highlight w:val="white"/>
        </w:rPr>
        <w:t xml:space="preserve"> </w:t>
      </w:r>
    </w:p>
    <w:p w14:paraId="11259CA6" w14:textId="3BCAE426" w:rsidR="00BE13A8" w:rsidRDefault="00BF059B">
      <w:pPr>
        <w:pBdr>
          <w:top w:val="nil"/>
          <w:left w:val="nil"/>
          <w:bottom w:val="nil"/>
          <w:right w:val="nil"/>
          <w:between w:val="nil"/>
        </w:pBdr>
        <w:shd w:val="clear" w:color="auto" w:fill="FFFFFF"/>
        <w:jc w:val="both"/>
        <w:rPr>
          <w:rFonts w:ascii="Times New Roman" w:eastAsia="Times New Roman" w:hAnsi="Times New Roman" w:cs="Times New Roman"/>
          <w:b/>
          <w:color w:val="FF0000"/>
        </w:rPr>
      </w:pPr>
      <w:r>
        <w:rPr>
          <w:rFonts w:ascii="Times New Roman" w:eastAsia="Times New Roman" w:hAnsi="Times New Roman" w:cs="Times New Roman"/>
          <w:color w:val="000000"/>
        </w:rPr>
        <w:t xml:space="preserve"> </w:t>
      </w:r>
    </w:p>
    <w:p w14:paraId="6AF7586E" w14:textId="32FEE0FC" w:rsidR="00BE13A8" w:rsidRDefault="00D70530" w:rsidP="00BF059B">
      <w:pPr>
        <w:pStyle w:val="Heading4"/>
      </w:pPr>
      <w:r>
        <w:t>1.2</w:t>
      </w:r>
      <w:r w:rsidR="00BF059B">
        <w:t xml:space="preserve"> </w:t>
      </w:r>
      <w:r>
        <w:t>Visitor</w:t>
      </w:r>
      <w:r w:rsidR="00BF059B">
        <w:t xml:space="preserve"> </w:t>
      </w:r>
      <w:r>
        <w:t>experience</w:t>
      </w:r>
      <w:r w:rsidR="00BF059B">
        <w:t xml:space="preserve"> </w:t>
      </w:r>
      <w:r>
        <w:t>and</w:t>
      </w:r>
      <w:r w:rsidR="00BF059B">
        <w:t xml:space="preserve"> </w:t>
      </w:r>
      <w:r>
        <w:t>evaluation</w:t>
      </w:r>
    </w:p>
    <w:p w14:paraId="2E0862C8" w14:textId="313AE2CD" w:rsidR="00BE13A8" w:rsidRDefault="00D70530">
      <w:pPr>
        <w:jc w:val="both"/>
      </w:pPr>
      <w:r>
        <w:t>The</w:t>
      </w:r>
      <w:r w:rsidR="00BF059B">
        <w:t xml:space="preserve"> </w:t>
      </w:r>
      <w:r>
        <w:t>visitor</w:t>
      </w:r>
      <w:r w:rsidR="00BF059B">
        <w:t xml:space="preserve"> </w:t>
      </w:r>
      <w:r>
        <w:t>survey</w:t>
      </w:r>
      <w:r w:rsidR="00BF059B">
        <w:t xml:space="preserve"> </w:t>
      </w:r>
      <w:r>
        <w:t>was</w:t>
      </w:r>
      <w:r w:rsidR="00BF059B">
        <w:t xml:space="preserve"> </w:t>
      </w:r>
      <w:r>
        <w:t>conducted</w:t>
      </w:r>
      <w:r w:rsidR="00BF059B">
        <w:t xml:space="preserve"> </w:t>
      </w:r>
      <w:r>
        <w:t>by</w:t>
      </w:r>
      <w:r w:rsidR="00BF059B">
        <w:t xml:space="preserve"> </w:t>
      </w:r>
      <w:r>
        <w:t>interviewers</w:t>
      </w:r>
      <w:r w:rsidR="00BF059B">
        <w:t xml:space="preserve"> </w:t>
      </w:r>
      <w:r>
        <w:t>face-to-face</w:t>
      </w:r>
      <w:r w:rsidR="00BF059B">
        <w:t xml:space="preserve"> </w:t>
      </w:r>
      <w:r>
        <w:t>throughout</w:t>
      </w:r>
      <w:r w:rsidR="00BF059B">
        <w:t xml:space="preserve"> </w:t>
      </w:r>
      <w:r>
        <w:t>2024/25.</w:t>
      </w:r>
      <w:r w:rsidR="00BF059B">
        <w:t xml:space="preserve"> </w:t>
      </w:r>
      <w:r>
        <w:t>Results</w:t>
      </w:r>
      <w:r w:rsidR="00BF059B">
        <w:t xml:space="preserve"> </w:t>
      </w:r>
      <w:r>
        <w:t>were</w:t>
      </w:r>
      <w:r w:rsidR="00BF059B">
        <w:t xml:space="preserve"> </w:t>
      </w:r>
      <w:r>
        <w:t>available</w:t>
      </w:r>
      <w:r w:rsidR="00BF059B">
        <w:t xml:space="preserve"> </w:t>
      </w:r>
      <w:r>
        <w:t>monthly</w:t>
      </w:r>
      <w:r w:rsidR="00BF059B">
        <w:t xml:space="preserve"> </w:t>
      </w:r>
      <w:r>
        <w:t>via</w:t>
      </w:r>
      <w:r w:rsidR="00BF059B">
        <w:t xml:space="preserve"> </w:t>
      </w:r>
      <w:r>
        <w:t>an</w:t>
      </w:r>
      <w:r w:rsidR="00BF059B">
        <w:t xml:space="preserve"> </w:t>
      </w:r>
      <w:r>
        <w:t>online</w:t>
      </w:r>
      <w:r w:rsidR="00BF059B">
        <w:t xml:space="preserve"> </w:t>
      </w:r>
      <w:r>
        <w:t>portal</w:t>
      </w:r>
      <w:r w:rsidR="00BF059B">
        <w:t xml:space="preserve"> </w:t>
      </w:r>
      <w:r>
        <w:t>setup</w:t>
      </w:r>
      <w:r w:rsidR="00BF059B">
        <w:t xml:space="preserve"> </w:t>
      </w:r>
      <w:r>
        <w:t>by</w:t>
      </w:r>
      <w:r w:rsidR="00BF059B">
        <w:t xml:space="preserve"> </w:t>
      </w:r>
      <w:r>
        <w:t>our</w:t>
      </w:r>
      <w:r w:rsidR="00BF059B">
        <w:t xml:space="preserve"> </w:t>
      </w:r>
      <w:r>
        <w:t>research</w:t>
      </w:r>
      <w:r w:rsidR="00BF059B">
        <w:t xml:space="preserve"> </w:t>
      </w:r>
      <w:r>
        <w:t>provider,</w:t>
      </w:r>
      <w:r w:rsidR="00BF059B">
        <w:t xml:space="preserve"> </w:t>
      </w:r>
      <w:r>
        <w:t>DJS</w:t>
      </w:r>
      <w:r w:rsidR="00BF059B">
        <w:t xml:space="preserve"> </w:t>
      </w:r>
      <w:r>
        <w:t>Research,</w:t>
      </w:r>
      <w:r w:rsidR="00BF059B">
        <w:t xml:space="preserve"> </w:t>
      </w:r>
      <w:r>
        <w:t>with</w:t>
      </w:r>
      <w:r w:rsidR="00BF059B">
        <w:t xml:space="preserve"> </w:t>
      </w:r>
      <w:r>
        <w:t>results</w:t>
      </w:r>
      <w:r w:rsidR="00BF059B">
        <w:t xml:space="preserve"> </w:t>
      </w:r>
      <w:r>
        <w:t>benchmarked</w:t>
      </w:r>
      <w:r w:rsidR="00BF059B">
        <w:t xml:space="preserve"> </w:t>
      </w:r>
      <w:r>
        <w:t>against</w:t>
      </w:r>
      <w:r w:rsidR="00BF059B">
        <w:t xml:space="preserve"> </w:t>
      </w:r>
      <w:r>
        <w:t>the</w:t>
      </w:r>
      <w:r w:rsidR="00BF059B">
        <w:t xml:space="preserve"> </w:t>
      </w:r>
      <w:r>
        <w:t>other</w:t>
      </w:r>
      <w:r w:rsidR="00BF059B">
        <w:t xml:space="preserve"> </w:t>
      </w:r>
      <w:r>
        <w:t>organisations</w:t>
      </w:r>
      <w:r w:rsidR="00BF059B">
        <w:t xml:space="preserve"> </w:t>
      </w:r>
      <w:r>
        <w:t>in</w:t>
      </w:r>
      <w:r w:rsidR="00BF059B">
        <w:t xml:space="preserve"> </w:t>
      </w:r>
      <w:r>
        <w:t>our</w:t>
      </w:r>
      <w:r w:rsidR="00BF059B">
        <w:t xml:space="preserve"> </w:t>
      </w:r>
      <w:r>
        <w:t>consortium.</w:t>
      </w:r>
      <w:r w:rsidR="00BF059B">
        <w:t xml:space="preserve"> </w:t>
      </w:r>
      <w:r>
        <w:t>Following</w:t>
      </w:r>
      <w:r w:rsidR="00BF059B">
        <w:t xml:space="preserve"> </w:t>
      </w:r>
      <w:r>
        <w:t>a</w:t>
      </w:r>
      <w:r w:rsidR="00BF059B">
        <w:t xml:space="preserve"> </w:t>
      </w:r>
      <w:r>
        <w:t>full</w:t>
      </w:r>
      <w:r w:rsidR="00BF059B">
        <w:t xml:space="preserve"> </w:t>
      </w:r>
      <w:r>
        <w:t>procurement</w:t>
      </w:r>
      <w:r w:rsidR="00BF059B">
        <w:t xml:space="preserve"> </w:t>
      </w:r>
      <w:r>
        <w:t>process</w:t>
      </w:r>
      <w:r w:rsidR="00BF059B">
        <w:t xml:space="preserve"> </w:t>
      </w:r>
      <w:r>
        <w:t>for</w:t>
      </w:r>
      <w:r w:rsidR="00BF059B">
        <w:t xml:space="preserve"> </w:t>
      </w:r>
      <w:r>
        <w:t>our</w:t>
      </w:r>
      <w:r w:rsidR="00BF059B">
        <w:t xml:space="preserve"> </w:t>
      </w:r>
      <w:r>
        <w:t>visitor</w:t>
      </w:r>
      <w:r w:rsidR="00BF059B">
        <w:t xml:space="preserve"> </w:t>
      </w:r>
      <w:r>
        <w:t>research,</w:t>
      </w:r>
      <w:r w:rsidR="00BF059B">
        <w:t xml:space="preserve"> </w:t>
      </w:r>
      <w:r>
        <w:t>DJS</w:t>
      </w:r>
      <w:r w:rsidR="00BF059B">
        <w:t xml:space="preserve"> </w:t>
      </w:r>
      <w:r>
        <w:t>were</w:t>
      </w:r>
      <w:r w:rsidR="00BF059B">
        <w:t xml:space="preserve"> </w:t>
      </w:r>
      <w:r>
        <w:t>reappointed</w:t>
      </w:r>
      <w:r w:rsidR="00BF059B">
        <w:t xml:space="preserve"> </w:t>
      </w:r>
      <w:r>
        <w:t>from</w:t>
      </w:r>
      <w:r w:rsidR="00BF059B">
        <w:t xml:space="preserve"> </w:t>
      </w:r>
      <w:r>
        <w:t>April</w:t>
      </w:r>
      <w:r w:rsidR="00BF059B">
        <w:t xml:space="preserve"> </w:t>
      </w:r>
      <w:r>
        <w:t>2024</w:t>
      </w:r>
      <w:r w:rsidR="00BF059B">
        <w:t xml:space="preserve"> </w:t>
      </w:r>
      <w:r>
        <w:t>onwards.</w:t>
      </w:r>
      <w:r w:rsidR="00BF059B">
        <w:t xml:space="preserve"> </w:t>
      </w:r>
    </w:p>
    <w:p w14:paraId="12C25F03" w14:textId="2D6F649A" w:rsidR="00BE13A8" w:rsidRDefault="00BF059B">
      <w:pPr>
        <w:jc w:val="both"/>
      </w:pPr>
      <w:r>
        <w:t xml:space="preserve"> </w:t>
      </w:r>
    </w:p>
    <w:p w14:paraId="45C3AD16" w14:textId="3BA8484F" w:rsidR="00BE13A8" w:rsidRDefault="00D70530">
      <w:pPr>
        <w:jc w:val="both"/>
      </w:pPr>
      <w:r>
        <w:t>The</w:t>
      </w:r>
      <w:r w:rsidR="00BF059B">
        <w:t xml:space="preserve"> </w:t>
      </w:r>
      <w:r>
        <w:t>visitor</w:t>
      </w:r>
      <w:r w:rsidR="00BF059B">
        <w:t xml:space="preserve"> </w:t>
      </w:r>
      <w:r>
        <w:t>research</w:t>
      </w:r>
      <w:r w:rsidR="00BF059B">
        <w:t xml:space="preserve"> </w:t>
      </w:r>
      <w:r>
        <w:t>gave</w:t>
      </w:r>
      <w:r w:rsidR="00BF059B">
        <w:t xml:space="preserve"> </w:t>
      </w:r>
      <w:r>
        <w:t>a</w:t>
      </w:r>
      <w:r w:rsidR="00BF059B">
        <w:t xml:space="preserve"> </w:t>
      </w:r>
      <w:r>
        <w:t>visit</w:t>
      </w:r>
      <w:r w:rsidR="00BF059B">
        <w:t xml:space="preserve"> </w:t>
      </w:r>
      <w:r>
        <w:t>experience</w:t>
      </w:r>
      <w:r w:rsidR="00BF059B">
        <w:t xml:space="preserve"> </w:t>
      </w:r>
      <w:r>
        <w:t>of</w:t>
      </w:r>
      <w:r w:rsidR="00BF059B">
        <w:t xml:space="preserve"> </w:t>
      </w:r>
      <w:r>
        <w:t>98%</w:t>
      </w:r>
      <w:r w:rsidR="00BF059B">
        <w:t xml:space="preserve"> </w:t>
      </w:r>
      <w:r>
        <w:t>positive,</w:t>
      </w:r>
      <w:r w:rsidR="00BF059B">
        <w:t xml:space="preserve"> </w:t>
      </w:r>
      <w:r>
        <w:t>and</w:t>
      </w:r>
      <w:r w:rsidR="00BF059B">
        <w:t xml:space="preserve"> </w:t>
      </w:r>
      <w:r>
        <w:t>a</w:t>
      </w:r>
      <w:r w:rsidR="00BF059B">
        <w:t xml:space="preserve"> </w:t>
      </w:r>
      <w:r>
        <w:t>likelihood</w:t>
      </w:r>
      <w:r w:rsidR="00BF059B">
        <w:t xml:space="preserve"> </w:t>
      </w:r>
      <w:r>
        <w:t>to</w:t>
      </w:r>
      <w:r w:rsidR="00BF059B">
        <w:t xml:space="preserve"> </w:t>
      </w:r>
      <w:r>
        <w:t>recommend</w:t>
      </w:r>
      <w:r w:rsidR="00BF059B">
        <w:t xml:space="preserve"> </w:t>
      </w:r>
      <w:r>
        <w:t>of</w:t>
      </w:r>
      <w:r w:rsidR="00BF059B">
        <w:t xml:space="preserve"> </w:t>
      </w:r>
      <w:r>
        <w:t>93%.</w:t>
      </w:r>
      <w:r w:rsidR="00BF059B">
        <w:t xml:space="preserve"> </w:t>
      </w:r>
      <w:r>
        <w:t>Our</w:t>
      </w:r>
      <w:r w:rsidR="00BF059B">
        <w:t xml:space="preserve"> </w:t>
      </w:r>
      <w:r>
        <w:t>rating</w:t>
      </w:r>
      <w:r w:rsidR="00BF059B">
        <w:t xml:space="preserve"> </w:t>
      </w:r>
      <w:r>
        <w:t>at</w:t>
      </w:r>
      <w:r w:rsidR="00BF059B">
        <w:t xml:space="preserve"> </w:t>
      </w:r>
      <w:r>
        <w:t>the</w:t>
      </w:r>
      <w:r w:rsidR="00BF059B">
        <w:t xml:space="preserve"> </w:t>
      </w:r>
      <w:r>
        <w:t>annual</w:t>
      </w:r>
      <w:r w:rsidR="00BF059B">
        <w:t xml:space="preserve"> </w:t>
      </w:r>
      <w:r>
        <w:t>Visit</w:t>
      </w:r>
      <w:r w:rsidR="00BF059B">
        <w:t xml:space="preserve"> </w:t>
      </w:r>
      <w:r>
        <w:t>England</w:t>
      </w:r>
      <w:r w:rsidR="00BF059B">
        <w:t xml:space="preserve"> </w:t>
      </w:r>
      <w:r>
        <w:t>assessment</w:t>
      </w:r>
      <w:r w:rsidR="00BF059B">
        <w:t xml:space="preserve"> </w:t>
      </w:r>
      <w:r>
        <w:t>achieved</w:t>
      </w:r>
      <w:r w:rsidR="00BF059B">
        <w:t xml:space="preserve"> </w:t>
      </w:r>
      <w:r>
        <w:t>an</w:t>
      </w:r>
      <w:r w:rsidR="00BF059B">
        <w:t xml:space="preserve"> </w:t>
      </w:r>
      <w:r>
        <w:t>excellent</w:t>
      </w:r>
      <w:r w:rsidR="00BF059B">
        <w:t xml:space="preserve"> </w:t>
      </w:r>
      <w:r>
        <w:t>quality</w:t>
      </w:r>
      <w:r w:rsidR="00BF059B">
        <w:t xml:space="preserve"> </w:t>
      </w:r>
      <w:r>
        <w:t>score</w:t>
      </w:r>
      <w:r w:rsidR="00BF059B">
        <w:t xml:space="preserve"> </w:t>
      </w:r>
      <w:r>
        <w:t>of</w:t>
      </w:r>
      <w:r w:rsidR="00BF059B">
        <w:t xml:space="preserve"> </w:t>
      </w:r>
      <w:r>
        <w:t>88%.</w:t>
      </w:r>
      <w:r w:rsidR="00BF059B">
        <w:t xml:space="preserve"> </w:t>
      </w:r>
    </w:p>
    <w:p w14:paraId="7ED40B44" w14:textId="6ABB49B5" w:rsidR="00BE13A8" w:rsidRDefault="00BF059B">
      <w:pPr>
        <w:jc w:val="both"/>
      </w:pPr>
      <w:r>
        <w:t xml:space="preserve"> </w:t>
      </w:r>
    </w:p>
    <w:p w14:paraId="27C12D96" w14:textId="4643AA18" w:rsidR="00BE13A8" w:rsidRDefault="00D70530">
      <w:pPr>
        <w:jc w:val="both"/>
      </w:pPr>
      <w:r>
        <w:t>Evaluations</w:t>
      </w:r>
      <w:r w:rsidR="00BF059B">
        <w:t xml:space="preserve"> </w:t>
      </w:r>
      <w:r>
        <w:t>for</w:t>
      </w:r>
      <w:r w:rsidR="00BF059B">
        <w:t xml:space="preserve"> </w:t>
      </w:r>
      <w:r>
        <w:t>all</w:t>
      </w:r>
      <w:r w:rsidR="00BF059B">
        <w:t xml:space="preserve"> </w:t>
      </w:r>
      <w:r>
        <w:t>our</w:t>
      </w:r>
      <w:r w:rsidR="00BF059B">
        <w:t xml:space="preserve"> </w:t>
      </w:r>
      <w:r>
        <w:t>major</w:t>
      </w:r>
      <w:r w:rsidR="00BF059B">
        <w:t xml:space="preserve"> </w:t>
      </w:r>
      <w:r>
        <w:t>outdoor</w:t>
      </w:r>
      <w:r w:rsidR="00BF059B">
        <w:t xml:space="preserve"> </w:t>
      </w:r>
      <w:r>
        <w:t>events</w:t>
      </w:r>
      <w:r w:rsidR="00BF059B">
        <w:t xml:space="preserve"> </w:t>
      </w:r>
      <w:r>
        <w:t>and</w:t>
      </w:r>
      <w:r w:rsidR="00BF059B">
        <w:t xml:space="preserve"> </w:t>
      </w:r>
      <w:r>
        <w:t>regular</w:t>
      </w:r>
      <w:r w:rsidR="00BF059B">
        <w:t xml:space="preserve"> </w:t>
      </w:r>
      <w:r>
        <w:t>programming</w:t>
      </w:r>
      <w:r w:rsidR="00BF059B">
        <w:t xml:space="preserve"> </w:t>
      </w:r>
      <w:r>
        <w:t>activity</w:t>
      </w:r>
      <w:r w:rsidR="00BF059B">
        <w:t xml:space="preserve"> </w:t>
      </w:r>
      <w:r>
        <w:t>are</w:t>
      </w:r>
      <w:r w:rsidR="00BF059B">
        <w:t xml:space="preserve"> </w:t>
      </w:r>
      <w:r>
        <w:t>managed</w:t>
      </w:r>
      <w:r w:rsidR="00BF059B">
        <w:t xml:space="preserve"> </w:t>
      </w:r>
      <w:r>
        <w:t>in-house.</w:t>
      </w:r>
      <w:r w:rsidR="00BF059B">
        <w:t xml:space="preserve"> </w:t>
      </w:r>
      <w:r>
        <w:t>This</w:t>
      </w:r>
      <w:r w:rsidR="00BF059B">
        <w:t xml:space="preserve"> </w:t>
      </w:r>
      <w:r>
        <w:t>has</w:t>
      </w:r>
      <w:r w:rsidR="00BF059B">
        <w:t xml:space="preserve"> </w:t>
      </w:r>
      <w:r>
        <w:t>resulted</w:t>
      </w:r>
      <w:r w:rsidR="00BF059B">
        <w:t xml:space="preserve"> </w:t>
      </w:r>
      <w:r>
        <w:t>in</w:t>
      </w:r>
      <w:r w:rsidR="00BF059B">
        <w:t xml:space="preserve"> </w:t>
      </w:r>
      <w:r>
        <w:t>more</w:t>
      </w:r>
      <w:r w:rsidR="00BF059B">
        <w:t xml:space="preserve"> </w:t>
      </w:r>
      <w:r>
        <w:t>comparable,</w:t>
      </w:r>
      <w:r w:rsidR="00BF059B">
        <w:t xml:space="preserve"> </w:t>
      </w:r>
      <w:r>
        <w:t>timely</w:t>
      </w:r>
      <w:r w:rsidR="00BF059B">
        <w:t xml:space="preserve"> </w:t>
      </w:r>
      <w:r>
        <w:t>and</w:t>
      </w:r>
      <w:r w:rsidR="00BF059B">
        <w:t xml:space="preserve"> </w:t>
      </w:r>
      <w:r>
        <w:t>actionable</w:t>
      </w:r>
      <w:r w:rsidR="00BF059B">
        <w:t xml:space="preserve"> </w:t>
      </w:r>
      <w:r>
        <w:t>data.</w:t>
      </w:r>
      <w:r w:rsidR="00BF059B">
        <w:t xml:space="preserve">  </w:t>
      </w:r>
    </w:p>
    <w:p w14:paraId="38FE8CF7" w14:textId="57289DEE" w:rsidR="00BE13A8" w:rsidRDefault="00BF059B">
      <w:pPr>
        <w:jc w:val="both"/>
      </w:pPr>
      <w:r>
        <w:t xml:space="preserve"> </w:t>
      </w:r>
    </w:p>
    <w:p w14:paraId="18729F6C" w14:textId="2CE60BB8" w:rsidR="00BE13A8" w:rsidRDefault="00D70530">
      <w:pPr>
        <w:jc w:val="both"/>
      </w:pPr>
      <w:r>
        <w:t>The</w:t>
      </w:r>
      <w:r w:rsidR="00BF059B">
        <w:t xml:space="preserve"> </w:t>
      </w:r>
      <w:r>
        <w:t>Audience</w:t>
      </w:r>
      <w:r w:rsidR="00BF059B">
        <w:t xml:space="preserve"> </w:t>
      </w:r>
      <w:r>
        <w:t>Champions</w:t>
      </w:r>
      <w:r w:rsidR="00BF059B">
        <w:t xml:space="preserve"> </w:t>
      </w:r>
      <w:r>
        <w:t>Group</w:t>
      </w:r>
      <w:r w:rsidR="00BF059B">
        <w:t xml:space="preserve"> </w:t>
      </w:r>
      <w:r>
        <w:t>have</w:t>
      </w:r>
      <w:r w:rsidR="00BF059B">
        <w:t xml:space="preserve"> </w:t>
      </w:r>
      <w:r>
        <w:t>continued</w:t>
      </w:r>
      <w:r w:rsidR="00BF059B">
        <w:t xml:space="preserve"> </w:t>
      </w:r>
      <w:r>
        <w:t>to</w:t>
      </w:r>
      <w:r w:rsidR="00BF059B">
        <w:t xml:space="preserve"> </w:t>
      </w:r>
      <w:r>
        <w:t>meet</w:t>
      </w:r>
      <w:r w:rsidR="00BF059B">
        <w:t xml:space="preserve"> </w:t>
      </w:r>
      <w:r>
        <w:t>every</w:t>
      </w:r>
      <w:r w:rsidR="00BF059B">
        <w:t xml:space="preserve"> </w:t>
      </w:r>
      <w:r>
        <w:t>two</w:t>
      </w:r>
      <w:r w:rsidR="00BF059B">
        <w:t xml:space="preserve"> </w:t>
      </w:r>
      <w:r>
        <w:t>months</w:t>
      </w:r>
      <w:r w:rsidR="00BF059B">
        <w:t xml:space="preserve"> </w:t>
      </w:r>
      <w:r>
        <w:t>to</w:t>
      </w:r>
      <w:r w:rsidR="00BF059B">
        <w:t xml:space="preserve"> </w:t>
      </w:r>
      <w:r>
        <w:t>discuss</w:t>
      </w:r>
      <w:r w:rsidR="00BF059B">
        <w:t xml:space="preserve"> </w:t>
      </w:r>
      <w:r>
        <w:t>the</w:t>
      </w:r>
      <w:r w:rsidR="00BF059B">
        <w:t xml:space="preserve"> </w:t>
      </w:r>
      <w:r>
        <w:t>implementation</w:t>
      </w:r>
      <w:r w:rsidR="00BF059B">
        <w:t xml:space="preserve"> </w:t>
      </w:r>
      <w:r>
        <w:t>of</w:t>
      </w:r>
      <w:r w:rsidR="00BF059B">
        <w:t xml:space="preserve"> </w:t>
      </w:r>
      <w:r>
        <w:t>the</w:t>
      </w:r>
      <w:r w:rsidR="00BF059B">
        <w:t xml:space="preserve"> </w:t>
      </w:r>
      <w:r>
        <w:t>Audience</w:t>
      </w:r>
      <w:r w:rsidR="00BF059B">
        <w:t xml:space="preserve"> </w:t>
      </w:r>
      <w:r>
        <w:t>Development</w:t>
      </w:r>
      <w:r w:rsidR="00BF059B">
        <w:t xml:space="preserve"> </w:t>
      </w:r>
      <w:r>
        <w:t>Plan.</w:t>
      </w:r>
      <w:r w:rsidR="00BF059B">
        <w:t xml:space="preserve"> </w:t>
      </w:r>
      <w:r>
        <w:t>Audience</w:t>
      </w:r>
      <w:r w:rsidR="00BF059B">
        <w:t xml:space="preserve"> </w:t>
      </w:r>
      <w:r>
        <w:t>diversity</w:t>
      </w:r>
      <w:r w:rsidR="00BF059B">
        <w:t xml:space="preserve"> </w:t>
      </w:r>
      <w:r>
        <w:t>was</w:t>
      </w:r>
      <w:r w:rsidR="00BF059B">
        <w:t xml:space="preserve"> </w:t>
      </w:r>
      <w:r>
        <w:t>the</w:t>
      </w:r>
      <w:r w:rsidR="00BF059B">
        <w:t xml:space="preserve"> </w:t>
      </w:r>
      <w:r>
        <w:t>subject</w:t>
      </w:r>
      <w:r w:rsidR="00BF059B">
        <w:t xml:space="preserve"> </w:t>
      </w:r>
      <w:r>
        <w:t>of</w:t>
      </w:r>
      <w:r w:rsidR="00BF059B">
        <w:t xml:space="preserve"> </w:t>
      </w:r>
      <w:r>
        <w:t>an</w:t>
      </w:r>
      <w:r w:rsidR="00BF059B">
        <w:t xml:space="preserve"> </w:t>
      </w:r>
      <w:r>
        <w:t>internal</w:t>
      </w:r>
      <w:r w:rsidR="00BF059B">
        <w:t xml:space="preserve"> </w:t>
      </w:r>
      <w:r>
        <w:t>audit</w:t>
      </w:r>
      <w:r w:rsidR="00BF059B">
        <w:t xml:space="preserve"> </w:t>
      </w:r>
      <w:r>
        <w:t>in</w:t>
      </w:r>
      <w:r w:rsidR="00BF059B">
        <w:t xml:space="preserve"> </w:t>
      </w:r>
      <w:r>
        <w:t>January</w:t>
      </w:r>
      <w:r w:rsidR="00BF059B">
        <w:t xml:space="preserve"> </w:t>
      </w:r>
      <w:proofErr w:type="gramStart"/>
      <w:r>
        <w:t>2025</w:t>
      </w:r>
      <w:proofErr w:type="gramEnd"/>
      <w:r w:rsidR="00BF059B">
        <w:t xml:space="preserve"> </w:t>
      </w:r>
      <w:r>
        <w:t>and</w:t>
      </w:r>
      <w:r w:rsidR="00BF059B">
        <w:t xml:space="preserve"> </w:t>
      </w:r>
      <w:r>
        <w:t>recommendations</w:t>
      </w:r>
      <w:r w:rsidR="00BF059B">
        <w:t xml:space="preserve"> </w:t>
      </w:r>
      <w:r>
        <w:t>are</w:t>
      </w:r>
      <w:r w:rsidR="00BF059B">
        <w:t xml:space="preserve"> </w:t>
      </w:r>
      <w:r>
        <w:t>being</w:t>
      </w:r>
      <w:r w:rsidR="00BF059B">
        <w:t xml:space="preserve"> </w:t>
      </w:r>
      <w:r>
        <w:t>actioned</w:t>
      </w:r>
      <w:r w:rsidR="00BF059B">
        <w:t xml:space="preserve"> </w:t>
      </w:r>
      <w:r>
        <w:t>by</w:t>
      </w:r>
      <w:r w:rsidR="00BF059B">
        <w:t xml:space="preserve"> </w:t>
      </w:r>
      <w:r>
        <w:t>the</w:t>
      </w:r>
      <w:r w:rsidR="00BF059B">
        <w:t xml:space="preserve"> </w:t>
      </w:r>
      <w:r>
        <w:t>Group.</w:t>
      </w:r>
      <w:r w:rsidR="00BF059B">
        <w:t xml:space="preserve">  </w:t>
      </w:r>
    </w:p>
    <w:p w14:paraId="005AB4DA" w14:textId="77777777" w:rsidR="00BE13A8" w:rsidRDefault="00BE13A8">
      <w:pPr>
        <w:jc w:val="both"/>
        <w:rPr>
          <w:color w:val="FF0000"/>
        </w:rPr>
      </w:pPr>
    </w:p>
    <w:p w14:paraId="32D8AEAB" w14:textId="1D096BAF" w:rsidR="00BE13A8" w:rsidRDefault="00BF059B" w:rsidP="00BF059B">
      <w:pPr>
        <w:pStyle w:val="Heading4"/>
      </w:pPr>
      <w:r>
        <w:t xml:space="preserve">1.3 </w:t>
      </w:r>
      <w:r w:rsidR="00D70530">
        <w:t>Public</w:t>
      </w:r>
      <w:r>
        <w:t xml:space="preserve"> </w:t>
      </w:r>
      <w:r w:rsidR="00D70530">
        <w:t>programme</w:t>
      </w:r>
    </w:p>
    <w:p w14:paraId="3DB194B0" w14:textId="77777777" w:rsidR="00BE13A8" w:rsidRDefault="00BE13A8">
      <w:pPr>
        <w:pBdr>
          <w:top w:val="nil"/>
          <w:left w:val="nil"/>
          <w:bottom w:val="nil"/>
          <w:right w:val="nil"/>
          <w:between w:val="nil"/>
        </w:pBdr>
        <w:ind w:left="360"/>
        <w:jc w:val="both"/>
        <w:rPr>
          <w:b/>
          <w:color w:val="000000"/>
        </w:rPr>
      </w:pPr>
    </w:p>
    <w:p w14:paraId="60A1FF80" w14:textId="3DD68580" w:rsidR="00BE13A8" w:rsidRPr="00BF059B" w:rsidRDefault="00D70530" w:rsidP="008D4835">
      <w:pPr>
        <w:pStyle w:val="Heading5"/>
      </w:pPr>
      <w:r w:rsidRPr="00BF059B">
        <w:t>1.3.1</w:t>
      </w:r>
      <w:r w:rsidR="00BF059B" w:rsidRPr="00BF059B">
        <w:t xml:space="preserve"> </w:t>
      </w:r>
      <w:r w:rsidRPr="00BF059B">
        <w:t>Exhibitions</w:t>
      </w:r>
      <w:r w:rsidR="00BF059B" w:rsidRPr="00BF059B">
        <w:t xml:space="preserve"> </w:t>
      </w:r>
    </w:p>
    <w:p w14:paraId="41D3A9FE" w14:textId="098F8596" w:rsidR="00BE13A8" w:rsidRPr="001C1379" w:rsidRDefault="00D70530">
      <w:pPr>
        <w:jc w:val="both"/>
      </w:pPr>
      <w:r>
        <w:t>Throughout</w:t>
      </w:r>
      <w:r w:rsidR="00BF059B">
        <w:t xml:space="preserve"> </w:t>
      </w:r>
      <w:r>
        <w:t>the</w:t>
      </w:r>
      <w:r w:rsidR="00BF059B">
        <w:t xml:space="preserve"> </w:t>
      </w:r>
      <w:r>
        <w:t>year</w:t>
      </w:r>
      <w:r w:rsidR="00BF059B">
        <w:t xml:space="preserve"> </w:t>
      </w:r>
      <w:r>
        <w:t>we</w:t>
      </w:r>
      <w:r w:rsidR="00BF059B">
        <w:t xml:space="preserve"> </w:t>
      </w:r>
      <w:r>
        <w:t>provided</w:t>
      </w:r>
      <w:r w:rsidR="00BF059B">
        <w:t xml:space="preserve"> </w:t>
      </w:r>
      <w:r>
        <w:t>a</w:t>
      </w:r>
      <w:r w:rsidR="00BF059B">
        <w:t xml:space="preserve"> </w:t>
      </w:r>
      <w:r>
        <w:t>varied</w:t>
      </w:r>
      <w:r w:rsidR="00BF059B">
        <w:t xml:space="preserve"> </w:t>
      </w:r>
      <w:r>
        <w:t>and</w:t>
      </w:r>
      <w:r w:rsidR="00BF059B">
        <w:t xml:space="preserve"> </w:t>
      </w:r>
      <w:r>
        <w:t>stimulating</w:t>
      </w:r>
      <w:r w:rsidR="00BF059B">
        <w:t xml:space="preserve"> </w:t>
      </w:r>
      <w:r>
        <w:t>range</w:t>
      </w:r>
      <w:r w:rsidR="00BF059B">
        <w:t xml:space="preserve"> </w:t>
      </w:r>
      <w:r>
        <w:t>of</w:t>
      </w:r>
      <w:r w:rsidR="00BF059B">
        <w:t xml:space="preserve"> </w:t>
      </w:r>
      <w:r>
        <w:t>high-quality</w:t>
      </w:r>
      <w:r w:rsidR="00BF059B">
        <w:t xml:space="preserve"> </w:t>
      </w:r>
      <w:r>
        <w:t>temporary</w:t>
      </w:r>
      <w:r w:rsidR="00BF059B">
        <w:t xml:space="preserve"> </w:t>
      </w:r>
      <w:r>
        <w:t>exhibitions</w:t>
      </w:r>
      <w:r w:rsidR="00BF059B">
        <w:t xml:space="preserve"> </w:t>
      </w:r>
      <w:r>
        <w:t>to</w:t>
      </w:r>
      <w:r w:rsidR="00BF059B">
        <w:t xml:space="preserve"> </w:t>
      </w:r>
      <w:r>
        <w:t>engage</w:t>
      </w:r>
      <w:r w:rsidR="00BF059B">
        <w:t xml:space="preserve"> </w:t>
      </w:r>
      <w:r>
        <w:t>our</w:t>
      </w:r>
      <w:r w:rsidR="00BF059B">
        <w:t xml:space="preserve"> </w:t>
      </w:r>
      <w:r>
        <w:t>regular,</w:t>
      </w:r>
      <w:r w:rsidR="00BF059B">
        <w:t xml:space="preserve"> </w:t>
      </w:r>
      <w:r>
        <w:t>diverse</w:t>
      </w:r>
      <w:r w:rsidR="00BF059B">
        <w:t xml:space="preserve"> </w:t>
      </w:r>
      <w:r>
        <w:t>visitors</w:t>
      </w:r>
      <w:r w:rsidR="00BF059B">
        <w:t xml:space="preserve"> </w:t>
      </w:r>
      <w:r>
        <w:t>and</w:t>
      </w:r>
      <w:r w:rsidR="00BF059B">
        <w:t xml:space="preserve"> </w:t>
      </w:r>
      <w:r>
        <w:t>attract</w:t>
      </w:r>
      <w:r w:rsidR="00BF059B">
        <w:t xml:space="preserve"> </w:t>
      </w:r>
      <w:r>
        <w:t>new</w:t>
      </w:r>
      <w:r w:rsidR="00BF059B">
        <w:t xml:space="preserve"> </w:t>
      </w:r>
      <w:r>
        <w:t>audiences</w:t>
      </w:r>
      <w:r w:rsidRPr="001C1379">
        <w:t>.</w:t>
      </w:r>
    </w:p>
    <w:p w14:paraId="702D3C9A" w14:textId="77777777" w:rsidR="00BE13A8" w:rsidRPr="001C1379" w:rsidRDefault="00BE13A8">
      <w:pPr>
        <w:jc w:val="both"/>
        <w:rPr>
          <w:i/>
        </w:rPr>
      </w:pPr>
    </w:p>
    <w:p w14:paraId="127ADD27" w14:textId="703580CE" w:rsidR="00BE13A8" w:rsidRDefault="00D70530">
      <w:pPr>
        <w:jc w:val="both"/>
        <w:rPr>
          <w:i/>
          <w:color w:val="FF0000"/>
        </w:rPr>
      </w:pPr>
      <w:r>
        <w:t>Our</w:t>
      </w:r>
      <w:r w:rsidR="00BF059B">
        <w:t xml:space="preserve"> </w:t>
      </w:r>
      <w:r>
        <w:t>family-friendly</w:t>
      </w:r>
      <w:r w:rsidR="00BF059B">
        <w:t xml:space="preserve"> </w:t>
      </w:r>
      <w:r>
        <w:t>temporary</w:t>
      </w:r>
      <w:r w:rsidR="00BF059B">
        <w:t xml:space="preserve"> </w:t>
      </w:r>
      <w:r>
        <w:t>exhibition</w:t>
      </w:r>
      <w:r w:rsidR="00BF059B">
        <w:t xml:space="preserve"> </w:t>
      </w:r>
      <w:r>
        <w:t>for</w:t>
      </w:r>
      <w:r w:rsidR="00BF059B">
        <w:t xml:space="preserve"> </w:t>
      </w:r>
      <w:r>
        <w:t>2024,</w:t>
      </w:r>
      <w:r w:rsidR="00BF059B">
        <w:rPr>
          <w:b/>
          <w:color w:val="FF0000"/>
        </w:rPr>
        <w:t xml:space="preserve"> </w:t>
      </w:r>
      <w:r>
        <w:rPr>
          <w:b/>
        </w:rPr>
        <w:t>Dinosaur</w:t>
      </w:r>
      <w:r w:rsidR="00BF059B">
        <w:rPr>
          <w:b/>
        </w:rPr>
        <w:t xml:space="preserve"> </w:t>
      </w:r>
      <w:proofErr w:type="spellStart"/>
      <w:r>
        <w:rPr>
          <w:b/>
        </w:rPr>
        <w:t>rEvolution</w:t>
      </w:r>
      <w:proofErr w:type="spellEnd"/>
      <w:r>
        <w:rPr>
          <w:b/>
        </w:rPr>
        <w:t>,</w:t>
      </w:r>
      <w:r w:rsidR="00BF059B">
        <w:rPr>
          <w:b/>
        </w:rPr>
        <w:t xml:space="preserve"> </w:t>
      </w:r>
      <w:r>
        <w:t>which</w:t>
      </w:r>
      <w:r w:rsidR="00BF059B">
        <w:t xml:space="preserve"> </w:t>
      </w:r>
      <w:r>
        <w:t>ran</w:t>
      </w:r>
      <w:r w:rsidR="00BF059B">
        <w:t xml:space="preserve"> </w:t>
      </w:r>
      <w:r>
        <w:t>from</w:t>
      </w:r>
      <w:r w:rsidR="00BF059B">
        <w:t xml:space="preserve"> </w:t>
      </w:r>
      <w:r>
        <w:t>February</w:t>
      </w:r>
      <w:r w:rsidR="00BF059B">
        <w:t xml:space="preserve"> </w:t>
      </w:r>
      <w:r>
        <w:t>to</w:t>
      </w:r>
      <w:r w:rsidR="00BF059B">
        <w:t xml:space="preserve"> </w:t>
      </w:r>
      <w:r>
        <w:t>October,</w:t>
      </w:r>
      <w:r w:rsidR="00BF059B">
        <w:rPr>
          <w:i/>
          <w:color w:val="FF0000"/>
        </w:rPr>
        <w:t xml:space="preserve"> </w:t>
      </w:r>
      <w:r>
        <w:t>attracted</w:t>
      </w:r>
      <w:r w:rsidR="00BF059B">
        <w:t xml:space="preserve"> </w:t>
      </w:r>
      <w:r>
        <w:t>95k</w:t>
      </w:r>
      <w:r w:rsidR="00BF059B">
        <w:t xml:space="preserve"> </w:t>
      </w:r>
      <w:r>
        <w:t>visitors</w:t>
      </w:r>
      <w:r w:rsidR="00BF059B">
        <w:t xml:space="preserve"> </w:t>
      </w:r>
      <w:r>
        <w:t>over</w:t>
      </w:r>
      <w:r w:rsidR="00BF059B">
        <w:t xml:space="preserve"> </w:t>
      </w:r>
      <w:r>
        <w:t>its</w:t>
      </w:r>
      <w:r w:rsidR="00BF059B">
        <w:t xml:space="preserve"> </w:t>
      </w:r>
      <w:r>
        <w:t>duration,</w:t>
      </w:r>
      <w:r w:rsidR="00BF059B">
        <w:t xml:space="preserve"> </w:t>
      </w:r>
      <w:r>
        <w:t>a</w:t>
      </w:r>
      <w:r w:rsidR="00BF059B">
        <w:t xml:space="preserve"> </w:t>
      </w:r>
      <w:r>
        <w:t>conversion</w:t>
      </w:r>
      <w:r w:rsidR="00BF059B">
        <w:t xml:space="preserve"> </w:t>
      </w:r>
      <w:r>
        <w:t>rate</w:t>
      </w:r>
      <w:r w:rsidR="00BF059B">
        <w:t xml:space="preserve"> </w:t>
      </w:r>
      <w:r>
        <w:t>of</w:t>
      </w:r>
      <w:r w:rsidR="00BF059B">
        <w:t xml:space="preserve"> </w:t>
      </w:r>
      <w:r>
        <w:t>20%.</w:t>
      </w:r>
      <w:r w:rsidR="00BF059B">
        <w:rPr>
          <w:i/>
          <w:color w:val="FF0000"/>
        </w:rPr>
        <w:t xml:space="preserve"> </w:t>
      </w:r>
      <w:r>
        <w:t>This</w:t>
      </w:r>
      <w:r w:rsidR="00BF059B">
        <w:t xml:space="preserve"> </w:t>
      </w:r>
      <w:r>
        <w:lastRenderedPageBreak/>
        <w:t>exhibition</w:t>
      </w:r>
      <w:r w:rsidR="00BF059B">
        <w:t xml:space="preserve"> </w:t>
      </w:r>
      <w:r>
        <w:t>explored</w:t>
      </w:r>
      <w:r w:rsidR="00BF059B">
        <w:t xml:space="preserve"> </w:t>
      </w:r>
      <w:r>
        <w:t>the</w:t>
      </w:r>
      <w:r w:rsidR="00BF059B">
        <w:t xml:space="preserve"> </w:t>
      </w:r>
      <w:r>
        <w:t>relationship</w:t>
      </w:r>
      <w:r w:rsidR="00BF059B">
        <w:t xml:space="preserve"> </w:t>
      </w:r>
      <w:r>
        <w:t>between</w:t>
      </w:r>
      <w:r w:rsidR="00BF059B">
        <w:t xml:space="preserve"> </w:t>
      </w:r>
      <w:r>
        <w:t>dinosaurs</w:t>
      </w:r>
      <w:r w:rsidR="00BF059B">
        <w:t xml:space="preserve"> </w:t>
      </w:r>
      <w:r>
        <w:t>and</w:t>
      </w:r>
      <w:r w:rsidR="00BF059B">
        <w:t xml:space="preserve"> </w:t>
      </w:r>
      <w:r>
        <w:t>birds</w:t>
      </w:r>
      <w:r w:rsidR="00BF059B">
        <w:t xml:space="preserve"> </w:t>
      </w:r>
      <w:r>
        <w:t>in</w:t>
      </w:r>
      <w:r w:rsidR="00BF059B">
        <w:t xml:space="preserve"> </w:t>
      </w:r>
      <w:r>
        <w:t>a</w:t>
      </w:r>
      <w:r w:rsidR="00BF059B">
        <w:t xml:space="preserve"> </w:t>
      </w:r>
      <w:r>
        <w:t>colourful</w:t>
      </w:r>
      <w:r w:rsidR="00BF059B">
        <w:t xml:space="preserve"> </w:t>
      </w:r>
      <w:r>
        <w:t>and</w:t>
      </w:r>
      <w:r w:rsidR="00BF059B">
        <w:t xml:space="preserve"> </w:t>
      </w:r>
      <w:r>
        <w:t>fascinating</w:t>
      </w:r>
      <w:r w:rsidR="00BF059B">
        <w:t xml:space="preserve"> </w:t>
      </w:r>
      <w:r>
        <w:t>exhibition,</w:t>
      </w:r>
      <w:r w:rsidR="00BF059B">
        <w:t xml:space="preserve"> </w:t>
      </w:r>
      <w:r>
        <w:t>including</w:t>
      </w:r>
      <w:r w:rsidR="00BF059B">
        <w:t xml:space="preserve"> </w:t>
      </w:r>
      <w:r>
        <w:t>five</w:t>
      </w:r>
      <w:r w:rsidR="00BF059B">
        <w:t xml:space="preserve"> </w:t>
      </w:r>
      <w:r>
        <w:t>large</w:t>
      </w:r>
      <w:r w:rsidR="00BF059B">
        <w:t xml:space="preserve"> </w:t>
      </w:r>
      <w:r>
        <w:t>animatronic</w:t>
      </w:r>
      <w:r w:rsidR="00BF059B">
        <w:t xml:space="preserve"> </w:t>
      </w:r>
      <w:r>
        <w:t>models,</w:t>
      </w:r>
      <w:r w:rsidR="00BF059B">
        <w:t xml:space="preserve"> </w:t>
      </w:r>
      <w:r>
        <w:t>many</w:t>
      </w:r>
      <w:r w:rsidR="00BF059B">
        <w:t xml:space="preserve"> </w:t>
      </w:r>
      <w:r>
        <w:t>accurate</w:t>
      </w:r>
      <w:r w:rsidR="00BF059B">
        <w:t xml:space="preserve"> </w:t>
      </w:r>
      <w:r>
        <w:t>cast</w:t>
      </w:r>
      <w:r w:rsidR="00BF059B">
        <w:t xml:space="preserve"> </w:t>
      </w:r>
      <w:r>
        <w:t>fossil</w:t>
      </w:r>
      <w:r w:rsidR="00BF059B">
        <w:t xml:space="preserve"> </w:t>
      </w:r>
      <w:r>
        <w:t>skeletons</w:t>
      </w:r>
      <w:r w:rsidR="00BF059B">
        <w:t xml:space="preserve"> </w:t>
      </w:r>
      <w:r>
        <w:t>and</w:t>
      </w:r>
      <w:r w:rsidR="00BF059B">
        <w:t xml:space="preserve"> </w:t>
      </w:r>
      <w:r>
        <w:t>skulls,</w:t>
      </w:r>
      <w:r w:rsidR="00BF059B">
        <w:t xml:space="preserve"> </w:t>
      </w:r>
      <w:r>
        <w:t>as</w:t>
      </w:r>
      <w:r w:rsidR="00BF059B">
        <w:t xml:space="preserve"> </w:t>
      </w:r>
      <w:r>
        <w:t>well</w:t>
      </w:r>
      <w:r w:rsidR="00BF059B">
        <w:t xml:space="preserve"> </w:t>
      </w:r>
      <w:r>
        <w:t>as</w:t>
      </w:r>
      <w:r w:rsidR="00BF059B">
        <w:t xml:space="preserve"> </w:t>
      </w:r>
      <w:r>
        <w:t>detailed</w:t>
      </w:r>
      <w:r w:rsidR="00BF059B">
        <w:t xml:space="preserve"> </w:t>
      </w:r>
      <w:r>
        <w:t>graphics</w:t>
      </w:r>
      <w:r w:rsidR="00BF059B">
        <w:t xml:space="preserve"> </w:t>
      </w:r>
      <w:r>
        <w:t>by</w:t>
      </w:r>
      <w:r w:rsidR="00BF059B">
        <w:t xml:space="preserve"> </w:t>
      </w:r>
      <w:r>
        <w:t>the</w:t>
      </w:r>
      <w:r w:rsidR="00BF059B">
        <w:t xml:space="preserve"> </w:t>
      </w:r>
      <w:r>
        <w:t>acclaimed</w:t>
      </w:r>
      <w:r w:rsidR="00BF059B">
        <w:t xml:space="preserve"> </w:t>
      </w:r>
      <w:r>
        <w:t>artist</w:t>
      </w:r>
      <w:r w:rsidR="00BF059B">
        <w:t xml:space="preserve"> </w:t>
      </w:r>
      <w:r>
        <w:t>Luis</w:t>
      </w:r>
      <w:r w:rsidR="00BF059B">
        <w:t xml:space="preserve"> </w:t>
      </w:r>
      <w:r>
        <w:t>V</w:t>
      </w:r>
      <w:r w:rsidR="00BF059B">
        <w:t xml:space="preserve"> </w:t>
      </w:r>
      <w:r>
        <w:t>Rey.</w:t>
      </w:r>
      <w:r w:rsidR="00BF059B">
        <w:t xml:space="preserve"> </w:t>
      </w:r>
      <w:r>
        <w:t>The</w:t>
      </w:r>
      <w:r w:rsidR="00BF059B">
        <w:t xml:space="preserve"> </w:t>
      </w:r>
      <w:r>
        <w:t>exhibition</w:t>
      </w:r>
      <w:r w:rsidR="00BF059B">
        <w:t xml:space="preserve"> </w:t>
      </w:r>
      <w:r>
        <w:t>provides</w:t>
      </w:r>
      <w:r w:rsidR="00BF059B">
        <w:t xml:space="preserve"> </w:t>
      </w:r>
      <w:r>
        <w:t>the</w:t>
      </w:r>
      <w:r w:rsidR="00BF059B">
        <w:t xml:space="preserve"> </w:t>
      </w:r>
      <w:r>
        <w:t>opportunity</w:t>
      </w:r>
      <w:r w:rsidR="00BF059B">
        <w:t xml:space="preserve"> </w:t>
      </w:r>
      <w:r>
        <w:t>to</w:t>
      </w:r>
      <w:r w:rsidR="00BF059B">
        <w:t xml:space="preserve"> </w:t>
      </w:r>
      <w:r>
        <w:t>touch</w:t>
      </w:r>
      <w:r w:rsidR="00BF059B">
        <w:t xml:space="preserve"> </w:t>
      </w:r>
      <w:r>
        <w:t>model</w:t>
      </w:r>
      <w:r w:rsidR="00BF059B">
        <w:t xml:space="preserve"> </w:t>
      </w:r>
      <w:r>
        <w:t>fossils,</w:t>
      </w:r>
      <w:r w:rsidR="00BF059B">
        <w:t xml:space="preserve"> </w:t>
      </w:r>
      <w:r>
        <w:t>dress</w:t>
      </w:r>
      <w:r w:rsidR="00BF059B">
        <w:t xml:space="preserve"> </w:t>
      </w:r>
      <w:r>
        <w:t>up,</w:t>
      </w:r>
      <w:r w:rsidR="00BF059B">
        <w:t xml:space="preserve"> </w:t>
      </w:r>
      <w:r>
        <w:t>play</w:t>
      </w:r>
      <w:r w:rsidR="00BF059B">
        <w:t xml:space="preserve"> </w:t>
      </w:r>
      <w:r>
        <w:t>games,</w:t>
      </w:r>
      <w:r w:rsidR="00BF059B">
        <w:t xml:space="preserve"> </w:t>
      </w:r>
      <w:r>
        <w:t>and</w:t>
      </w:r>
      <w:r w:rsidR="00BF059B">
        <w:t xml:space="preserve"> </w:t>
      </w:r>
      <w:r>
        <w:t>more.</w:t>
      </w:r>
    </w:p>
    <w:p w14:paraId="0E82E8BA" w14:textId="77777777" w:rsidR="00BE13A8" w:rsidRDefault="00BE13A8">
      <w:pPr>
        <w:jc w:val="both"/>
        <w:rPr>
          <w:i/>
          <w:color w:val="FF0000"/>
        </w:rPr>
      </w:pPr>
    </w:p>
    <w:p w14:paraId="4F26ECF4" w14:textId="030EF217" w:rsidR="00BE13A8" w:rsidRDefault="00D70530">
      <w:pPr>
        <w:jc w:val="both"/>
      </w:pPr>
      <w:r>
        <w:rPr>
          <w:b/>
        </w:rPr>
        <w:t>Robot</w:t>
      </w:r>
      <w:r w:rsidR="00BF059B">
        <w:rPr>
          <w:b/>
        </w:rPr>
        <w:t xml:space="preserve"> </w:t>
      </w:r>
      <w:r>
        <w:rPr>
          <w:b/>
        </w:rPr>
        <w:t>Zoo,</w:t>
      </w:r>
      <w:r w:rsidR="00BF059B">
        <w:rPr>
          <w:b/>
        </w:rPr>
        <w:t xml:space="preserve"> </w:t>
      </w:r>
      <w:r>
        <w:t>our</w:t>
      </w:r>
      <w:r w:rsidR="00BF059B">
        <w:t xml:space="preserve"> </w:t>
      </w:r>
      <w:r>
        <w:t>family-friendly</w:t>
      </w:r>
      <w:r w:rsidR="00BF059B">
        <w:t xml:space="preserve"> </w:t>
      </w:r>
      <w:r>
        <w:t>show</w:t>
      </w:r>
      <w:r w:rsidR="00BF059B">
        <w:t xml:space="preserve"> </w:t>
      </w:r>
      <w:r>
        <w:t>for</w:t>
      </w:r>
      <w:r w:rsidR="00BF059B">
        <w:t xml:space="preserve"> </w:t>
      </w:r>
      <w:r>
        <w:t>2025,</w:t>
      </w:r>
      <w:r w:rsidR="00BF059B">
        <w:t xml:space="preserve"> </w:t>
      </w:r>
      <w:r>
        <w:t>opened</w:t>
      </w:r>
      <w:r w:rsidR="00BF059B">
        <w:t xml:space="preserve"> </w:t>
      </w:r>
      <w:r>
        <w:t>during</w:t>
      </w:r>
      <w:r w:rsidR="00BF059B">
        <w:t xml:space="preserve"> </w:t>
      </w:r>
      <w:r>
        <w:t>February</w:t>
      </w:r>
      <w:r w:rsidR="00BF059B">
        <w:t xml:space="preserve"> </w:t>
      </w:r>
      <w:r>
        <w:t>half-term</w:t>
      </w:r>
      <w:r w:rsidR="00BF059B">
        <w:t xml:space="preserve"> </w:t>
      </w:r>
      <w:r>
        <w:t>and</w:t>
      </w:r>
      <w:r w:rsidR="00BF059B">
        <w:t xml:space="preserve"> </w:t>
      </w:r>
      <w:r>
        <w:t>features</w:t>
      </w:r>
      <w:r w:rsidR="00BF059B">
        <w:t xml:space="preserve"> </w:t>
      </w:r>
      <w:r>
        <w:t>the</w:t>
      </w:r>
      <w:r w:rsidR="00BF059B">
        <w:t xml:space="preserve"> </w:t>
      </w:r>
      <w:proofErr w:type="gramStart"/>
      <w:r>
        <w:t>larger</w:t>
      </w:r>
      <w:r w:rsidR="00BF059B">
        <w:t xml:space="preserve"> </w:t>
      </w:r>
      <w:r>
        <w:t>than</w:t>
      </w:r>
      <w:r w:rsidR="00BF059B">
        <w:t xml:space="preserve"> </w:t>
      </w:r>
      <w:r>
        <w:t>life</w:t>
      </w:r>
      <w:proofErr w:type="gramEnd"/>
      <w:r w:rsidR="00BF059B">
        <w:t xml:space="preserve"> </w:t>
      </w:r>
      <w:r>
        <w:t>size</w:t>
      </w:r>
      <w:r w:rsidR="00BF059B">
        <w:t xml:space="preserve"> </w:t>
      </w:r>
      <w:r>
        <w:t>animals</w:t>
      </w:r>
      <w:r w:rsidR="00BF059B">
        <w:t xml:space="preserve"> </w:t>
      </w:r>
      <w:r>
        <w:t>that</w:t>
      </w:r>
      <w:r w:rsidR="00BF059B">
        <w:t xml:space="preserve"> </w:t>
      </w:r>
      <w:r>
        <w:t>have</w:t>
      </w:r>
      <w:r w:rsidR="00BF059B">
        <w:t xml:space="preserve"> </w:t>
      </w:r>
      <w:r>
        <w:t>been</w:t>
      </w:r>
      <w:r w:rsidR="00BF059B">
        <w:t xml:space="preserve"> </w:t>
      </w:r>
      <w:r>
        <w:t>recreated</w:t>
      </w:r>
      <w:r w:rsidR="00BF059B">
        <w:t xml:space="preserve"> </w:t>
      </w:r>
      <w:r>
        <w:t>using</w:t>
      </w:r>
      <w:r w:rsidR="00BF059B">
        <w:t xml:space="preserve"> </w:t>
      </w:r>
      <w:r>
        <w:t>a</w:t>
      </w:r>
      <w:r w:rsidR="00BF059B">
        <w:t xml:space="preserve"> </w:t>
      </w:r>
      <w:r>
        <w:t>variety</w:t>
      </w:r>
      <w:r w:rsidR="00BF059B">
        <w:t xml:space="preserve"> </w:t>
      </w:r>
      <w:r>
        <w:t>of</w:t>
      </w:r>
      <w:r w:rsidR="00BF059B">
        <w:t xml:space="preserve"> </w:t>
      </w:r>
      <w:r>
        <w:t>familiar</w:t>
      </w:r>
      <w:r w:rsidR="00BF059B">
        <w:t xml:space="preserve"> </w:t>
      </w:r>
      <w:r>
        <w:t>machine</w:t>
      </w:r>
      <w:r w:rsidR="00BF059B">
        <w:t xml:space="preserve"> </w:t>
      </w:r>
      <w:r>
        <w:t>parts</w:t>
      </w:r>
      <w:r w:rsidR="00BF059B">
        <w:t xml:space="preserve"> </w:t>
      </w:r>
      <w:r>
        <w:t>and</w:t>
      </w:r>
      <w:r w:rsidR="00BF059B">
        <w:t xml:space="preserve"> </w:t>
      </w:r>
      <w:r>
        <w:t>gadgets</w:t>
      </w:r>
      <w:r w:rsidR="00BF059B">
        <w:t xml:space="preserve"> </w:t>
      </w:r>
      <w:r>
        <w:t>(such</w:t>
      </w:r>
      <w:r w:rsidR="00BF059B">
        <w:t xml:space="preserve"> </w:t>
      </w:r>
      <w:r>
        <w:t>as</w:t>
      </w:r>
      <w:r w:rsidR="00BF059B">
        <w:t xml:space="preserve"> </w:t>
      </w:r>
      <w:r>
        <w:t>shock</w:t>
      </w:r>
      <w:r w:rsidR="00BF059B">
        <w:t xml:space="preserve"> </w:t>
      </w:r>
      <w:r>
        <w:t>absorbers</w:t>
      </w:r>
      <w:r w:rsidR="00BF059B">
        <w:t xml:space="preserve"> </w:t>
      </w:r>
      <w:r>
        <w:t>and</w:t>
      </w:r>
      <w:r w:rsidR="00BF059B">
        <w:t xml:space="preserve"> </w:t>
      </w:r>
      <w:r>
        <w:t>pumps)</w:t>
      </w:r>
      <w:r w:rsidR="00BF059B">
        <w:t xml:space="preserve"> </w:t>
      </w:r>
      <w:r>
        <w:t>to</w:t>
      </w:r>
      <w:r w:rsidR="00BF059B">
        <w:t xml:space="preserve"> </w:t>
      </w:r>
      <w:r>
        <w:t>reveal</w:t>
      </w:r>
      <w:r w:rsidR="00BF059B">
        <w:t xml:space="preserve"> </w:t>
      </w:r>
      <w:r>
        <w:t>how</w:t>
      </w:r>
      <w:r w:rsidR="00BF059B">
        <w:t xml:space="preserve"> </w:t>
      </w:r>
      <w:r>
        <w:t>their</w:t>
      </w:r>
      <w:r w:rsidR="00BF059B">
        <w:t xml:space="preserve"> </w:t>
      </w:r>
      <w:r>
        <w:t>real-life</w:t>
      </w:r>
      <w:r w:rsidR="00BF059B">
        <w:t xml:space="preserve"> </w:t>
      </w:r>
      <w:r>
        <w:t>counterparts</w:t>
      </w:r>
      <w:r w:rsidR="00BF059B">
        <w:t xml:space="preserve"> </w:t>
      </w:r>
      <w:r>
        <w:t>see,</w:t>
      </w:r>
      <w:r w:rsidR="00BF059B">
        <w:t xml:space="preserve"> </w:t>
      </w:r>
      <w:r>
        <w:t>eat,</w:t>
      </w:r>
      <w:r w:rsidR="00BF059B">
        <w:t xml:space="preserve"> </w:t>
      </w:r>
      <w:r>
        <w:t>hunt</w:t>
      </w:r>
      <w:r w:rsidR="00BF059B">
        <w:t xml:space="preserve"> </w:t>
      </w:r>
      <w:r>
        <w:t>and</w:t>
      </w:r>
      <w:r w:rsidR="00BF059B">
        <w:t xml:space="preserve"> </w:t>
      </w:r>
      <w:r>
        <w:t>hide.</w:t>
      </w:r>
      <w:r w:rsidR="00BF059B">
        <w:t xml:space="preserve"> </w:t>
      </w:r>
      <w:r>
        <w:t>Visitors</w:t>
      </w:r>
      <w:r w:rsidR="00BF059B">
        <w:t xml:space="preserve"> </w:t>
      </w:r>
      <w:r>
        <w:t>learn</w:t>
      </w:r>
      <w:r w:rsidR="00BF059B">
        <w:t xml:space="preserve"> </w:t>
      </w:r>
      <w:r>
        <w:t>how</w:t>
      </w:r>
      <w:r w:rsidR="00BF059B">
        <w:t xml:space="preserve"> </w:t>
      </w:r>
      <w:r>
        <w:t>a</w:t>
      </w:r>
      <w:r w:rsidR="00BF059B">
        <w:t xml:space="preserve"> </w:t>
      </w:r>
      <w:r>
        <w:t>chameleon</w:t>
      </w:r>
      <w:r w:rsidR="00BF059B">
        <w:t xml:space="preserve"> </w:t>
      </w:r>
      <w:r>
        <w:t>changes</w:t>
      </w:r>
      <w:r w:rsidR="00BF059B">
        <w:t xml:space="preserve"> </w:t>
      </w:r>
      <w:r>
        <w:t>colour,</w:t>
      </w:r>
      <w:r w:rsidR="00BF059B">
        <w:t xml:space="preserve"> </w:t>
      </w:r>
      <w:r>
        <w:t>how</w:t>
      </w:r>
      <w:r w:rsidR="00BF059B">
        <w:t xml:space="preserve"> </w:t>
      </w:r>
      <w:r>
        <w:t>bats</w:t>
      </w:r>
      <w:r w:rsidR="00BF059B">
        <w:t xml:space="preserve"> </w:t>
      </w:r>
      <w:r>
        <w:t>see</w:t>
      </w:r>
      <w:r w:rsidR="00BF059B">
        <w:t xml:space="preserve"> </w:t>
      </w:r>
      <w:r>
        <w:t>at</w:t>
      </w:r>
      <w:r w:rsidR="00BF059B">
        <w:t xml:space="preserve"> </w:t>
      </w:r>
      <w:r>
        <w:t>night</w:t>
      </w:r>
      <w:r w:rsidR="00BF059B">
        <w:t xml:space="preserve"> </w:t>
      </w:r>
      <w:r>
        <w:t>and</w:t>
      </w:r>
      <w:r w:rsidR="00BF059B">
        <w:t xml:space="preserve"> </w:t>
      </w:r>
      <w:r>
        <w:t>what</w:t>
      </w:r>
      <w:r w:rsidR="00BF059B">
        <w:t xml:space="preserve"> </w:t>
      </w:r>
      <w:r>
        <w:t>makes</w:t>
      </w:r>
      <w:r w:rsidR="00BF059B">
        <w:t xml:space="preserve"> </w:t>
      </w:r>
      <w:r>
        <w:t>a</w:t>
      </w:r>
      <w:r w:rsidR="00BF059B">
        <w:t xml:space="preserve"> </w:t>
      </w:r>
      <w:r>
        <w:t>grasshopper</w:t>
      </w:r>
      <w:r w:rsidR="00BF059B">
        <w:t xml:space="preserve"> </w:t>
      </w:r>
      <w:r>
        <w:t>leap</w:t>
      </w:r>
      <w:r w:rsidR="00BF059B">
        <w:t xml:space="preserve"> </w:t>
      </w:r>
      <w:r>
        <w:t>so</w:t>
      </w:r>
      <w:r w:rsidR="00BF059B">
        <w:t xml:space="preserve"> </w:t>
      </w:r>
      <w:r>
        <w:t>high.</w:t>
      </w:r>
    </w:p>
    <w:p w14:paraId="235D2E20" w14:textId="77777777" w:rsidR="00BE13A8" w:rsidRDefault="00BE13A8">
      <w:pPr>
        <w:jc w:val="both"/>
      </w:pPr>
    </w:p>
    <w:p w14:paraId="48BF412A" w14:textId="3D5850A3" w:rsidR="00BE13A8" w:rsidRDefault="00D70530">
      <w:pPr>
        <w:jc w:val="both"/>
      </w:pPr>
      <w:r>
        <w:t>In</w:t>
      </w:r>
      <w:r w:rsidR="00BF059B">
        <w:t xml:space="preserve"> </w:t>
      </w:r>
      <w:r>
        <w:t>the</w:t>
      </w:r>
      <w:r w:rsidR="00BF059B">
        <w:t xml:space="preserve"> </w:t>
      </w:r>
      <w:r>
        <w:t>Studio,</w:t>
      </w:r>
      <w:r w:rsidR="00BF059B">
        <w:t xml:space="preserve"> </w:t>
      </w:r>
      <w:r>
        <w:rPr>
          <w:rFonts w:ascii="MS Gothic" w:eastAsia="MS Gothic" w:hAnsi="MS Gothic" w:cs="MS Gothic"/>
          <w:b/>
        </w:rPr>
        <w:t>茶</w:t>
      </w:r>
      <w:r>
        <w:rPr>
          <w:b/>
        </w:rPr>
        <w:t>,</w:t>
      </w:r>
      <w:r w:rsidR="00BF059B">
        <w:rPr>
          <w:b/>
        </w:rPr>
        <w:t xml:space="preserve"> </w:t>
      </w:r>
      <w:proofErr w:type="spellStart"/>
      <w:r>
        <w:rPr>
          <w:rFonts w:ascii="Nirmala UI" w:eastAsia="Nirmala UI" w:hAnsi="Nirmala UI" w:cs="Nirmala UI"/>
          <w:b/>
        </w:rPr>
        <w:t>चाय</w:t>
      </w:r>
      <w:proofErr w:type="spellEnd"/>
      <w:r>
        <w:rPr>
          <w:b/>
        </w:rPr>
        <w:t>,</w:t>
      </w:r>
      <w:r w:rsidR="00BF059B">
        <w:rPr>
          <w:b/>
        </w:rPr>
        <w:t xml:space="preserve"> </w:t>
      </w:r>
      <w:r>
        <w:rPr>
          <w:b/>
        </w:rPr>
        <w:t>Tea</w:t>
      </w:r>
      <w:r w:rsidR="00BF059B">
        <w:t xml:space="preserve"> </w:t>
      </w:r>
      <w:r>
        <w:rPr>
          <w:b/>
        </w:rPr>
        <w:t>(</w:t>
      </w:r>
      <w:proofErr w:type="spellStart"/>
      <w:r>
        <w:rPr>
          <w:b/>
        </w:rPr>
        <w:t>Chá</w:t>
      </w:r>
      <w:proofErr w:type="spellEnd"/>
      <w:r>
        <w:rPr>
          <w:b/>
        </w:rPr>
        <w:t>,</w:t>
      </w:r>
      <w:r w:rsidR="00BF059B">
        <w:rPr>
          <w:b/>
        </w:rPr>
        <w:t xml:space="preserve"> </w:t>
      </w:r>
      <w:r>
        <w:rPr>
          <w:b/>
        </w:rPr>
        <w:t>Chai,</w:t>
      </w:r>
      <w:r w:rsidR="00BF059B">
        <w:rPr>
          <w:b/>
        </w:rPr>
        <w:t xml:space="preserve"> </w:t>
      </w:r>
      <w:r>
        <w:rPr>
          <w:b/>
        </w:rPr>
        <w:t>Tea)</w:t>
      </w:r>
      <w:r>
        <w:t>,</w:t>
      </w:r>
      <w:r w:rsidR="00BF059B">
        <w:t xml:space="preserve"> </w:t>
      </w:r>
      <w:r>
        <w:t>an</w:t>
      </w:r>
      <w:r w:rsidR="00BF059B">
        <w:t xml:space="preserve"> </w:t>
      </w:r>
      <w:r>
        <w:t>in-house</w:t>
      </w:r>
      <w:r w:rsidR="00BF059B">
        <w:t xml:space="preserve"> </w:t>
      </w:r>
      <w:r>
        <w:t>exhibition,</w:t>
      </w:r>
      <w:r w:rsidR="00BF059B">
        <w:t xml:space="preserve"> </w:t>
      </w:r>
      <w:r>
        <w:t>ran</w:t>
      </w:r>
      <w:r w:rsidR="00BF059B">
        <w:t xml:space="preserve"> </w:t>
      </w:r>
      <w:r>
        <w:t>until</w:t>
      </w:r>
      <w:r w:rsidR="00BF059B">
        <w:t xml:space="preserve"> </w:t>
      </w:r>
      <w:r>
        <w:t>July</w:t>
      </w:r>
      <w:r w:rsidR="00BF059B">
        <w:t xml:space="preserve"> </w:t>
      </w:r>
      <w:r>
        <w:t>2024.</w:t>
      </w:r>
      <w:r w:rsidR="00BF059B">
        <w:t xml:space="preserve"> </w:t>
      </w:r>
      <w:r>
        <w:t>The</w:t>
      </w:r>
      <w:r w:rsidR="00BF059B">
        <w:t xml:space="preserve"> </w:t>
      </w:r>
      <w:r>
        <w:t>show</w:t>
      </w:r>
      <w:r w:rsidR="00BF059B">
        <w:t xml:space="preserve"> </w:t>
      </w:r>
      <w:r>
        <w:t>was</w:t>
      </w:r>
      <w:r w:rsidR="00BF059B">
        <w:t xml:space="preserve"> </w:t>
      </w:r>
      <w:r>
        <w:t>seen</w:t>
      </w:r>
      <w:r w:rsidR="00BF059B">
        <w:t xml:space="preserve"> </w:t>
      </w:r>
      <w:r>
        <w:t>by</w:t>
      </w:r>
      <w:r w:rsidR="00BF059B">
        <w:t xml:space="preserve"> </w:t>
      </w:r>
      <w:r>
        <w:t>179,600</w:t>
      </w:r>
      <w:r w:rsidR="00BF059B">
        <w:t xml:space="preserve"> </w:t>
      </w:r>
      <w:r>
        <w:t>visitors</w:t>
      </w:r>
      <w:r w:rsidR="00BF059B">
        <w:t xml:space="preserve"> </w:t>
      </w:r>
      <w:r>
        <w:t>during</w:t>
      </w:r>
      <w:r w:rsidR="00BF059B">
        <w:t xml:space="preserve"> </w:t>
      </w:r>
      <w:r>
        <w:t>its</w:t>
      </w:r>
      <w:r w:rsidR="00BF059B">
        <w:t xml:space="preserve"> </w:t>
      </w:r>
      <w:r>
        <w:t>run</w:t>
      </w:r>
      <w:r w:rsidR="00BF059B">
        <w:t xml:space="preserve"> </w:t>
      </w:r>
      <w:r>
        <w:t>(38%</w:t>
      </w:r>
      <w:r w:rsidR="00BF059B">
        <w:t xml:space="preserve"> </w:t>
      </w:r>
      <w:r>
        <w:t>of</w:t>
      </w:r>
      <w:r w:rsidR="00BF059B">
        <w:t xml:space="preserve"> </w:t>
      </w:r>
      <w:r>
        <w:t>all</w:t>
      </w:r>
      <w:r w:rsidR="00BF059B">
        <w:t xml:space="preserve"> </w:t>
      </w:r>
      <w:r>
        <w:t>Museum</w:t>
      </w:r>
      <w:r w:rsidR="00BF059B">
        <w:t xml:space="preserve"> </w:t>
      </w:r>
      <w:r>
        <w:t>visitors</w:t>
      </w:r>
      <w:r w:rsidR="00BF059B">
        <w:t xml:space="preserve"> </w:t>
      </w:r>
      <w:r>
        <w:t>over</w:t>
      </w:r>
      <w:r w:rsidR="00BF059B">
        <w:t xml:space="preserve"> </w:t>
      </w:r>
      <w:r>
        <w:t>that</w:t>
      </w:r>
      <w:r w:rsidR="00BF059B">
        <w:t xml:space="preserve"> </w:t>
      </w:r>
      <w:r>
        <w:t>time).</w:t>
      </w:r>
      <w:r w:rsidR="00BF059B">
        <w:t xml:space="preserve"> </w:t>
      </w:r>
      <w:r>
        <w:t>28%</w:t>
      </w:r>
      <w:r w:rsidR="00BF059B">
        <w:t xml:space="preserve"> </w:t>
      </w:r>
      <w:r>
        <w:t>of</w:t>
      </w:r>
      <w:r w:rsidR="00BF059B">
        <w:t xml:space="preserve"> </w:t>
      </w:r>
      <w:r>
        <w:t>visitors</w:t>
      </w:r>
      <w:r w:rsidR="00BF059B">
        <w:t xml:space="preserve"> </w:t>
      </w:r>
      <w:r>
        <w:t>were</w:t>
      </w:r>
      <w:r w:rsidR="00BF059B">
        <w:t xml:space="preserve"> </w:t>
      </w:r>
      <w:r>
        <w:t>from</w:t>
      </w:r>
      <w:r w:rsidR="00BF059B">
        <w:t xml:space="preserve"> </w:t>
      </w:r>
      <w:r>
        <w:t>ethnically</w:t>
      </w:r>
      <w:r w:rsidR="00BF059B">
        <w:t xml:space="preserve"> </w:t>
      </w:r>
      <w:r>
        <w:t>diverse</w:t>
      </w:r>
      <w:r w:rsidR="00BF059B">
        <w:t xml:space="preserve"> </w:t>
      </w:r>
      <w:r>
        <w:t>groups,</w:t>
      </w:r>
      <w:r w:rsidR="00BF059B">
        <w:t xml:space="preserve"> </w:t>
      </w:r>
      <w:r>
        <w:t>and</w:t>
      </w:r>
      <w:r w:rsidR="00BF059B">
        <w:t xml:space="preserve"> </w:t>
      </w:r>
      <w:r>
        <w:t>20%</w:t>
      </w:r>
      <w:r w:rsidR="00BF059B">
        <w:t xml:space="preserve"> </w:t>
      </w:r>
      <w:r>
        <w:t>identified</w:t>
      </w:r>
      <w:r w:rsidR="00BF059B">
        <w:t xml:space="preserve"> </w:t>
      </w:r>
      <w:r>
        <w:t>as</w:t>
      </w:r>
      <w:r w:rsidR="00BF059B">
        <w:t xml:space="preserve"> </w:t>
      </w:r>
      <w:r>
        <w:t>belonging</w:t>
      </w:r>
      <w:r w:rsidR="00BF059B">
        <w:t xml:space="preserve"> </w:t>
      </w:r>
      <w:r>
        <w:t>to</w:t>
      </w:r>
      <w:r w:rsidR="00BF059B">
        <w:t xml:space="preserve"> </w:t>
      </w:r>
      <w:r>
        <w:t>any</w:t>
      </w:r>
      <w:r w:rsidR="00BF059B">
        <w:t xml:space="preserve"> </w:t>
      </w:r>
      <w:r>
        <w:t>of</w:t>
      </w:r>
      <w:r w:rsidR="00BF059B">
        <w:t xml:space="preserve"> </w:t>
      </w:r>
      <w:r>
        <w:t>the</w:t>
      </w:r>
      <w:r w:rsidR="00BF059B">
        <w:t xml:space="preserve"> </w:t>
      </w:r>
      <w:r>
        <w:t>communities</w:t>
      </w:r>
      <w:r w:rsidR="00BF059B">
        <w:t xml:space="preserve"> </w:t>
      </w:r>
      <w:r>
        <w:t>who</w:t>
      </w:r>
      <w:r w:rsidR="00BF059B">
        <w:t xml:space="preserve"> </w:t>
      </w:r>
      <w:r>
        <w:t>are</w:t>
      </w:r>
      <w:r w:rsidR="00BF059B">
        <w:t xml:space="preserve"> </w:t>
      </w:r>
      <w:r>
        <w:t>featured</w:t>
      </w:r>
      <w:r w:rsidR="00BF059B">
        <w:t xml:space="preserve"> </w:t>
      </w:r>
      <w:r>
        <w:t>within</w:t>
      </w:r>
      <w:r w:rsidR="00BF059B">
        <w:t xml:space="preserve"> </w:t>
      </w:r>
      <w:r>
        <w:t>the</w:t>
      </w:r>
      <w:r w:rsidR="00BF059B">
        <w:t xml:space="preserve"> </w:t>
      </w:r>
      <w:r>
        <w:t>exhibition.</w:t>
      </w:r>
      <w:r w:rsidR="00BF059B">
        <w:t xml:space="preserve"> </w:t>
      </w:r>
      <w:r>
        <w:t>The</w:t>
      </w:r>
      <w:r w:rsidR="00BF059B">
        <w:t xml:space="preserve"> </w:t>
      </w:r>
      <w:r>
        <w:t>exhibition</w:t>
      </w:r>
      <w:r w:rsidR="00BF059B">
        <w:t xml:space="preserve"> </w:t>
      </w:r>
      <w:r>
        <w:t>was</w:t>
      </w:r>
      <w:r w:rsidR="00BF059B">
        <w:t xml:space="preserve"> </w:t>
      </w:r>
      <w:r>
        <w:t>shortlisted</w:t>
      </w:r>
      <w:r w:rsidR="00BF059B">
        <w:t xml:space="preserve"> </w:t>
      </w:r>
      <w:r>
        <w:t>for</w:t>
      </w:r>
      <w:r w:rsidR="00BF059B">
        <w:t xml:space="preserve"> </w:t>
      </w:r>
      <w:r>
        <w:t>Temporary</w:t>
      </w:r>
      <w:r w:rsidR="00BF059B">
        <w:t xml:space="preserve"> </w:t>
      </w:r>
      <w:r>
        <w:t>Exhibition</w:t>
      </w:r>
      <w:r w:rsidR="00BF059B">
        <w:t xml:space="preserve"> </w:t>
      </w:r>
      <w:r>
        <w:t>of</w:t>
      </w:r>
      <w:r w:rsidR="00BF059B">
        <w:t xml:space="preserve"> </w:t>
      </w:r>
      <w:r>
        <w:t>the</w:t>
      </w:r>
      <w:r w:rsidR="00BF059B">
        <w:t xml:space="preserve"> </w:t>
      </w:r>
      <w:r>
        <w:t>Year</w:t>
      </w:r>
      <w:r w:rsidR="00BF059B">
        <w:t xml:space="preserve"> </w:t>
      </w:r>
      <w:r>
        <w:t>in</w:t>
      </w:r>
      <w:r w:rsidR="00BF059B">
        <w:t xml:space="preserve"> </w:t>
      </w:r>
      <w:r>
        <w:t>the</w:t>
      </w:r>
      <w:r w:rsidR="00BF059B">
        <w:t xml:space="preserve"> </w:t>
      </w:r>
      <w:r>
        <w:t>Museums</w:t>
      </w:r>
      <w:r w:rsidR="00BF059B">
        <w:t xml:space="preserve"> </w:t>
      </w:r>
      <w:r>
        <w:t>+</w:t>
      </w:r>
      <w:r w:rsidR="00BF059B">
        <w:t xml:space="preserve"> </w:t>
      </w:r>
      <w:r>
        <w:t>Heritage</w:t>
      </w:r>
      <w:r w:rsidR="00BF059B">
        <w:t xml:space="preserve"> </w:t>
      </w:r>
      <w:r>
        <w:t>Awards</w:t>
      </w:r>
      <w:r w:rsidR="00BF059B">
        <w:t xml:space="preserve"> </w:t>
      </w:r>
      <w:r>
        <w:t>2025.</w:t>
      </w:r>
      <w:r w:rsidR="00BF059B">
        <w:t xml:space="preserve"> </w:t>
      </w:r>
    </w:p>
    <w:p w14:paraId="6C33C34B" w14:textId="77777777" w:rsidR="00BE13A8" w:rsidRDefault="00BE13A8">
      <w:pPr>
        <w:spacing w:line="252" w:lineRule="auto"/>
        <w:jc w:val="both"/>
        <w:rPr>
          <w:color w:val="FF0000"/>
        </w:rPr>
      </w:pPr>
    </w:p>
    <w:p w14:paraId="18D808B0" w14:textId="5111CB74" w:rsidR="00BE13A8" w:rsidRDefault="00D70530">
      <w:pPr>
        <w:spacing w:line="252" w:lineRule="auto"/>
        <w:jc w:val="both"/>
        <w:rPr>
          <w:color w:val="000000"/>
        </w:rPr>
      </w:pPr>
      <w:r>
        <w:rPr>
          <w:color w:val="000000"/>
        </w:rPr>
        <w:t>To</w:t>
      </w:r>
      <w:r w:rsidR="00BF059B">
        <w:rPr>
          <w:color w:val="000000"/>
        </w:rPr>
        <w:t xml:space="preserve"> </w:t>
      </w:r>
      <w:r>
        <w:rPr>
          <w:color w:val="000000"/>
        </w:rPr>
        <w:t>November,</w:t>
      </w:r>
      <w:r w:rsidR="00BF059B">
        <w:rPr>
          <w:color w:val="000000"/>
        </w:rPr>
        <w:t xml:space="preserve"> </w:t>
      </w:r>
      <w:r>
        <w:rPr>
          <w:color w:val="000000"/>
        </w:rPr>
        <w:t>the</w:t>
      </w:r>
      <w:r w:rsidR="00BF059B">
        <w:rPr>
          <w:color w:val="000000"/>
        </w:rPr>
        <w:t xml:space="preserve"> </w:t>
      </w:r>
      <w:r>
        <w:rPr>
          <w:color w:val="000000"/>
        </w:rPr>
        <w:t>Balcony</w:t>
      </w:r>
      <w:r w:rsidR="00BF059B">
        <w:rPr>
          <w:color w:val="000000"/>
        </w:rPr>
        <w:t xml:space="preserve"> </w:t>
      </w:r>
      <w:r>
        <w:rPr>
          <w:color w:val="000000"/>
        </w:rPr>
        <w:t>showcased</w:t>
      </w:r>
      <w:r w:rsidR="00BF059B">
        <w:rPr>
          <w:color w:val="000000"/>
        </w:rPr>
        <w:t xml:space="preserve"> </w:t>
      </w:r>
      <w:r>
        <w:rPr>
          <w:color w:val="000000"/>
        </w:rPr>
        <w:t>the</w:t>
      </w:r>
      <w:r w:rsidR="00BF059B">
        <w:rPr>
          <w:color w:val="000000"/>
        </w:rPr>
        <w:t xml:space="preserve"> </w:t>
      </w:r>
      <w:r>
        <w:rPr>
          <w:color w:val="000000"/>
        </w:rPr>
        <w:t>work</w:t>
      </w:r>
      <w:r w:rsidR="00BF059B">
        <w:rPr>
          <w:color w:val="000000"/>
        </w:rPr>
        <w:t xml:space="preserve"> </w:t>
      </w:r>
      <w:r>
        <w:rPr>
          <w:color w:val="000000"/>
        </w:rPr>
        <w:t>of</w:t>
      </w:r>
      <w:r w:rsidR="00BF059B">
        <w:rPr>
          <w:color w:val="000000"/>
        </w:rPr>
        <w:t xml:space="preserve"> </w:t>
      </w:r>
      <w:r>
        <w:rPr>
          <w:color w:val="000000"/>
        </w:rPr>
        <w:t>artist</w:t>
      </w:r>
      <w:r w:rsidR="00BF059B">
        <w:rPr>
          <w:color w:val="000000"/>
        </w:rPr>
        <w:t xml:space="preserve"> </w:t>
      </w:r>
      <w:r>
        <w:rPr>
          <w:color w:val="000000"/>
        </w:rPr>
        <w:t>Naomi</w:t>
      </w:r>
      <w:r w:rsidR="00BF059B">
        <w:rPr>
          <w:color w:val="000000"/>
        </w:rPr>
        <w:t xml:space="preserve"> </w:t>
      </w:r>
      <w:r>
        <w:rPr>
          <w:color w:val="000000"/>
        </w:rPr>
        <w:t>Hobson,</w:t>
      </w:r>
      <w:r w:rsidR="00BF059B">
        <w:rPr>
          <w:color w:val="000000"/>
        </w:rPr>
        <w:t xml:space="preserve"> </w:t>
      </w:r>
      <w:r>
        <w:rPr>
          <w:color w:val="000000"/>
        </w:rPr>
        <w:t>with</w:t>
      </w:r>
      <w:r w:rsidR="00BF059B">
        <w:rPr>
          <w:color w:val="000000"/>
        </w:rPr>
        <w:t xml:space="preserve"> </w:t>
      </w:r>
      <w:r>
        <w:rPr>
          <w:color w:val="000000"/>
        </w:rPr>
        <w:t>a</w:t>
      </w:r>
      <w:r w:rsidR="00BF059B">
        <w:rPr>
          <w:color w:val="000000"/>
        </w:rPr>
        <w:t xml:space="preserve"> </w:t>
      </w:r>
      <w:r>
        <w:rPr>
          <w:color w:val="000000"/>
        </w:rPr>
        <w:t>show</w:t>
      </w:r>
      <w:r w:rsidR="00BF059B">
        <w:rPr>
          <w:color w:val="000000"/>
        </w:rPr>
        <w:t xml:space="preserve"> </w:t>
      </w:r>
      <w:r>
        <w:rPr>
          <w:color w:val="000000"/>
        </w:rPr>
        <w:t>entitled</w:t>
      </w:r>
      <w:r w:rsidR="00BF059B">
        <w:rPr>
          <w:color w:val="000000"/>
        </w:rPr>
        <w:t xml:space="preserve"> </w:t>
      </w:r>
      <w:r>
        <w:rPr>
          <w:b/>
          <w:color w:val="000000"/>
        </w:rPr>
        <w:t>Adolescent</w:t>
      </w:r>
      <w:r w:rsidR="00BF059B">
        <w:rPr>
          <w:b/>
          <w:color w:val="000000"/>
        </w:rPr>
        <w:t xml:space="preserve"> </w:t>
      </w:r>
      <w:r>
        <w:rPr>
          <w:b/>
          <w:color w:val="000000"/>
        </w:rPr>
        <w:t>Wonderland.</w:t>
      </w:r>
      <w:r w:rsidR="00BF059B">
        <w:rPr>
          <w:b/>
          <w:color w:val="000000"/>
        </w:rPr>
        <w:t xml:space="preserve"> </w:t>
      </w:r>
      <w:r>
        <w:rPr>
          <w:color w:val="000000"/>
        </w:rPr>
        <w:t>The</w:t>
      </w:r>
      <w:r w:rsidR="00BF059B">
        <w:rPr>
          <w:color w:val="000000"/>
        </w:rPr>
        <w:t xml:space="preserve"> </w:t>
      </w:r>
      <w:r>
        <w:rPr>
          <w:color w:val="000000"/>
        </w:rPr>
        <w:t>photographs</w:t>
      </w:r>
      <w:r w:rsidR="00BF059B">
        <w:rPr>
          <w:color w:val="000000"/>
        </w:rPr>
        <w:t xml:space="preserve"> </w:t>
      </w:r>
      <w:r>
        <w:rPr>
          <w:color w:val="000000"/>
        </w:rPr>
        <w:t>explored</w:t>
      </w:r>
      <w:r w:rsidR="00BF059B">
        <w:rPr>
          <w:color w:val="000000"/>
        </w:rPr>
        <w:t xml:space="preserve"> </w:t>
      </w:r>
      <w:r>
        <w:rPr>
          <w:color w:val="000000"/>
        </w:rPr>
        <w:t>the</w:t>
      </w:r>
      <w:r w:rsidR="00BF059B">
        <w:rPr>
          <w:color w:val="000000"/>
        </w:rPr>
        <w:t xml:space="preserve"> </w:t>
      </w:r>
      <w:r>
        <w:rPr>
          <w:color w:val="000000"/>
        </w:rPr>
        <w:t>inherent</w:t>
      </w:r>
      <w:r w:rsidR="00BF059B">
        <w:rPr>
          <w:color w:val="000000"/>
        </w:rPr>
        <w:t xml:space="preserve"> </w:t>
      </w:r>
      <w:r>
        <w:rPr>
          <w:color w:val="000000"/>
        </w:rPr>
        <w:t>energy</w:t>
      </w:r>
      <w:r w:rsidR="00BF059B">
        <w:rPr>
          <w:color w:val="000000"/>
        </w:rPr>
        <w:t xml:space="preserve"> </w:t>
      </w:r>
      <w:r>
        <w:rPr>
          <w:color w:val="000000"/>
        </w:rPr>
        <w:t>of</w:t>
      </w:r>
      <w:r w:rsidR="00BF059B">
        <w:rPr>
          <w:color w:val="000000"/>
        </w:rPr>
        <w:t xml:space="preserve"> </w:t>
      </w:r>
      <w:r>
        <w:rPr>
          <w:color w:val="000000"/>
        </w:rPr>
        <w:t>young</w:t>
      </w:r>
      <w:r w:rsidR="00BF059B">
        <w:rPr>
          <w:color w:val="000000"/>
        </w:rPr>
        <w:t xml:space="preserve"> </w:t>
      </w:r>
      <w:r>
        <w:rPr>
          <w:color w:val="000000"/>
        </w:rPr>
        <w:t>people</w:t>
      </w:r>
      <w:r w:rsidR="00BF059B">
        <w:rPr>
          <w:color w:val="000000"/>
        </w:rPr>
        <w:t xml:space="preserve"> </w:t>
      </w:r>
      <w:r>
        <w:rPr>
          <w:color w:val="000000"/>
        </w:rPr>
        <w:t>in</w:t>
      </w:r>
      <w:r w:rsidR="00BF059B">
        <w:rPr>
          <w:color w:val="000000"/>
        </w:rPr>
        <w:t xml:space="preserve"> </w:t>
      </w:r>
      <w:r>
        <w:rPr>
          <w:color w:val="000000"/>
        </w:rPr>
        <w:t>Naomi’s</w:t>
      </w:r>
      <w:r w:rsidR="00BF059B">
        <w:rPr>
          <w:color w:val="000000"/>
        </w:rPr>
        <w:t xml:space="preserve"> </w:t>
      </w:r>
      <w:r>
        <w:rPr>
          <w:color w:val="000000"/>
        </w:rPr>
        <w:t>home</w:t>
      </w:r>
      <w:r w:rsidR="00BF059B">
        <w:rPr>
          <w:color w:val="000000"/>
        </w:rPr>
        <w:t xml:space="preserve"> </w:t>
      </w:r>
      <w:r>
        <w:rPr>
          <w:color w:val="000000"/>
        </w:rPr>
        <w:t>community</w:t>
      </w:r>
      <w:r w:rsidR="00BF059B">
        <w:rPr>
          <w:color w:val="000000"/>
        </w:rPr>
        <w:t xml:space="preserve"> </w:t>
      </w:r>
      <w:r>
        <w:rPr>
          <w:color w:val="000000"/>
        </w:rPr>
        <w:t>of</w:t>
      </w:r>
      <w:r w:rsidR="00BF059B">
        <w:rPr>
          <w:color w:val="000000"/>
        </w:rPr>
        <w:t xml:space="preserve"> </w:t>
      </w:r>
      <w:r>
        <w:rPr>
          <w:color w:val="000000"/>
        </w:rPr>
        <w:t>Coen,</w:t>
      </w:r>
      <w:r w:rsidR="00BF059B">
        <w:rPr>
          <w:color w:val="000000"/>
        </w:rPr>
        <w:t xml:space="preserve"> </w:t>
      </w:r>
      <w:r>
        <w:rPr>
          <w:color w:val="000000"/>
        </w:rPr>
        <w:t>Cape</w:t>
      </w:r>
      <w:r w:rsidR="00BF059B">
        <w:rPr>
          <w:color w:val="000000"/>
        </w:rPr>
        <w:t xml:space="preserve"> </w:t>
      </w:r>
      <w:r>
        <w:rPr>
          <w:color w:val="000000"/>
        </w:rPr>
        <w:t>York,</w:t>
      </w:r>
      <w:r w:rsidR="00BF059B">
        <w:rPr>
          <w:color w:val="000000"/>
        </w:rPr>
        <w:t xml:space="preserve"> </w:t>
      </w:r>
      <w:r>
        <w:rPr>
          <w:color w:val="000000"/>
        </w:rPr>
        <w:t>Queensland,</w:t>
      </w:r>
      <w:r w:rsidR="00BF059B">
        <w:rPr>
          <w:color w:val="000000"/>
        </w:rPr>
        <w:t xml:space="preserve"> </w:t>
      </w:r>
      <w:r>
        <w:rPr>
          <w:color w:val="000000"/>
        </w:rPr>
        <w:t>expressing</w:t>
      </w:r>
      <w:r w:rsidR="00BF059B">
        <w:rPr>
          <w:color w:val="000000"/>
        </w:rPr>
        <w:t xml:space="preserve"> </w:t>
      </w:r>
      <w:r>
        <w:rPr>
          <w:color w:val="000000"/>
        </w:rPr>
        <w:t>their</w:t>
      </w:r>
      <w:r w:rsidR="00BF059B">
        <w:rPr>
          <w:color w:val="000000"/>
        </w:rPr>
        <w:t xml:space="preserve"> </w:t>
      </w:r>
      <w:r>
        <w:rPr>
          <w:color w:val="000000"/>
        </w:rPr>
        <w:t>individuality,</w:t>
      </w:r>
      <w:r w:rsidR="00BF059B">
        <w:rPr>
          <w:color w:val="000000"/>
        </w:rPr>
        <w:t xml:space="preserve"> </w:t>
      </w:r>
      <w:r>
        <w:rPr>
          <w:color w:val="000000"/>
        </w:rPr>
        <w:t>inner</w:t>
      </w:r>
      <w:r w:rsidR="00BF059B">
        <w:rPr>
          <w:color w:val="000000"/>
        </w:rPr>
        <w:t xml:space="preserve"> </w:t>
      </w:r>
      <w:r>
        <w:rPr>
          <w:color w:val="000000"/>
        </w:rPr>
        <w:t>beauty,</w:t>
      </w:r>
      <w:r w:rsidR="00BF059B">
        <w:rPr>
          <w:color w:val="000000"/>
        </w:rPr>
        <w:t xml:space="preserve"> </w:t>
      </w:r>
      <w:r>
        <w:rPr>
          <w:color w:val="000000"/>
        </w:rPr>
        <w:t>strength</w:t>
      </w:r>
      <w:r w:rsidR="00BF059B">
        <w:rPr>
          <w:color w:val="000000"/>
        </w:rPr>
        <w:t xml:space="preserve"> </w:t>
      </w:r>
      <w:r>
        <w:rPr>
          <w:color w:val="000000"/>
        </w:rPr>
        <w:t>and</w:t>
      </w:r>
      <w:r w:rsidR="00BF059B">
        <w:rPr>
          <w:color w:val="000000"/>
        </w:rPr>
        <w:t xml:space="preserve"> </w:t>
      </w:r>
      <w:r>
        <w:rPr>
          <w:color w:val="000000"/>
        </w:rPr>
        <w:t>love.</w:t>
      </w:r>
      <w:r w:rsidR="00BF059B">
        <w:rPr>
          <w:color w:val="000000"/>
        </w:rPr>
        <w:t xml:space="preserve"> </w:t>
      </w:r>
      <w:r>
        <w:rPr>
          <w:color w:val="000000"/>
        </w:rPr>
        <w:t>Naomi</w:t>
      </w:r>
      <w:r w:rsidR="00BF059B">
        <w:rPr>
          <w:color w:val="000000"/>
        </w:rPr>
        <w:t xml:space="preserve"> </w:t>
      </w:r>
      <w:r>
        <w:rPr>
          <w:color w:val="000000"/>
        </w:rPr>
        <w:t>empowered</w:t>
      </w:r>
      <w:r w:rsidR="00BF059B">
        <w:rPr>
          <w:color w:val="000000"/>
        </w:rPr>
        <w:t xml:space="preserve"> </w:t>
      </w:r>
      <w:r>
        <w:rPr>
          <w:color w:val="000000"/>
        </w:rPr>
        <w:t>the</w:t>
      </w:r>
      <w:r w:rsidR="00BF059B">
        <w:rPr>
          <w:color w:val="000000"/>
        </w:rPr>
        <w:t xml:space="preserve"> </w:t>
      </w:r>
      <w:r>
        <w:rPr>
          <w:color w:val="000000"/>
        </w:rPr>
        <w:t>young</w:t>
      </w:r>
      <w:r w:rsidR="00BF059B">
        <w:rPr>
          <w:color w:val="000000"/>
        </w:rPr>
        <w:t xml:space="preserve"> </w:t>
      </w:r>
      <w:r>
        <w:rPr>
          <w:color w:val="000000"/>
        </w:rPr>
        <w:t>people</w:t>
      </w:r>
      <w:r w:rsidR="00BF059B">
        <w:rPr>
          <w:color w:val="000000"/>
        </w:rPr>
        <w:t xml:space="preserve"> </w:t>
      </w:r>
      <w:r>
        <w:rPr>
          <w:color w:val="000000"/>
        </w:rPr>
        <w:t>to</w:t>
      </w:r>
      <w:r w:rsidR="00BF059B">
        <w:rPr>
          <w:color w:val="000000"/>
        </w:rPr>
        <w:t xml:space="preserve"> </w:t>
      </w:r>
      <w:r>
        <w:rPr>
          <w:color w:val="000000"/>
        </w:rPr>
        <w:t>lead</w:t>
      </w:r>
      <w:r w:rsidR="00BF059B">
        <w:rPr>
          <w:color w:val="000000"/>
        </w:rPr>
        <w:t xml:space="preserve"> </w:t>
      </w:r>
      <w:r>
        <w:rPr>
          <w:color w:val="000000"/>
        </w:rPr>
        <w:t>their</w:t>
      </w:r>
      <w:r w:rsidR="00BF059B">
        <w:rPr>
          <w:color w:val="000000"/>
        </w:rPr>
        <w:t xml:space="preserve"> </w:t>
      </w:r>
      <w:r>
        <w:rPr>
          <w:color w:val="000000"/>
        </w:rPr>
        <w:t>own</w:t>
      </w:r>
      <w:r w:rsidR="00BF059B">
        <w:rPr>
          <w:color w:val="000000"/>
        </w:rPr>
        <w:t xml:space="preserve"> </w:t>
      </w:r>
      <w:r>
        <w:rPr>
          <w:color w:val="000000"/>
        </w:rPr>
        <w:t>narratives</w:t>
      </w:r>
      <w:r w:rsidR="00BF059B">
        <w:rPr>
          <w:color w:val="000000"/>
        </w:rPr>
        <w:t xml:space="preserve"> </w:t>
      </w:r>
      <w:r>
        <w:rPr>
          <w:color w:val="000000"/>
        </w:rPr>
        <w:t>and</w:t>
      </w:r>
      <w:r w:rsidR="00BF059B">
        <w:rPr>
          <w:color w:val="000000"/>
        </w:rPr>
        <w:t xml:space="preserve"> </w:t>
      </w:r>
      <w:r>
        <w:rPr>
          <w:color w:val="000000"/>
        </w:rPr>
        <w:t>confront</w:t>
      </w:r>
      <w:r w:rsidR="00BF059B">
        <w:rPr>
          <w:color w:val="000000"/>
        </w:rPr>
        <w:t xml:space="preserve"> </w:t>
      </w:r>
      <w:r>
        <w:rPr>
          <w:color w:val="000000"/>
        </w:rPr>
        <w:t>misconceptions</w:t>
      </w:r>
      <w:r w:rsidR="00BF059B">
        <w:rPr>
          <w:color w:val="000000"/>
        </w:rPr>
        <w:t xml:space="preserve"> </w:t>
      </w:r>
      <w:r>
        <w:rPr>
          <w:color w:val="000000"/>
        </w:rPr>
        <w:t>about</w:t>
      </w:r>
      <w:r w:rsidR="00BF059B">
        <w:rPr>
          <w:color w:val="000000"/>
        </w:rPr>
        <w:t xml:space="preserve"> </w:t>
      </w:r>
      <w:r>
        <w:rPr>
          <w:color w:val="000000"/>
        </w:rPr>
        <w:t>how</w:t>
      </w:r>
      <w:r w:rsidR="00BF059B">
        <w:rPr>
          <w:color w:val="000000"/>
        </w:rPr>
        <w:t xml:space="preserve"> </w:t>
      </w:r>
      <w:r>
        <w:rPr>
          <w:color w:val="000000"/>
        </w:rPr>
        <w:t>they</w:t>
      </w:r>
      <w:r w:rsidR="00BF059B">
        <w:rPr>
          <w:color w:val="000000"/>
        </w:rPr>
        <w:t xml:space="preserve"> </w:t>
      </w:r>
      <w:r>
        <w:rPr>
          <w:color w:val="000000"/>
        </w:rPr>
        <w:t>are</w:t>
      </w:r>
      <w:r w:rsidR="00BF059B">
        <w:rPr>
          <w:color w:val="000000"/>
        </w:rPr>
        <w:t xml:space="preserve"> </w:t>
      </w:r>
      <w:r>
        <w:rPr>
          <w:color w:val="000000"/>
        </w:rPr>
        <w:t>represented.</w:t>
      </w:r>
      <w:r w:rsidR="00BF059B">
        <w:rPr>
          <w:color w:val="000000"/>
        </w:rPr>
        <w:t xml:space="preserve"> </w:t>
      </w:r>
    </w:p>
    <w:p w14:paraId="32D205E8" w14:textId="77777777" w:rsidR="00BE13A8" w:rsidRDefault="00BE13A8">
      <w:pPr>
        <w:spacing w:line="252" w:lineRule="auto"/>
        <w:jc w:val="both"/>
        <w:rPr>
          <w:color w:val="000000"/>
        </w:rPr>
      </w:pPr>
    </w:p>
    <w:p w14:paraId="3E395113" w14:textId="2928ACC5" w:rsidR="00BE13A8" w:rsidRDefault="00D70530">
      <w:pPr>
        <w:spacing w:line="252" w:lineRule="auto"/>
        <w:jc w:val="both"/>
        <w:rPr>
          <w:color w:val="000000"/>
        </w:rPr>
      </w:pPr>
      <w:r>
        <w:rPr>
          <w:color w:val="000000"/>
        </w:rPr>
        <w:t>In</w:t>
      </w:r>
      <w:r w:rsidR="00BF059B">
        <w:rPr>
          <w:color w:val="000000"/>
        </w:rPr>
        <w:t xml:space="preserve"> </w:t>
      </w:r>
      <w:r>
        <w:rPr>
          <w:color w:val="000000"/>
        </w:rPr>
        <w:t>December,</w:t>
      </w:r>
      <w:r w:rsidR="00BF059B">
        <w:rPr>
          <w:color w:val="000000"/>
        </w:rPr>
        <w:t xml:space="preserve"> </w:t>
      </w:r>
      <w:r>
        <w:rPr>
          <w:color w:val="000000"/>
        </w:rPr>
        <w:t>we</w:t>
      </w:r>
      <w:r w:rsidR="00BF059B">
        <w:rPr>
          <w:color w:val="000000"/>
        </w:rPr>
        <w:t xml:space="preserve"> </w:t>
      </w:r>
      <w:r>
        <w:rPr>
          <w:color w:val="000000"/>
        </w:rPr>
        <w:t>opened</w:t>
      </w:r>
      <w:r w:rsidR="00BF059B">
        <w:rPr>
          <w:color w:val="000000"/>
        </w:rPr>
        <w:t xml:space="preserve"> </w:t>
      </w:r>
      <w:r>
        <w:rPr>
          <w:color w:val="000000"/>
        </w:rPr>
        <w:t>a</w:t>
      </w:r>
      <w:r w:rsidR="00BF059B">
        <w:rPr>
          <w:color w:val="000000"/>
        </w:rPr>
        <w:t xml:space="preserve"> </w:t>
      </w:r>
      <w:r>
        <w:rPr>
          <w:color w:val="000000"/>
        </w:rPr>
        <w:t>new</w:t>
      </w:r>
      <w:r w:rsidR="00BF059B">
        <w:rPr>
          <w:color w:val="000000"/>
        </w:rPr>
        <w:t xml:space="preserve"> </w:t>
      </w:r>
      <w:r>
        <w:rPr>
          <w:color w:val="000000"/>
        </w:rPr>
        <w:t>display</w:t>
      </w:r>
      <w:r w:rsidR="00BF059B">
        <w:rPr>
          <w:color w:val="000000"/>
        </w:rPr>
        <w:t xml:space="preserve"> </w:t>
      </w:r>
      <w:r>
        <w:rPr>
          <w:color w:val="000000"/>
        </w:rPr>
        <w:t>in</w:t>
      </w:r>
      <w:r w:rsidR="00BF059B">
        <w:rPr>
          <w:color w:val="000000"/>
        </w:rPr>
        <w:t xml:space="preserve"> </w:t>
      </w:r>
      <w:r>
        <w:rPr>
          <w:color w:val="000000"/>
        </w:rPr>
        <w:t>the</w:t>
      </w:r>
      <w:r w:rsidR="00BF059B">
        <w:rPr>
          <w:color w:val="000000"/>
        </w:rPr>
        <w:t xml:space="preserve"> </w:t>
      </w:r>
      <w:r>
        <w:rPr>
          <w:color w:val="000000"/>
        </w:rPr>
        <w:t>World</w:t>
      </w:r>
      <w:r w:rsidR="00BF059B">
        <w:rPr>
          <w:color w:val="000000"/>
        </w:rPr>
        <w:t xml:space="preserve"> </w:t>
      </w:r>
      <w:r>
        <w:rPr>
          <w:color w:val="000000"/>
        </w:rPr>
        <w:t>Gallery</w:t>
      </w:r>
      <w:r w:rsidR="00BF059B">
        <w:rPr>
          <w:color w:val="000000"/>
        </w:rPr>
        <w:t xml:space="preserve"> </w:t>
      </w:r>
      <w:r>
        <w:rPr>
          <w:color w:val="000000"/>
        </w:rPr>
        <w:t>on</w:t>
      </w:r>
      <w:r w:rsidR="00BF059B">
        <w:rPr>
          <w:color w:val="000000"/>
        </w:rPr>
        <w:t xml:space="preserve"> </w:t>
      </w:r>
      <w:r>
        <w:rPr>
          <w:color w:val="000000"/>
        </w:rPr>
        <w:t>the</w:t>
      </w:r>
      <w:r w:rsidR="00BF059B">
        <w:rPr>
          <w:color w:val="000000"/>
        </w:rPr>
        <w:t xml:space="preserve"> </w:t>
      </w:r>
      <w:r>
        <w:rPr>
          <w:b/>
          <w:color w:val="000000"/>
        </w:rPr>
        <w:t>Great</w:t>
      </w:r>
      <w:r w:rsidR="00BF059B">
        <w:rPr>
          <w:b/>
          <w:color w:val="000000"/>
        </w:rPr>
        <w:t xml:space="preserve"> </w:t>
      </w:r>
      <w:r>
        <w:rPr>
          <w:b/>
          <w:color w:val="000000"/>
        </w:rPr>
        <w:t>Kingdom</w:t>
      </w:r>
      <w:r w:rsidR="00BF059B">
        <w:rPr>
          <w:b/>
          <w:color w:val="000000"/>
        </w:rPr>
        <w:t xml:space="preserve"> </w:t>
      </w:r>
      <w:r>
        <w:rPr>
          <w:b/>
          <w:color w:val="000000"/>
        </w:rPr>
        <w:t>of</w:t>
      </w:r>
      <w:r w:rsidR="00BF059B">
        <w:rPr>
          <w:b/>
          <w:color w:val="000000"/>
        </w:rPr>
        <w:t xml:space="preserve"> </w:t>
      </w:r>
      <w:r>
        <w:rPr>
          <w:b/>
          <w:color w:val="000000"/>
        </w:rPr>
        <w:t>Benin</w:t>
      </w:r>
      <w:r>
        <w:rPr>
          <w:color w:val="000000"/>
        </w:rPr>
        <w:t>,</w:t>
      </w:r>
      <w:r w:rsidR="00BF059B">
        <w:rPr>
          <w:color w:val="000000"/>
        </w:rPr>
        <w:t xml:space="preserve"> </w:t>
      </w:r>
      <w:r>
        <w:rPr>
          <w:color w:val="000000"/>
        </w:rPr>
        <w:t>co-developed</w:t>
      </w:r>
      <w:r w:rsidR="00BF059B">
        <w:rPr>
          <w:color w:val="000000"/>
        </w:rPr>
        <w:t xml:space="preserve"> </w:t>
      </w:r>
      <w:r>
        <w:rPr>
          <w:color w:val="000000"/>
        </w:rPr>
        <w:t>with</w:t>
      </w:r>
      <w:r w:rsidR="00BF059B">
        <w:rPr>
          <w:color w:val="000000"/>
        </w:rPr>
        <w:t xml:space="preserve"> </w:t>
      </w:r>
      <w:r>
        <w:rPr>
          <w:color w:val="000000"/>
        </w:rPr>
        <w:t>partners,</w:t>
      </w:r>
      <w:r w:rsidR="00BF059B">
        <w:rPr>
          <w:color w:val="000000"/>
        </w:rPr>
        <w:t xml:space="preserve"> </w:t>
      </w:r>
      <w:r>
        <w:rPr>
          <w:color w:val="000000"/>
        </w:rPr>
        <w:t>creatives</w:t>
      </w:r>
      <w:r w:rsidR="00BF059B">
        <w:rPr>
          <w:color w:val="000000"/>
        </w:rPr>
        <w:t xml:space="preserve"> </w:t>
      </w:r>
      <w:r>
        <w:rPr>
          <w:color w:val="000000"/>
        </w:rPr>
        <w:t>and</w:t>
      </w:r>
      <w:r w:rsidR="00BF059B">
        <w:rPr>
          <w:color w:val="000000"/>
        </w:rPr>
        <w:t xml:space="preserve"> </w:t>
      </w:r>
      <w:r>
        <w:rPr>
          <w:color w:val="000000"/>
        </w:rPr>
        <w:t>young</w:t>
      </w:r>
      <w:r w:rsidR="00BF059B">
        <w:rPr>
          <w:color w:val="000000"/>
        </w:rPr>
        <w:t xml:space="preserve"> </w:t>
      </w:r>
      <w:r>
        <w:rPr>
          <w:color w:val="000000"/>
        </w:rPr>
        <w:t>people</w:t>
      </w:r>
      <w:r w:rsidR="00BF059B">
        <w:rPr>
          <w:color w:val="000000"/>
        </w:rPr>
        <w:t xml:space="preserve"> </w:t>
      </w:r>
      <w:r>
        <w:rPr>
          <w:color w:val="000000"/>
        </w:rPr>
        <w:t>in</w:t>
      </w:r>
      <w:r w:rsidR="00BF059B">
        <w:rPr>
          <w:color w:val="000000"/>
        </w:rPr>
        <w:t xml:space="preserve"> </w:t>
      </w:r>
      <w:r>
        <w:rPr>
          <w:color w:val="000000"/>
        </w:rPr>
        <w:t>London</w:t>
      </w:r>
      <w:r w:rsidR="00BF059B">
        <w:rPr>
          <w:color w:val="000000"/>
        </w:rPr>
        <w:t xml:space="preserve"> </w:t>
      </w:r>
      <w:r>
        <w:rPr>
          <w:color w:val="000000"/>
        </w:rPr>
        <w:t>and</w:t>
      </w:r>
      <w:r w:rsidR="00BF059B">
        <w:rPr>
          <w:color w:val="000000"/>
        </w:rPr>
        <w:t xml:space="preserve"> </w:t>
      </w:r>
      <w:r>
        <w:rPr>
          <w:color w:val="000000"/>
        </w:rPr>
        <w:t>Nigeria</w:t>
      </w:r>
      <w:r w:rsidR="00BF059B">
        <w:rPr>
          <w:color w:val="000000"/>
        </w:rPr>
        <w:t xml:space="preserve"> </w:t>
      </w:r>
      <w:r>
        <w:rPr>
          <w:color w:val="000000"/>
        </w:rPr>
        <w:t>to</w:t>
      </w:r>
      <w:r w:rsidR="00BF059B">
        <w:rPr>
          <w:color w:val="000000"/>
        </w:rPr>
        <w:t xml:space="preserve"> </w:t>
      </w:r>
      <w:r>
        <w:rPr>
          <w:color w:val="000000"/>
        </w:rPr>
        <w:t>explore</w:t>
      </w:r>
      <w:r w:rsidR="00BF059B">
        <w:rPr>
          <w:color w:val="000000"/>
        </w:rPr>
        <w:t xml:space="preserve"> </w:t>
      </w:r>
      <w:r>
        <w:rPr>
          <w:color w:val="000000"/>
        </w:rPr>
        <w:t>the</w:t>
      </w:r>
      <w:r w:rsidR="00BF059B">
        <w:rPr>
          <w:color w:val="000000"/>
        </w:rPr>
        <w:t xml:space="preserve"> </w:t>
      </w:r>
      <w:r>
        <w:rPr>
          <w:color w:val="000000"/>
        </w:rPr>
        <w:t>past,</w:t>
      </w:r>
      <w:r w:rsidR="00BF059B">
        <w:rPr>
          <w:color w:val="000000"/>
        </w:rPr>
        <w:t xml:space="preserve"> </w:t>
      </w:r>
      <w:r>
        <w:rPr>
          <w:color w:val="000000"/>
        </w:rPr>
        <w:t>present</w:t>
      </w:r>
      <w:r w:rsidR="00BF059B">
        <w:rPr>
          <w:color w:val="000000"/>
        </w:rPr>
        <w:t xml:space="preserve"> </w:t>
      </w:r>
      <w:r>
        <w:rPr>
          <w:color w:val="000000"/>
        </w:rPr>
        <w:t>and</w:t>
      </w:r>
      <w:r w:rsidR="00BF059B">
        <w:rPr>
          <w:color w:val="000000"/>
        </w:rPr>
        <w:t xml:space="preserve"> </w:t>
      </w:r>
      <w:r>
        <w:rPr>
          <w:color w:val="000000"/>
        </w:rPr>
        <w:t>future</w:t>
      </w:r>
      <w:r w:rsidR="00BF059B">
        <w:rPr>
          <w:color w:val="000000"/>
        </w:rPr>
        <w:t xml:space="preserve"> </w:t>
      </w:r>
      <w:r>
        <w:rPr>
          <w:color w:val="000000"/>
        </w:rPr>
        <w:t>of</w:t>
      </w:r>
      <w:r w:rsidR="00BF059B">
        <w:rPr>
          <w:color w:val="000000"/>
        </w:rPr>
        <w:t xml:space="preserve"> </w:t>
      </w:r>
      <w:r>
        <w:rPr>
          <w:color w:val="000000"/>
        </w:rPr>
        <w:t>Benin</w:t>
      </w:r>
      <w:r w:rsidR="00BF059B">
        <w:rPr>
          <w:color w:val="000000"/>
        </w:rPr>
        <w:t xml:space="preserve"> </w:t>
      </w:r>
      <w:r>
        <w:rPr>
          <w:color w:val="000000"/>
        </w:rPr>
        <w:t>City.</w:t>
      </w:r>
      <w:r w:rsidR="00BF059B">
        <w:rPr>
          <w:color w:val="000000"/>
        </w:rPr>
        <w:t xml:space="preserve"> </w:t>
      </w:r>
      <w:r>
        <w:rPr>
          <w:color w:val="000000"/>
        </w:rPr>
        <w:t>This</w:t>
      </w:r>
      <w:r w:rsidR="00BF059B">
        <w:rPr>
          <w:color w:val="000000"/>
        </w:rPr>
        <w:t xml:space="preserve"> </w:t>
      </w:r>
      <w:r>
        <w:rPr>
          <w:color w:val="000000"/>
        </w:rPr>
        <w:t>was</w:t>
      </w:r>
      <w:r w:rsidR="00BF059B">
        <w:rPr>
          <w:color w:val="000000"/>
        </w:rPr>
        <w:t xml:space="preserve"> </w:t>
      </w:r>
      <w:r>
        <w:rPr>
          <w:color w:val="000000"/>
        </w:rPr>
        <w:t>accompanied</w:t>
      </w:r>
      <w:r w:rsidR="00BF059B">
        <w:rPr>
          <w:color w:val="000000"/>
        </w:rPr>
        <w:t xml:space="preserve"> </w:t>
      </w:r>
      <w:r>
        <w:rPr>
          <w:color w:val="000000"/>
        </w:rPr>
        <w:t>by</w:t>
      </w:r>
      <w:r w:rsidR="00BF059B">
        <w:rPr>
          <w:color w:val="000000"/>
        </w:rPr>
        <w:t xml:space="preserve"> </w:t>
      </w:r>
      <w:r>
        <w:rPr>
          <w:color w:val="000000"/>
        </w:rPr>
        <w:t>Out</w:t>
      </w:r>
      <w:r w:rsidR="00BF059B">
        <w:rPr>
          <w:color w:val="000000"/>
        </w:rPr>
        <w:t xml:space="preserve"> </w:t>
      </w:r>
      <w:r>
        <w:rPr>
          <w:color w:val="000000"/>
        </w:rPr>
        <w:t>of</w:t>
      </w:r>
      <w:r w:rsidR="00BF059B">
        <w:rPr>
          <w:color w:val="000000"/>
        </w:rPr>
        <w:t xml:space="preserve"> </w:t>
      </w:r>
      <w:r>
        <w:rPr>
          <w:color w:val="000000"/>
        </w:rPr>
        <w:t>Context,</w:t>
      </w:r>
      <w:r w:rsidR="00BF059B">
        <w:rPr>
          <w:color w:val="000000"/>
        </w:rPr>
        <w:t xml:space="preserve"> </w:t>
      </w:r>
      <w:r>
        <w:rPr>
          <w:color w:val="000000"/>
        </w:rPr>
        <w:t>a</w:t>
      </w:r>
      <w:r w:rsidR="00BF059B">
        <w:rPr>
          <w:color w:val="000000"/>
        </w:rPr>
        <w:t xml:space="preserve"> </w:t>
      </w:r>
      <w:r>
        <w:rPr>
          <w:color w:val="000000"/>
        </w:rPr>
        <w:t>Balcony</w:t>
      </w:r>
      <w:r w:rsidR="00BF059B">
        <w:rPr>
          <w:color w:val="000000"/>
        </w:rPr>
        <w:t xml:space="preserve"> </w:t>
      </w:r>
      <w:r>
        <w:rPr>
          <w:color w:val="000000"/>
        </w:rPr>
        <w:t>exhibition</w:t>
      </w:r>
      <w:r w:rsidR="00BF059B">
        <w:rPr>
          <w:color w:val="000000"/>
        </w:rPr>
        <w:t xml:space="preserve"> </w:t>
      </w:r>
      <w:r>
        <w:rPr>
          <w:color w:val="000000"/>
        </w:rPr>
        <w:t>in</w:t>
      </w:r>
      <w:r w:rsidR="00BF059B">
        <w:rPr>
          <w:color w:val="000000"/>
        </w:rPr>
        <w:t xml:space="preserve"> </w:t>
      </w:r>
      <w:r>
        <w:rPr>
          <w:color w:val="000000"/>
        </w:rPr>
        <w:t>partnership</w:t>
      </w:r>
      <w:r w:rsidR="00BF059B">
        <w:rPr>
          <w:color w:val="000000"/>
        </w:rPr>
        <w:t xml:space="preserve"> </w:t>
      </w:r>
      <w:r>
        <w:rPr>
          <w:color w:val="000000"/>
        </w:rPr>
        <w:t>with</w:t>
      </w:r>
      <w:r w:rsidR="00BF059B">
        <w:rPr>
          <w:color w:val="000000"/>
        </w:rPr>
        <w:t xml:space="preserve"> </w:t>
      </w:r>
      <w:proofErr w:type="spellStart"/>
      <w:r>
        <w:rPr>
          <w:color w:val="000000"/>
        </w:rPr>
        <w:t>Yellowzine</w:t>
      </w:r>
      <w:proofErr w:type="spellEnd"/>
      <w:r>
        <w:rPr>
          <w:color w:val="000000"/>
        </w:rPr>
        <w:t>,</w:t>
      </w:r>
      <w:r w:rsidR="00BF059B">
        <w:rPr>
          <w:color w:val="000000"/>
        </w:rPr>
        <w:t xml:space="preserve"> </w:t>
      </w:r>
      <w:r>
        <w:rPr>
          <w:color w:val="000000"/>
        </w:rPr>
        <w:t>that</w:t>
      </w:r>
      <w:r w:rsidR="00BF059B">
        <w:rPr>
          <w:color w:val="000000"/>
        </w:rPr>
        <w:t xml:space="preserve"> </w:t>
      </w:r>
      <w:r>
        <w:rPr>
          <w:color w:val="000000"/>
        </w:rPr>
        <w:t>challenged</w:t>
      </w:r>
      <w:r w:rsidR="00BF059B">
        <w:rPr>
          <w:color w:val="000000"/>
        </w:rPr>
        <w:t xml:space="preserve"> </w:t>
      </w:r>
      <w:r>
        <w:rPr>
          <w:color w:val="000000"/>
        </w:rPr>
        <w:t>the</w:t>
      </w:r>
      <w:r w:rsidR="00BF059B">
        <w:rPr>
          <w:color w:val="000000"/>
        </w:rPr>
        <w:t xml:space="preserve"> </w:t>
      </w:r>
      <w:r>
        <w:rPr>
          <w:color w:val="000000"/>
        </w:rPr>
        <w:t>perception</w:t>
      </w:r>
      <w:r w:rsidR="00BF059B">
        <w:rPr>
          <w:color w:val="000000"/>
        </w:rPr>
        <w:t xml:space="preserve"> </w:t>
      </w:r>
      <w:r>
        <w:rPr>
          <w:color w:val="000000"/>
        </w:rPr>
        <w:t>of</w:t>
      </w:r>
      <w:r w:rsidR="00BF059B">
        <w:rPr>
          <w:color w:val="000000"/>
        </w:rPr>
        <w:t xml:space="preserve"> </w:t>
      </w:r>
      <w:r>
        <w:rPr>
          <w:color w:val="000000"/>
        </w:rPr>
        <w:t>West</w:t>
      </w:r>
      <w:r w:rsidR="00BF059B">
        <w:rPr>
          <w:color w:val="000000"/>
        </w:rPr>
        <w:t xml:space="preserve"> </w:t>
      </w:r>
      <w:r>
        <w:rPr>
          <w:color w:val="000000"/>
        </w:rPr>
        <w:t>African</w:t>
      </w:r>
      <w:r w:rsidR="00BF059B">
        <w:rPr>
          <w:color w:val="000000"/>
        </w:rPr>
        <w:t xml:space="preserve"> </w:t>
      </w:r>
      <w:r>
        <w:rPr>
          <w:color w:val="000000"/>
        </w:rPr>
        <w:t>cultural</w:t>
      </w:r>
      <w:r w:rsidR="00BF059B">
        <w:rPr>
          <w:color w:val="000000"/>
        </w:rPr>
        <w:t xml:space="preserve"> </w:t>
      </w:r>
      <w:r>
        <w:rPr>
          <w:color w:val="000000"/>
        </w:rPr>
        <w:t>practices.</w:t>
      </w:r>
    </w:p>
    <w:p w14:paraId="6AC8ED07" w14:textId="77777777" w:rsidR="00BF059B" w:rsidRDefault="00BF059B">
      <w:pPr>
        <w:spacing w:line="252" w:lineRule="auto"/>
        <w:jc w:val="both"/>
        <w:rPr>
          <w:color w:val="000000"/>
        </w:rPr>
      </w:pPr>
    </w:p>
    <w:p w14:paraId="37E81DCB" w14:textId="3FAABA31" w:rsidR="00BE13A8" w:rsidRDefault="00D70530">
      <w:pPr>
        <w:spacing w:line="252" w:lineRule="auto"/>
        <w:jc w:val="both"/>
        <w:rPr>
          <w:color w:val="000000"/>
        </w:rPr>
      </w:pPr>
      <w:r>
        <w:rPr>
          <w:color w:val="000000"/>
        </w:rPr>
        <w:t>While</w:t>
      </w:r>
      <w:r w:rsidR="00BF059B">
        <w:rPr>
          <w:color w:val="000000"/>
        </w:rPr>
        <w:t xml:space="preserve"> </w:t>
      </w:r>
      <w:r>
        <w:rPr>
          <w:color w:val="000000"/>
        </w:rPr>
        <w:t>the</w:t>
      </w:r>
      <w:r w:rsidR="00BF059B">
        <w:rPr>
          <w:color w:val="000000"/>
        </w:rPr>
        <w:t xml:space="preserve"> </w:t>
      </w:r>
      <w:r>
        <w:rPr>
          <w:color w:val="000000"/>
        </w:rPr>
        <w:t>Natural</w:t>
      </w:r>
      <w:r w:rsidR="00BF059B">
        <w:rPr>
          <w:color w:val="000000"/>
        </w:rPr>
        <w:t xml:space="preserve"> </w:t>
      </w:r>
      <w:r>
        <w:rPr>
          <w:color w:val="000000"/>
        </w:rPr>
        <w:t>History</w:t>
      </w:r>
      <w:r w:rsidR="00BF059B">
        <w:rPr>
          <w:color w:val="000000"/>
        </w:rPr>
        <w:t xml:space="preserve"> </w:t>
      </w:r>
      <w:r>
        <w:rPr>
          <w:color w:val="000000"/>
        </w:rPr>
        <w:t>Gallery</w:t>
      </w:r>
      <w:r w:rsidR="00BF059B">
        <w:rPr>
          <w:color w:val="000000"/>
        </w:rPr>
        <w:t xml:space="preserve"> </w:t>
      </w:r>
      <w:r>
        <w:rPr>
          <w:color w:val="000000"/>
        </w:rPr>
        <w:t>is</w:t>
      </w:r>
      <w:r w:rsidR="00BF059B">
        <w:rPr>
          <w:color w:val="000000"/>
        </w:rPr>
        <w:t xml:space="preserve"> </w:t>
      </w:r>
      <w:r>
        <w:rPr>
          <w:color w:val="000000"/>
        </w:rPr>
        <w:t>closed</w:t>
      </w:r>
      <w:r w:rsidR="00BF059B">
        <w:rPr>
          <w:color w:val="000000"/>
        </w:rPr>
        <w:t xml:space="preserve"> </w:t>
      </w:r>
      <w:r>
        <w:rPr>
          <w:color w:val="000000"/>
        </w:rPr>
        <w:t>for</w:t>
      </w:r>
      <w:r w:rsidR="00BF059B">
        <w:rPr>
          <w:color w:val="000000"/>
        </w:rPr>
        <w:t xml:space="preserve"> </w:t>
      </w:r>
      <w:r>
        <w:rPr>
          <w:color w:val="000000"/>
        </w:rPr>
        <w:t>redevelopment,</w:t>
      </w:r>
      <w:r w:rsidR="00BF059B">
        <w:rPr>
          <w:color w:val="000000"/>
        </w:rPr>
        <w:t xml:space="preserve"> </w:t>
      </w:r>
      <w:r>
        <w:rPr>
          <w:color w:val="000000"/>
        </w:rPr>
        <w:t>a</w:t>
      </w:r>
      <w:r w:rsidR="00BF059B">
        <w:rPr>
          <w:color w:val="000000"/>
        </w:rPr>
        <w:t xml:space="preserve"> </w:t>
      </w:r>
      <w:r>
        <w:rPr>
          <w:b/>
          <w:color w:val="000000"/>
        </w:rPr>
        <w:t>Natural</w:t>
      </w:r>
      <w:r w:rsidR="00BF059B">
        <w:rPr>
          <w:b/>
          <w:color w:val="000000"/>
        </w:rPr>
        <w:t xml:space="preserve"> </w:t>
      </w:r>
      <w:r>
        <w:rPr>
          <w:b/>
          <w:color w:val="000000"/>
        </w:rPr>
        <w:t>History</w:t>
      </w:r>
      <w:r w:rsidR="00BF059B">
        <w:rPr>
          <w:b/>
          <w:color w:val="000000"/>
        </w:rPr>
        <w:t xml:space="preserve"> </w:t>
      </w:r>
      <w:r>
        <w:rPr>
          <w:b/>
          <w:color w:val="000000"/>
        </w:rPr>
        <w:t>Pop-up</w:t>
      </w:r>
      <w:r w:rsidR="00BF059B">
        <w:rPr>
          <w:color w:val="000000"/>
        </w:rPr>
        <w:t xml:space="preserve"> </w:t>
      </w:r>
      <w:r>
        <w:rPr>
          <w:color w:val="000000"/>
        </w:rPr>
        <w:t>display</w:t>
      </w:r>
      <w:r w:rsidR="00BF059B">
        <w:rPr>
          <w:color w:val="000000"/>
        </w:rPr>
        <w:t xml:space="preserve"> </w:t>
      </w:r>
      <w:r>
        <w:rPr>
          <w:color w:val="000000"/>
        </w:rPr>
        <w:t>in</w:t>
      </w:r>
      <w:r w:rsidR="00BF059B">
        <w:rPr>
          <w:color w:val="000000"/>
        </w:rPr>
        <w:t xml:space="preserve"> </w:t>
      </w:r>
      <w:r>
        <w:rPr>
          <w:color w:val="000000"/>
        </w:rPr>
        <w:t>The</w:t>
      </w:r>
      <w:r w:rsidR="00BF059B">
        <w:rPr>
          <w:color w:val="000000"/>
        </w:rPr>
        <w:t xml:space="preserve"> </w:t>
      </w:r>
      <w:r>
        <w:rPr>
          <w:color w:val="000000"/>
        </w:rPr>
        <w:t>Studio</w:t>
      </w:r>
      <w:r w:rsidR="00BF059B">
        <w:rPr>
          <w:color w:val="000000"/>
        </w:rPr>
        <w:t xml:space="preserve"> </w:t>
      </w:r>
      <w:r>
        <w:rPr>
          <w:color w:val="000000"/>
        </w:rPr>
        <w:t>gives</w:t>
      </w:r>
      <w:r w:rsidR="00BF059B">
        <w:rPr>
          <w:color w:val="000000"/>
        </w:rPr>
        <w:t xml:space="preserve"> </w:t>
      </w:r>
      <w:r>
        <w:rPr>
          <w:color w:val="000000"/>
        </w:rPr>
        <w:t>visitors</w:t>
      </w:r>
      <w:r w:rsidR="00BF059B">
        <w:rPr>
          <w:color w:val="000000"/>
        </w:rPr>
        <w:t xml:space="preserve"> </w:t>
      </w:r>
      <w:r>
        <w:rPr>
          <w:color w:val="000000"/>
        </w:rPr>
        <w:t>a</w:t>
      </w:r>
      <w:r w:rsidR="00BF059B">
        <w:rPr>
          <w:color w:val="000000"/>
        </w:rPr>
        <w:t xml:space="preserve"> </w:t>
      </w:r>
      <w:r>
        <w:rPr>
          <w:color w:val="000000"/>
        </w:rPr>
        <w:t>fresh</w:t>
      </w:r>
      <w:r w:rsidR="00BF059B">
        <w:rPr>
          <w:color w:val="000000"/>
        </w:rPr>
        <w:t xml:space="preserve"> </w:t>
      </w:r>
      <w:r>
        <w:rPr>
          <w:color w:val="000000"/>
        </w:rPr>
        <w:t>look</w:t>
      </w:r>
      <w:r w:rsidR="00BF059B">
        <w:rPr>
          <w:color w:val="000000"/>
        </w:rPr>
        <w:t xml:space="preserve"> </w:t>
      </w:r>
      <w:r>
        <w:rPr>
          <w:color w:val="000000"/>
        </w:rPr>
        <w:t>at</w:t>
      </w:r>
      <w:r w:rsidR="00BF059B">
        <w:rPr>
          <w:color w:val="000000"/>
        </w:rPr>
        <w:t xml:space="preserve"> </w:t>
      </w:r>
      <w:r>
        <w:rPr>
          <w:color w:val="000000"/>
        </w:rPr>
        <w:t>a</w:t>
      </w:r>
      <w:r w:rsidR="00BF059B">
        <w:rPr>
          <w:color w:val="000000"/>
        </w:rPr>
        <w:t xml:space="preserve"> </w:t>
      </w:r>
      <w:r>
        <w:rPr>
          <w:color w:val="000000"/>
        </w:rPr>
        <w:t>few</w:t>
      </w:r>
      <w:r w:rsidR="00BF059B">
        <w:rPr>
          <w:color w:val="000000"/>
        </w:rPr>
        <w:t xml:space="preserve"> </w:t>
      </w:r>
      <w:r>
        <w:rPr>
          <w:color w:val="000000"/>
        </w:rPr>
        <w:t>familiar</w:t>
      </w:r>
      <w:r w:rsidR="00BF059B">
        <w:rPr>
          <w:color w:val="000000"/>
        </w:rPr>
        <w:t xml:space="preserve"> </w:t>
      </w:r>
      <w:r>
        <w:rPr>
          <w:color w:val="000000"/>
        </w:rPr>
        <w:t>and</w:t>
      </w:r>
      <w:r w:rsidR="00BF059B">
        <w:rPr>
          <w:color w:val="000000"/>
        </w:rPr>
        <w:t xml:space="preserve"> </w:t>
      </w:r>
      <w:r>
        <w:rPr>
          <w:color w:val="000000"/>
        </w:rPr>
        <w:t>unique</w:t>
      </w:r>
      <w:r w:rsidR="00BF059B">
        <w:rPr>
          <w:color w:val="000000"/>
        </w:rPr>
        <w:t xml:space="preserve"> </w:t>
      </w:r>
      <w:r>
        <w:rPr>
          <w:color w:val="000000"/>
        </w:rPr>
        <w:t>specimens</w:t>
      </w:r>
      <w:r w:rsidR="00BF059B">
        <w:rPr>
          <w:color w:val="000000"/>
        </w:rPr>
        <w:t xml:space="preserve"> </w:t>
      </w:r>
      <w:r>
        <w:rPr>
          <w:color w:val="000000"/>
        </w:rPr>
        <w:t>from</w:t>
      </w:r>
      <w:r w:rsidR="00BF059B">
        <w:rPr>
          <w:color w:val="000000"/>
        </w:rPr>
        <w:t xml:space="preserve"> </w:t>
      </w:r>
      <w:r>
        <w:rPr>
          <w:color w:val="000000"/>
        </w:rPr>
        <w:t>the</w:t>
      </w:r>
      <w:r w:rsidR="00BF059B">
        <w:rPr>
          <w:color w:val="000000"/>
        </w:rPr>
        <w:t xml:space="preserve"> </w:t>
      </w:r>
      <w:r>
        <w:rPr>
          <w:color w:val="000000"/>
        </w:rPr>
        <w:t>Horniman’s</w:t>
      </w:r>
      <w:r w:rsidR="00BF059B">
        <w:rPr>
          <w:color w:val="000000"/>
        </w:rPr>
        <w:t xml:space="preserve"> </w:t>
      </w:r>
      <w:r>
        <w:rPr>
          <w:color w:val="000000"/>
        </w:rPr>
        <w:t>much-loved</w:t>
      </w:r>
      <w:r w:rsidR="00BF059B">
        <w:rPr>
          <w:color w:val="000000"/>
        </w:rPr>
        <w:t xml:space="preserve"> </w:t>
      </w:r>
      <w:r>
        <w:rPr>
          <w:color w:val="000000"/>
        </w:rPr>
        <w:t>natural</w:t>
      </w:r>
      <w:r w:rsidR="00BF059B">
        <w:rPr>
          <w:color w:val="000000"/>
        </w:rPr>
        <w:t xml:space="preserve"> </w:t>
      </w:r>
      <w:r>
        <w:rPr>
          <w:color w:val="000000"/>
        </w:rPr>
        <w:t>history</w:t>
      </w:r>
      <w:r w:rsidR="00BF059B">
        <w:rPr>
          <w:color w:val="000000"/>
        </w:rPr>
        <w:t xml:space="preserve"> </w:t>
      </w:r>
      <w:r>
        <w:rPr>
          <w:color w:val="000000"/>
        </w:rPr>
        <w:t>collection.</w:t>
      </w:r>
      <w:r w:rsidR="00BF059B">
        <w:rPr>
          <w:color w:val="000000"/>
        </w:rPr>
        <w:t xml:space="preserve"> </w:t>
      </w:r>
    </w:p>
    <w:p w14:paraId="5ECBD10E" w14:textId="77777777" w:rsidR="00BE13A8" w:rsidRDefault="00BE13A8">
      <w:pPr>
        <w:spacing w:line="252" w:lineRule="auto"/>
        <w:jc w:val="both"/>
        <w:rPr>
          <w:color w:val="000000"/>
        </w:rPr>
      </w:pPr>
    </w:p>
    <w:p w14:paraId="4C1FFDE5" w14:textId="79852A13" w:rsidR="00BE13A8" w:rsidRDefault="00D70530">
      <w:pPr>
        <w:spacing w:line="259" w:lineRule="auto"/>
        <w:jc w:val="both"/>
      </w:pPr>
      <w:proofErr w:type="gramStart"/>
      <w:r>
        <w:rPr>
          <w:b/>
        </w:rPr>
        <w:t>!</w:t>
      </w:r>
      <w:r>
        <w:rPr>
          <w:b/>
          <w:rtl/>
        </w:rPr>
        <w:t>كل</w:t>
      </w:r>
      <w:proofErr w:type="gramEnd"/>
      <w:r w:rsidR="00BF059B">
        <w:rPr>
          <w:b/>
          <w:rtl/>
        </w:rPr>
        <w:t xml:space="preserve"> </w:t>
      </w:r>
      <w:r>
        <w:rPr>
          <w:b/>
          <w:rtl/>
        </w:rPr>
        <w:t>العيون</w:t>
      </w:r>
      <w:r w:rsidR="00BF059B">
        <w:rPr>
          <w:b/>
          <w:rtl/>
        </w:rPr>
        <w:t xml:space="preserve"> </w:t>
      </w:r>
      <w:r>
        <w:rPr>
          <w:b/>
          <w:rtl/>
        </w:rPr>
        <w:t>عليها</w:t>
      </w:r>
      <w:r w:rsidR="00BF059B">
        <w:rPr>
          <w:b/>
        </w:rPr>
        <w:t xml:space="preserve"> </w:t>
      </w:r>
      <w:r>
        <w:rPr>
          <w:b/>
        </w:rPr>
        <w:t>All</w:t>
      </w:r>
      <w:r w:rsidR="00BF059B">
        <w:rPr>
          <w:b/>
        </w:rPr>
        <w:t xml:space="preserve"> </w:t>
      </w:r>
      <w:r>
        <w:rPr>
          <w:b/>
        </w:rPr>
        <w:t>Eyes</w:t>
      </w:r>
      <w:r w:rsidR="00BF059B">
        <w:rPr>
          <w:b/>
        </w:rPr>
        <w:t xml:space="preserve"> </w:t>
      </w:r>
      <w:r>
        <w:rPr>
          <w:b/>
        </w:rPr>
        <w:t>on</w:t>
      </w:r>
      <w:r w:rsidR="00BF059B">
        <w:rPr>
          <w:b/>
        </w:rPr>
        <w:t xml:space="preserve"> </w:t>
      </w:r>
      <w:r>
        <w:rPr>
          <w:b/>
        </w:rPr>
        <w:t>Her</w:t>
      </w:r>
      <w:r>
        <w:t>!</w:t>
      </w:r>
      <w:r w:rsidR="00BF059B">
        <w:t xml:space="preserve"> </w:t>
      </w:r>
      <w:r>
        <w:t>a</w:t>
      </w:r>
      <w:r w:rsidR="00BF059B">
        <w:t xml:space="preserve"> </w:t>
      </w:r>
      <w:r>
        <w:t>new</w:t>
      </w:r>
      <w:r w:rsidR="00BF059B">
        <w:t xml:space="preserve"> </w:t>
      </w:r>
      <w:r>
        <w:t>display</w:t>
      </w:r>
      <w:r w:rsidR="00BF059B">
        <w:t xml:space="preserve"> </w:t>
      </w:r>
      <w:r>
        <w:t>in</w:t>
      </w:r>
      <w:r w:rsidR="00BF059B">
        <w:t xml:space="preserve"> </w:t>
      </w:r>
      <w:r>
        <w:t>the</w:t>
      </w:r>
      <w:r w:rsidR="00BF059B">
        <w:t xml:space="preserve"> </w:t>
      </w:r>
      <w:r>
        <w:t>World</w:t>
      </w:r>
      <w:r w:rsidR="00BF059B">
        <w:t xml:space="preserve"> </w:t>
      </w:r>
      <w:r>
        <w:t>Gallery,</w:t>
      </w:r>
      <w:r w:rsidR="00BF059B">
        <w:t xml:space="preserve"> </w:t>
      </w:r>
      <w:r>
        <w:t>opened</w:t>
      </w:r>
      <w:r w:rsidR="00BF059B">
        <w:t xml:space="preserve"> </w:t>
      </w:r>
      <w:r>
        <w:t>in</w:t>
      </w:r>
      <w:r w:rsidR="00BF059B">
        <w:t xml:space="preserve"> </w:t>
      </w:r>
      <w:r>
        <w:t>March.</w:t>
      </w:r>
      <w:r w:rsidR="00BF059B">
        <w:t xml:space="preserve"> </w:t>
      </w:r>
      <w:r>
        <w:t>The</w:t>
      </w:r>
      <w:r w:rsidR="00BF059B">
        <w:t xml:space="preserve"> </w:t>
      </w:r>
      <w:r>
        <w:t>display</w:t>
      </w:r>
      <w:r w:rsidR="00BF059B">
        <w:t xml:space="preserve"> </w:t>
      </w:r>
      <w:r>
        <w:t>examines</w:t>
      </w:r>
      <w:r w:rsidR="00BF059B">
        <w:t xml:space="preserve"> </w:t>
      </w:r>
      <w:r>
        <w:t>how</w:t>
      </w:r>
      <w:r w:rsidR="00BF059B">
        <w:t xml:space="preserve"> </w:t>
      </w:r>
      <w:r>
        <w:t>Egyptian</w:t>
      </w:r>
      <w:r w:rsidR="00BF059B">
        <w:t xml:space="preserve"> </w:t>
      </w:r>
      <w:r>
        <w:t>women</w:t>
      </w:r>
      <w:r w:rsidR="00BF059B">
        <w:t xml:space="preserve"> </w:t>
      </w:r>
      <w:r>
        <w:t>are</w:t>
      </w:r>
      <w:r w:rsidR="00BF059B">
        <w:t xml:space="preserve"> </w:t>
      </w:r>
      <w:r>
        <w:t>reclaiming</w:t>
      </w:r>
      <w:r w:rsidR="00BF059B">
        <w:t xml:space="preserve"> </w:t>
      </w:r>
      <w:r>
        <w:t>their</w:t>
      </w:r>
      <w:r w:rsidR="00BF059B">
        <w:t xml:space="preserve"> </w:t>
      </w:r>
      <w:r>
        <w:t>heritage,</w:t>
      </w:r>
      <w:r w:rsidR="00BF059B">
        <w:t xml:space="preserve"> </w:t>
      </w:r>
      <w:r>
        <w:t>position</w:t>
      </w:r>
      <w:r w:rsidR="00BF059B">
        <w:t xml:space="preserve"> </w:t>
      </w:r>
      <w:r>
        <w:t>in</w:t>
      </w:r>
      <w:r w:rsidR="00BF059B">
        <w:t xml:space="preserve"> </w:t>
      </w:r>
      <w:r>
        <w:t>public,</w:t>
      </w:r>
      <w:r w:rsidR="00BF059B">
        <w:t xml:space="preserve"> </w:t>
      </w:r>
      <w:r>
        <w:t>and</w:t>
      </w:r>
      <w:r w:rsidR="00BF059B">
        <w:t xml:space="preserve"> </w:t>
      </w:r>
      <w:r>
        <w:t>role</w:t>
      </w:r>
      <w:r w:rsidR="00BF059B">
        <w:t xml:space="preserve"> </w:t>
      </w:r>
      <w:r>
        <w:t>in</w:t>
      </w:r>
      <w:r w:rsidR="00BF059B">
        <w:t xml:space="preserve"> </w:t>
      </w:r>
      <w:r>
        <w:t>revolutions,</w:t>
      </w:r>
      <w:r w:rsidR="00BF059B">
        <w:t xml:space="preserve"> </w:t>
      </w:r>
      <w:r>
        <w:t>past</w:t>
      </w:r>
      <w:r w:rsidR="00BF059B">
        <w:t xml:space="preserve"> </w:t>
      </w:r>
      <w:r>
        <w:t>and</w:t>
      </w:r>
      <w:r w:rsidR="00BF059B">
        <w:t xml:space="preserve"> </w:t>
      </w:r>
      <w:r>
        <w:t>present.</w:t>
      </w:r>
      <w:r w:rsidR="00BF059B">
        <w:t xml:space="preserve"> </w:t>
      </w:r>
      <w:r>
        <w:t>For</w:t>
      </w:r>
      <w:r w:rsidR="00BF059B">
        <w:t xml:space="preserve"> </w:t>
      </w:r>
      <w:r>
        <w:t>our</w:t>
      </w:r>
      <w:r w:rsidR="00BF059B">
        <w:t xml:space="preserve"> </w:t>
      </w:r>
      <w:r>
        <w:t>first</w:t>
      </w:r>
      <w:r w:rsidR="00BF059B">
        <w:t xml:space="preserve"> </w:t>
      </w:r>
      <w:r>
        <w:t>dual</w:t>
      </w:r>
      <w:r w:rsidR="00BF059B">
        <w:t xml:space="preserve"> </w:t>
      </w:r>
      <w:r>
        <w:t>language</w:t>
      </w:r>
      <w:r w:rsidR="00BF059B">
        <w:t xml:space="preserve"> </w:t>
      </w:r>
      <w:r>
        <w:t>display,</w:t>
      </w:r>
      <w:r w:rsidR="00BF059B">
        <w:t xml:space="preserve"> </w:t>
      </w:r>
      <w:r>
        <w:t>Egyptian</w:t>
      </w:r>
      <w:r w:rsidR="00BF059B">
        <w:t xml:space="preserve"> </w:t>
      </w:r>
      <w:r>
        <w:t>Arabic</w:t>
      </w:r>
      <w:r w:rsidR="00BF059B">
        <w:t xml:space="preserve"> </w:t>
      </w:r>
      <w:r>
        <w:t>translations</w:t>
      </w:r>
      <w:r w:rsidR="00BF059B">
        <w:t xml:space="preserve"> </w:t>
      </w:r>
      <w:r>
        <w:t>were</w:t>
      </w:r>
      <w:r w:rsidR="00BF059B">
        <w:t xml:space="preserve"> </w:t>
      </w:r>
      <w:r>
        <w:t>produced</w:t>
      </w:r>
      <w:r w:rsidR="00BF059B">
        <w:t xml:space="preserve"> </w:t>
      </w:r>
      <w:r>
        <w:t>by</w:t>
      </w:r>
      <w:r w:rsidR="00BF059B">
        <w:t xml:space="preserve"> </w:t>
      </w:r>
      <w:r>
        <w:t>community</w:t>
      </w:r>
      <w:r w:rsidR="00BF059B">
        <w:t xml:space="preserve"> </w:t>
      </w:r>
      <w:r>
        <w:t>partners</w:t>
      </w:r>
      <w:r w:rsidR="00BF059B">
        <w:t xml:space="preserve"> </w:t>
      </w:r>
      <w:r>
        <w:t>in</w:t>
      </w:r>
      <w:r w:rsidR="00BF059B">
        <w:t xml:space="preserve"> </w:t>
      </w:r>
      <w:r>
        <w:t>Cairo.</w:t>
      </w:r>
      <w:r w:rsidR="00BF059B">
        <w:t xml:space="preserve"> </w:t>
      </w:r>
      <w:r>
        <w:t>We</w:t>
      </w:r>
      <w:r w:rsidR="00BF059B">
        <w:t xml:space="preserve"> </w:t>
      </w:r>
      <w:r>
        <w:t>also</w:t>
      </w:r>
      <w:r w:rsidR="00BF059B">
        <w:t xml:space="preserve"> </w:t>
      </w:r>
      <w:r>
        <w:t>installed</w:t>
      </w:r>
      <w:r w:rsidR="00BF059B">
        <w:t xml:space="preserve"> </w:t>
      </w:r>
      <w:r>
        <w:t>new</w:t>
      </w:r>
      <w:r w:rsidR="00BF059B">
        <w:t xml:space="preserve"> </w:t>
      </w:r>
      <w:r>
        <w:t>interventions</w:t>
      </w:r>
      <w:r w:rsidR="00BF059B">
        <w:t xml:space="preserve"> </w:t>
      </w:r>
      <w:r>
        <w:t>around</w:t>
      </w:r>
      <w:r w:rsidR="00BF059B">
        <w:t xml:space="preserve"> </w:t>
      </w:r>
      <w:r>
        <w:t>Egyptian</w:t>
      </w:r>
      <w:r w:rsidR="00BF059B">
        <w:t xml:space="preserve"> </w:t>
      </w:r>
      <w:r>
        <w:t>collections</w:t>
      </w:r>
      <w:r w:rsidR="00BF059B">
        <w:t xml:space="preserve"> </w:t>
      </w:r>
      <w:r>
        <w:t>on</w:t>
      </w:r>
      <w:r w:rsidR="00BF059B">
        <w:t xml:space="preserve"> </w:t>
      </w:r>
      <w:r>
        <w:t>display</w:t>
      </w:r>
      <w:r w:rsidR="00BF059B">
        <w:t xml:space="preserve"> </w:t>
      </w:r>
      <w:r>
        <w:t>in</w:t>
      </w:r>
      <w:r w:rsidR="00BF059B">
        <w:t xml:space="preserve"> </w:t>
      </w:r>
      <w:r>
        <w:t>Horniman’s</w:t>
      </w:r>
      <w:r w:rsidR="00BF059B">
        <w:t xml:space="preserve"> </w:t>
      </w:r>
      <w:r>
        <w:t>Vision,</w:t>
      </w:r>
      <w:r w:rsidR="00BF059B">
        <w:t xml:space="preserve"> </w:t>
      </w:r>
      <w:r>
        <w:t>including</w:t>
      </w:r>
      <w:r w:rsidR="00BF059B">
        <w:t xml:space="preserve"> </w:t>
      </w:r>
      <w:r>
        <w:t>new</w:t>
      </w:r>
      <w:r w:rsidR="00BF059B">
        <w:t xml:space="preserve"> </w:t>
      </w:r>
      <w:r>
        <w:t>comic</w:t>
      </w:r>
      <w:r w:rsidR="00BF059B">
        <w:t xml:space="preserve"> </w:t>
      </w:r>
      <w:r>
        <w:t>strips</w:t>
      </w:r>
      <w:r w:rsidR="00BF059B">
        <w:t xml:space="preserve"> </w:t>
      </w:r>
      <w:r>
        <w:t>and</w:t>
      </w:r>
      <w:r w:rsidR="00BF059B">
        <w:t xml:space="preserve"> </w:t>
      </w:r>
      <w:r>
        <w:t>interpretation.</w:t>
      </w:r>
      <w:r w:rsidR="00BF059B">
        <w:t xml:space="preserve">   </w:t>
      </w:r>
    </w:p>
    <w:p w14:paraId="025C250B" w14:textId="77777777" w:rsidR="00BE13A8" w:rsidRDefault="00BE13A8">
      <w:pPr>
        <w:jc w:val="both"/>
        <w:rPr>
          <w:color w:val="FF0000"/>
        </w:rPr>
      </w:pPr>
    </w:p>
    <w:p w14:paraId="2405CB39" w14:textId="276C4549" w:rsidR="00BE13A8" w:rsidRDefault="00D70530" w:rsidP="008D4835">
      <w:pPr>
        <w:pStyle w:val="Heading5"/>
      </w:pPr>
      <w:r>
        <w:t>1.3.2</w:t>
      </w:r>
      <w:r>
        <w:tab/>
        <w:t>Events</w:t>
      </w:r>
      <w:r w:rsidR="00BF059B">
        <w:t xml:space="preserve"> </w:t>
      </w:r>
      <w:r>
        <w:t>and</w:t>
      </w:r>
      <w:r w:rsidR="00BF059B">
        <w:t xml:space="preserve"> </w:t>
      </w:r>
      <w:r>
        <w:t>activities</w:t>
      </w:r>
    </w:p>
    <w:p w14:paraId="0D521457" w14:textId="26E2D2A7" w:rsidR="00BE13A8" w:rsidRDefault="00D70530">
      <w:pPr>
        <w:jc w:val="both"/>
        <w:rPr>
          <w:highlight w:val="white"/>
        </w:rPr>
      </w:pPr>
      <w:r>
        <w:t>To</w:t>
      </w:r>
      <w:r w:rsidR="00BF059B">
        <w:t xml:space="preserve"> </w:t>
      </w:r>
      <w:r>
        <w:t>complement</w:t>
      </w:r>
      <w:r w:rsidR="00BF059B">
        <w:t xml:space="preserve"> </w:t>
      </w:r>
      <w:r>
        <w:rPr>
          <w:rFonts w:ascii="MS Gothic" w:eastAsia="MS Gothic" w:hAnsi="MS Gothic" w:cs="MS Gothic"/>
          <w:b/>
        </w:rPr>
        <w:t>茶</w:t>
      </w:r>
      <w:r>
        <w:rPr>
          <w:b/>
        </w:rPr>
        <w:t>,</w:t>
      </w:r>
      <w:r w:rsidR="00BF059B">
        <w:rPr>
          <w:b/>
        </w:rPr>
        <w:t xml:space="preserve"> </w:t>
      </w:r>
      <w:proofErr w:type="spellStart"/>
      <w:r>
        <w:rPr>
          <w:rFonts w:ascii="Nirmala UI" w:eastAsia="Nirmala UI" w:hAnsi="Nirmala UI" w:cs="Nirmala UI"/>
          <w:b/>
        </w:rPr>
        <w:t>चाय</w:t>
      </w:r>
      <w:proofErr w:type="spellEnd"/>
      <w:r>
        <w:rPr>
          <w:b/>
        </w:rPr>
        <w:t>,</w:t>
      </w:r>
      <w:r w:rsidR="00BF059B">
        <w:rPr>
          <w:b/>
        </w:rPr>
        <w:t xml:space="preserve"> </w:t>
      </w:r>
      <w:r>
        <w:rPr>
          <w:b/>
        </w:rPr>
        <w:t>Tea</w:t>
      </w:r>
      <w:r w:rsidR="00BF059B">
        <w:t xml:space="preserve"> </w:t>
      </w:r>
      <w:r>
        <w:rPr>
          <w:b/>
        </w:rPr>
        <w:t>(</w:t>
      </w:r>
      <w:proofErr w:type="spellStart"/>
      <w:r>
        <w:rPr>
          <w:b/>
        </w:rPr>
        <w:t>Chá</w:t>
      </w:r>
      <w:proofErr w:type="spellEnd"/>
      <w:r>
        <w:rPr>
          <w:b/>
        </w:rPr>
        <w:t>,</w:t>
      </w:r>
      <w:r w:rsidR="00BF059B">
        <w:rPr>
          <w:b/>
        </w:rPr>
        <w:t xml:space="preserve"> </w:t>
      </w:r>
      <w:r>
        <w:rPr>
          <w:b/>
        </w:rPr>
        <w:t>Chai,</w:t>
      </w:r>
      <w:r w:rsidR="00BF059B">
        <w:rPr>
          <w:b/>
        </w:rPr>
        <w:t xml:space="preserve"> </w:t>
      </w:r>
      <w:r>
        <w:rPr>
          <w:b/>
        </w:rPr>
        <w:t>Tea),</w:t>
      </w:r>
      <w:r w:rsidR="00BF059B">
        <w:rPr>
          <w:b/>
        </w:rPr>
        <w:t xml:space="preserve"> </w:t>
      </w:r>
      <w:r>
        <w:rPr>
          <w:b/>
        </w:rPr>
        <w:t>we</w:t>
      </w:r>
      <w:r w:rsidR="00BF059B">
        <w:rPr>
          <w:b/>
        </w:rPr>
        <w:t xml:space="preserve"> </w:t>
      </w:r>
      <w:r>
        <w:rPr>
          <w:b/>
        </w:rPr>
        <w:t>ran</w:t>
      </w:r>
      <w:r w:rsidR="00BF059B">
        <w:rPr>
          <w:b/>
        </w:rPr>
        <w:t xml:space="preserve"> </w:t>
      </w:r>
      <w:r>
        <w:rPr>
          <w:b/>
        </w:rPr>
        <w:t>a</w:t>
      </w:r>
      <w:r w:rsidR="00BF059B">
        <w:rPr>
          <w:b/>
        </w:rPr>
        <w:t xml:space="preserve"> </w:t>
      </w:r>
      <w:r>
        <w:rPr>
          <w:b/>
        </w:rPr>
        <w:t>series</w:t>
      </w:r>
      <w:r w:rsidR="00BF059B">
        <w:rPr>
          <w:b/>
        </w:rPr>
        <w:t xml:space="preserve"> </w:t>
      </w:r>
      <w:r>
        <w:rPr>
          <w:b/>
        </w:rPr>
        <w:t>of</w:t>
      </w:r>
      <w:r w:rsidR="00BF059B">
        <w:rPr>
          <w:b/>
        </w:rPr>
        <w:t xml:space="preserve"> </w:t>
      </w:r>
      <w:r>
        <w:rPr>
          <w:b/>
        </w:rPr>
        <w:t>events</w:t>
      </w:r>
      <w:r w:rsidR="00BF059B">
        <w:rPr>
          <w:b/>
        </w:rPr>
        <w:t xml:space="preserve"> </w:t>
      </w:r>
      <w:r>
        <w:rPr>
          <w:b/>
        </w:rPr>
        <w:t>including</w:t>
      </w:r>
      <w:r w:rsidR="00BF059B">
        <w:rPr>
          <w:b/>
        </w:rPr>
        <w:t xml:space="preserve"> </w:t>
      </w:r>
      <w:r>
        <w:rPr>
          <w:b/>
        </w:rPr>
        <w:t>tea</w:t>
      </w:r>
      <w:r w:rsidR="00BF059B">
        <w:rPr>
          <w:b/>
        </w:rPr>
        <w:t xml:space="preserve"> </w:t>
      </w:r>
      <w:r>
        <w:rPr>
          <w:b/>
        </w:rPr>
        <w:t>tastings,</w:t>
      </w:r>
      <w:r w:rsidR="00BF059B">
        <w:rPr>
          <w:b/>
        </w:rPr>
        <w:t xml:space="preserve"> </w:t>
      </w:r>
      <w:r>
        <w:rPr>
          <w:highlight w:val="white"/>
        </w:rPr>
        <w:t>language</w:t>
      </w:r>
      <w:r w:rsidR="00BF059B">
        <w:rPr>
          <w:highlight w:val="white"/>
        </w:rPr>
        <w:t xml:space="preserve"> </w:t>
      </w:r>
      <w:r>
        <w:rPr>
          <w:highlight w:val="white"/>
        </w:rPr>
        <w:t>tours</w:t>
      </w:r>
      <w:r w:rsidR="00BF059B">
        <w:rPr>
          <w:highlight w:val="white"/>
        </w:rPr>
        <w:t xml:space="preserve"> </w:t>
      </w:r>
      <w:r>
        <w:rPr>
          <w:highlight w:val="white"/>
        </w:rPr>
        <w:t>of</w:t>
      </w:r>
      <w:r w:rsidR="00BF059B">
        <w:rPr>
          <w:highlight w:val="white"/>
        </w:rPr>
        <w:t xml:space="preserve"> </w:t>
      </w:r>
      <w:r>
        <w:rPr>
          <w:highlight w:val="white"/>
        </w:rPr>
        <w:t>the</w:t>
      </w:r>
      <w:r w:rsidR="00BF059B">
        <w:rPr>
          <w:highlight w:val="white"/>
        </w:rPr>
        <w:t xml:space="preserve"> </w:t>
      </w:r>
      <w:r>
        <w:rPr>
          <w:highlight w:val="white"/>
        </w:rPr>
        <w:t>exhibition</w:t>
      </w:r>
      <w:r w:rsidR="00BF059B">
        <w:rPr>
          <w:highlight w:val="white"/>
        </w:rPr>
        <w:t xml:space="preserve"> </w:t>
      </w:r>
      <w:r>
        <w:rPr>
          <w:highlight w:val="white"/>
        </w:rPr>
        <w:t>in</w:t>
      </w:r>
      <w:r w:rsidR="00BF059B">
        <w:rPr>
          <w:highlight w:val="white"/>
        </w:rPr>
        <w:t xml:space="preserve"> </w:t>
      </w:r>
      <w:r>
        <w:rPr>
          <w:highlight w:val="white"/>
        </w:rPr>
        <w:t>Cantonese</w:t>
      </w:r>
      <w:r w:rsidR="00BF059B">
        <w:rPr>
          <w:highlight w:val="white"/>
        </w:rPr>
        <w:t xml:space="preserve"> </w:t>
      </w:r>
      <w:r>
        <w:rPr>
          <w:highlight w:val="white"/>
        </w:rPr>
        <w:t>and</w:t>
      </w:r>
      <w:r w:rsidR="00BF059B">
        <w:rPr>
          <w:highlight w:val="white"/>
        </w:rPr>
        <w:t xml:space="preserve"> </w:t>
      </w:r>
      <w:r>
        <w:rPr>
          <w:highlight w:val="white"/>
        </w:rPr>
        <w:t>Mandarin,</w:t>
      </w:r>
      <w:r w:rsidR="00BF059B">
        <w:rPr>
          <w:highlight w:val="white"/>
        </w:rPr>
        <w:t xml:space="preserve"> </w:t>
      </w:r>
      <w:r>
        <w:rPr>
          <w:highlight w:val="white"/>
        </w:rPr>
        <w:t>and</w:t>
      </w:r>
      <w:r w:rsidR="00BF059B">
        <w:rPr>
          <w:highlight w:val="white"/>
        </w:rPr>
        <w:t xml:space="preserve"> </w:t>
      </w:r>
      <w:r>
        <w:rPr>
          <w:highlight w:val="white"/>
        </w:rPr>
        <w:t>free</w:t>
      </w:r>
      <w:r w:rsidR="00BF059B">
        <w:rPr>
          <w:highlight w:val="white"/>
        </w:rPr>
        <w:t xml:space="preserve"> </w:t>
      </w:r>
      <w:r>
        <w:rPr>
          <w:highlight w:val="white"/>
        </w:rPr>
        <w:t>family</w:t>
      </w:r>
      <w:r w:rsidR="00BF059B">
        <w:rPr>
          <w:highlight w:val="white"/>
        </w:rPr>
        <w:t xml:space="preserve"> </w:t>
      </w:r>
      <w:r>
        <w:rPr>
          <w:highlight w:val="white"/>
        </w:rPr>
        <w:t>craft</w:t>
      </w:r>
      <w:r w:rsidR="00BF059B">
        <w:rPr>
          <w:highlight w:val="white"/>
        </w:rPr>
        <w:t xml:space="preserve"> </w:t>
      </w:r>
      <w:r>
        <w:rPr>
          <w:highlight w:val="white"/>
        </w:rPr>
        <w:t>activities</w:t>
      </w:r>
      <w:r w:rsidR="00BF059B">
        <w:rPr>
          <w:highlight w:val="white"/>
        </w:rPr>
        <w:t xml:space="preserve"> </w:t>
      </w:r>
      <w:r>
        <w:rPr>
          <w:highlight w:val="white"/>
        </w:rPr>
        <w:t>linked</w:t>
      </w:r>
      <w:r w:rsidR="00BF059B">
        <w:rPr>
          <w:highlight w:val="white"/>
        </w:rPr>
        <w:t xml:space="preserve"> </w:t>
      </w:r>
      <w:r>
        <w:rPr>
          <w:highlight w:val="white"/>
        </w:rPr>
        <w:t>to</w:t>
      </w:r>
      <w:r w:rsidR="00BF059B">
        <w:rPr>
          <w:highlight w:val="white"/>
        </w:rPr>
        <w:t xml:space="preserve"> </w:t>
      </w:r>
      <w:r>
        <w:rPr>
          <w:highlight w:val="white"/>
        </w:rPr>
        <w:t>tea</w:t>
      </w:r>
      <w:r w:rsidR="00BF059B">
        <w:rPr>
          <w:highlight w:val="white"/>
        </w:rPr>
        <w:t xml:space="preserve"> </w:t>
      </w:r>
      <w:r>
        <w:rPr>
          <w:highlight w:val="white"/>
        </w:rPr>
        <w:t>for</w:t>
      </w:r>
      <w:r w:rsidR="00BF059B">
        <w:rPr>
          <w:highlight w:val="white"/>
        </w:rPr>
        <w:t xml:space="preserve"> </w:t>
      </w:r>
      <w:r>
        <w:rPr>
          <w:highlight w:val="white"/>
        </w:rPr>
        <w:t>Lunar</w:t>
      </w:r>
      <w:r w:rsidR="00BF059B">
        <w:rPr>
          <w:highlight w:val="white"/>
        </w:rPr>
        <w:t xml:space="preserve"> </w:t>
      </w:r>
      <w:r>
        <w:rPr>
          <w:highlight w:val="white"/>
        </w:rPr>
        <w:t>New</w:t>
      </w:r>
      <w:r w:rsidR="00BF059B">
        <w:rPr>
          <w:highlight w:val="white"/>
        </w:rPr>
        <w:t xml:space="preserve"> </w:t>
      </w:r>
      <w:r>
        <w:rPr>
          <w:highlight w:val="white"/>
        </w:rPr>
        <w:t>Year,</w:t>
      </w:r>
      <w:r w:rsidR="00BF059B">
        <w:rPr>
          <w:highlight w:val="white"/>
        </w:rPr>
        <w:t xml:space="preserve"> </w:t>
      </w:r>
      <w:r>
        <w:rPr>
          <w:highlight w:val="white"/>
        </w:rPr>
        <w:t>Diwali</w:t>
      </w:r>
      <w:r w:rsidR="00BF059B">
        <w:rPr>
          <w:highlight w:val="white"/>
        </w:rPr>
        <w:t xml:space="preserve"> </w:t>
      </w:r>
      <w:r>
        <w:rPr>
          <w:highlight w:val="white"/>
        </w:rPr>
        <w:t>and</w:t>
      </w:r>
      <w:r w:rsidR="00BF059B">
        <w:rPr>
          <w:highlight w:val="white"/>
        </w:rPr>
        <w:t xml:space="preserve"> </w:t>
      </w:r>
      <w:r>
        <w:rPr>
          <w:highlight w:val="white"/>
        </w:rPr>
        <w:t>Eid.</w:t>
      </w:r>
      <w:r w:rsidR="00BF059B">
        <w:rPr>
          <w:highlight w:val="white"/>
        </w:rPr>
        <w:t xml:space="preserve"> </w:t>
      </w:r>
      <w:r>
        <w:rPr>
          <w:highlight w:val="white"/>
        </w:rPr>
        <w:t>This</w:t>
      </w:r>
      <w:r w:rsidR="00BF059B">
        <w:rPr>
          <w:highlight w:val="white"/>
        </w:rPr>
        <w:t xml:space="preserve"> </w:t>
      </w:r>
      <w:r>
        <w:rPr>
          <w:highlight w:val="white"/>
        </w:rPr>
        <w:t>strand</w:t>
      </w:r>
      <w:r w:rsidR="00BF059B">
        <w:rPr>
          <w:highlight w:val="white"/>
        </w:rPr>
        <w:t xml:space="preserve"> </w:t>
      </w:r>
      <w:r>
        <w:rPr>
          <w:highlight w:val="white"/>
        </w:rPr>
        <w:t>has</w:t>
      </w:r>
      <w:r w:rsidR="00BF059B">
        <w:rPr>
          <w:highlight w:val="white"/>
        </w:rPr>
        <w:t xml:space="preserve"> </w:t>
      </w:r>
      <w:r>
        <w:rPr>
          <w:highlight w:val="white"/>
        </w:rPr>
        <w:t>also</w:t>
      </w:r>
      <w:r w:rsidR="00BF059B">
        <w:rPr>
          <w:highlight w:val="white"/>
        </w:rPr>
        <w:t xml:space="preserve"> </w:t>
      </w:r>
      <w:r>
        <w:rPr>
          <w:highlight w:val="white"/>
        </w:rPr>
        <w:t>allowed</w:t>
      </w:r>
      <w:r w:rsidR="00BF059B">
        <w:rPr>
          <w:highlight w:val="white"/>
        </w:rPr>
        <w:t xml:space="preserve"> </w:t>
      </w:r>
      <w:r>
        <w:rPr>
          <w:highlight w:val="white"/>
        </w:rPr>
        <w:t>us</w:t>
      </w:r>
      <w:r w:rsidR="00BF059B">
        <w:rPr>
          <w:highlight w:val="white"/>
        </w:rPr>
        <w:t xml:space="preserve"> </w:t>
      </w:r>
      <w:r>
        <w:rPr>
          <w:highlight w:val="white"/>
        </w:rPr>
        <w:t>to</w:t>
      </w:r>
      <w:r w:rsidR="00BF059B">
        <w:rPr>
          <w:highlight w:val="white"/>
        </w:rPr>
        <w:t xml:space="preserve"> </w:t>
      </w:r>
      <w:r>
        <w:rPr>
          <w:highlight w:val="white"/>
        </w:rPr>
        <w:t>work</w:t>
      </w:r>
      <w:r w:rsidR="00BF059B">
        <w:rPr>
          <w:highlight w:val="white"/>
        </w:rPr>
        <w:t xml:space="preserve"> </w:t>
      </w:r>
      <w:r>
        <w:rPr>
          <w:highlight w:val="white"/>
        </w:rPr>
        <w:t>with</w:t>
      </w:r>
      <w:r w:rsidR="00BF059B">
        <w:rPr>
          <w:highlight w:val="white"/>
        </w:rPr>
        <w:t xml:space="preserve"> </w:t>
      </w:r>
      <w:r>
        <w:rPr>
          <w:highlight w:val="white"/>
        </w:rPr>
        <w:t>new</w:t>
      </w:r>
      <w:r w:rsidR="00BF059B">
        <w:rPr>
          <w:highlight w:val="white"/>
        </w:rPr>
        <w:t xml:space="preserve"> </w:t>
      </w:r>
      <w:r>
        <w:rPr>
          <w:highlight w:val="white"/>
        </w:rPr>
        <w:t>event</w:t>
      </w:r>
      <w:r w:rsidR="00BF059B">
        <w:rPr>
          <w:highlight w:val="white"/>
        </w:rPr>
        <w:t xml:space="preserve"> </w:t>
      </w:r>
      <w:r>
        <w:rPr>
          <w:highlight w:val="white"/>
        </w:rPr>
        <w:t>partners</w:t>
      </w:r>
      <w:r w:rsidR="00BF059B">
        <w:rPr>
          <w:highlight w:val="white"/>
        </w:rPr>
        <w:t xml:space="preserve"> </w:t>
      </w:r>
      <w:r>
        <w:rPr>
          <w:highlight w:val="white"/>
        </w:rPr>
        <w:t>including</w:t>
      </w:r>
      <w:r w:rsidR="00BF059B">
        <w:rPr>
          <w:highlight w:val="white"/>
        </w:rPr>
        <w:t xml:space="preserve"> </w:t>
      </w:r>
      <w:r>
        <w:rPr>
          <w:highlight w:val="white"/>
        </w:rPr>
        <w:t>Khao</w:t>
      </w:r>
      <w:r w:rsidR="00BF059B">
        <w:rPr>
          <w:highlight w:val="white"/>
        </w:rPr>
        <w:t xml:space="preserve"> </w:t>
      </w:r>
      <w:r>
        <w:rPr>
          <w:highlight w:val="white"/>
        </w:rPr>
        <w:t>Supper</w:t>
      </w:r>
      <w:r w:rsidR="00BF059B">
        <w:rPr>
          <w:highlight w:val="white"/>
        </w:rPr>
        <w:t xml:space="preserve"> </w:t>
      </w:r>
      <w:r>
        <w:rPr>
          <w:highlight w:val="white"/>
        </w:rPr>
        <w:t>Club</w:t>
      </w:r>
      <w:r w:rsidR="00BF059B">
        <w:rPr>
          <w:highlight w:val="white"/>
        </w:rPr>
        <w:t xml:space="preserve"> </w:t>
      </w:r>
      <w:r>
        <w:rPr>
          <w:highlight w:val="white"/>
        </w:rPr>
        <w:t>and</w:t>
      </w:r>
      <w:r w:rsidR="00BF059B">
        <w:rPr>
          <w:highlight w:val="white"/>
        </w:rPr>
        <w:t xml:space="preserve"> </w:t>
      </w:r>
      <w:r>
        <w:rPr>
          <w:highlight w:val="white"/>
        </w:rPr>
        <w:t>London</w:t>
      </w:r>
      <w:r w:rsidR="00BF059B">
        <w:rPr>
          <w:highlight w:val="white"/>
        </w:rPr>
        <w:t xml:space="preserve"> </w:t>
      </w:r>
      <w:r>
        <w:rPr>
          <w:highlight w:val="white"/>
        </w:rPr>
        <w:t>Tea</w:t>
      </w:r>
      <w:r w:rsidR="00BF059B">
        <w:rPr>
          <w:highlight w:val="white"/>
        </w:rPr>
        <w:t xml:space="preserve"> </w:t>
      </w:r>
      <w:r>
        <w:rPr>
          <w:highlight w:val="white"/>
        </w:rPr>
        <w:t>Friends,</w:t>
      </w:r>
      <w:r w:rsidR="00BF059B">
        <w:rPr>
          <w:highlight w:val="white"/>
        </w:rPr>
        <w:t xml:space="preserve"> </w:t>
      </w:r>
      <w:r>
        <w:rPr>
          <w:highlight w:val="white"/>
        </w:rPr>
        <w:t>each</w:t>
      </w:r>
      <w:r w:rsidR="00BF059B">
        <w:rPr>
          <w:highlight w:val="white"/>
        </w:rPr>
        <w:t xml:space="preserve"> </w:t>
      </w:r>
      <w:r>
        <w:rPr>
          <w:highlight w:val="white"/>
        </w:rPr>
        <w:t>of</w:t>
      </w:r>
      <w:r w:rsidR="00BF059B">
        <w:rPr>
          <w:highlight w:val="white"/>
        </w:rPr>
        <w:t xml:space="preserve"> </w:t>
      </w:r>
      <w:r>
        <w:rPr>
          <w:highlight w:val="white"/>
        </w:rPr>
        <w:t>whom</w:t>
      </w:r>
      <w:r w:rsidR="00BF059B">
        <w:rPr>
          <w:highlight w:val="white"/>
        </w:rPr>
        <w:t xml:space="preserve"> </w:t>
      </w:r>
      <w:r>
        <w:rPr>
          <w:highlight w:val="white"/>
        </w:rPr>
        <w:t>have</w:t>
      </w:r>
      <w:r w:rsidR="00BF059B">
        <w:rPr>
          <w:highlight w:val="white"/>
        </w:rPr>
        <w:t xml:space="preserve"> </w:t>
      </w:r>
      <w:r>
        <w:rPr>
          <w:highlight w:val="white"/>
        </w:rPr>
        <w:t>brought</w:t>
      </w:r>
      <w:r w:rsidR="00BF059B">
        <w:rPr>
          <w:highlight w:val="white"/>
        </w:rPr>
        <w:t xml:space="preserve"> </w:t>
      </w:r>
      <w:r>
        <w:rPr>
          <w:highlight w:val="white"/>
        </w:rPr>
        <w:t>their</w:t>
      </w:r>
      <w:r w:rsidR="00BF059B">
        <w:rPr>
          <w:highlight w:val="white"/>
        </w:rPr>
        <w:t xml:space="preserve"> </w:t>
      </w:r>
      <w:r>
        <w:rPr>
          <w:highlight w:val="white"/>
        </w:rPr>
        <w:t>own</w:t>
      </w:r>
      <w:r w:rsidR="00BF059B">
        <w:rPr>
          <w:highlight w:val="white"/>
        </w:rPr>
        <w:t xml:space="preserve"> </w:t>
      </w:r>
      <w:r>
        <w:rPr>
          <w:highlight w:val="white"/>
        </w:rPr>
        <w:t>audiences,</w:t>
      </w:r>
      <w:r w:rsidR="00BF059B">
        <w:rPr>
          <w:highlight w:val="white"/>
        </w:rPr>
        <w:t xml:space="preserve"> </w:t>
      </w:r>
      <w:r>
        <w:rPr>
          <w:highlight w:val="white"/>
        </w:rPr>
        <w:t>many</w:t>
      </w:r>
      <w:r w:rsidR="00BF059B">
        <w:rPr>
          <w:highlight w:val="white"/>
        </w:rPr>
        <w:t xml:space="preserve"> </w:t>
      </w:r>
      <w:r>
        <w:rPr>
          <w:highlight w:val="white"/>
        </w:rPr>
        <w:t>new</w:t>
      </w:r>
      <w:r w:rsidR="00BF059B">
        <w:rPr>
          <w:highlight w:val="white"/>
        </w:rPr>
        <w:t xml:space="preserve"> </w:t>
      </w:r>
      <w:r>
        <w:rPr>
          <w:highlight w:val="white"/>
        </w:rPr>
        <w:t>to</w:t>
      </w:r>
      <w:r w:rsidR="00BF059B">
        <w:rPr>
          <w:highlight w:val="white"/>
        </w:rPr>
        <w:t xml:space="preserve"> </w:t>
      </w:r>
      <w:r>
        <w:rPr>
          <w:highlight w:val="white"/>
        </w:rPr>
        <w:t>the</w:t>
      </w:r>
      <w:r w:rsidR="00BF059B">
        <w:rPr>
          <w:highlight w:val="white"/>
        </w:rPr>
        <w:t xml:space="preserve"> </w:t>
      </w:r>
      <w:r>
        <w:rPr>
          <w:highlight w:val="white"/>
        </w:rPr>
        <w:t>Horniman.</w:t>
      </w:r>
      <w:r w:rsidR="00BF059B">
        <w:rPr>
          <w:highlight w:val="white"/>
        </w:rPr>
        <w:t xml:space="preserve"> </w:t>
      </w:r>
      <w:r>
        <w:t>Tea</w:t>
      </w:r>
      <w:r w:rsidR="00BF059B">
        <w:t xml:space="preserve"> </w:t>
      </w:r>
      <w:r>
        <w:t>tastings</w:t>
      </w:r>
      <w:r w:rsidR="00BF059B">
        <w:t xml:space="preserve"> </w:t>
      </w:r>
      <w:r>
        <w:t>were</w:t>
      </w:r>
      <w:r w:rsidR="00BF059B">
        <w:t xml:space="preserve"> </w:t>
      </w:r>
      <w:r>
        <w:t>attended</w:t>
      </w:r>
      <w:r w:rsidR="00BF059B">
        <w:t xml:space="preserve"> </w:t>
      </w:r>
      <w:r>
        <w:t>by</w:t>
      </w:r>
      <w:r w:rsidR="00BF059B">
        <w:t xml:space="preserve"> </w:t>
      </w:r>
      <w:r>
        <w:t>1,128</w:t>
      </w:r>
      <w:r w:rsidR="00BF059B">
        <w:t xml:space="preserve"> </w:t>
      </w:r>
      <w:r>
        <w:t>visitors.</w:t>
      </w:r>
      <w:r w:rsidR="00BF059B">
        <w:t xml:space="preserve"> </w:t>
      </w:r>
      <w:r>
        <w:t>23%</w:t>
      </w:r>
      <w:r w:rsidR="00BF059B">
        <w:t xml:space="preserve"> </w:t>
      </w:r>
      <w:r>
        <w:t>of</w:t>
      </w:r>
      <w:r w:rsidR="00BF059B">
        <w:t xml:space="preserve"> </w:t>
      </w:r>
      <w:r>
        <w:t>attendees</w:t>
      </w:r>
      <w:r w:rsidR="00BF059B">
        <w:t xml:space="preserve"> </w:t>
      </w:r>
      <w:r>
        <w:t>identify</w:t>
      </w:r>
      <w:r w:rsidR="00BF059B">
        <w:t xml:space="preserve"> </w:t>
      </w:r>
      <w:r>
        <w:t>as</w:t>
      </w:r>
      <w:r w:rsidR="00BF059B">
        <w:t xml:space="preserve"> </w:t>
      </w:r>
      <w:r>
        <w:t>belonging</w:t>
      </w:r>
      <w:r w:rsidR="00BF059B">
        <w:t xml:space="preserve"> </w:t>
      </w:r>
      <w:r>
        <w:t>to</w:t>
      </w:r>
      <w:r w:rsidR="00BF059B">
        <w:t xml:space="preserve"> </w:t>
      </w:r>
      <w:r>
        <w:t>any</w:t>
      </w:r>
      <w:r w:rsidR="00BF059B">
        <w:t xml:space="preserve"> </w:t>
      </w:r>
      <w:r>
        <w:t>of</w:t>
      </w:r>
      <w:r w:rsidR="00BF059B">
        <w:t xml:space="preserve"> </w:t>
      </w:r>
      <w:r>
        <w:t>the</w:t>
      </w:r>
      <w:r w:rsidR="00BF059B">
        <w:t xml:space="preserve"> </w:t>
      </w:r>
      <w:r>
        <w:t>communities</w:t>
      </w:r>
      <w:r w:rsidR="00BF059B">
        <w:t xml:space="preserve"> </w:t>
      </w:r>
      <w:r>
        <w:t>who</w:t>
      </w:r>
      <w:r w:rsidR="00BF059B">
        <w:t xml:space="preserve"> </w:t>
      </w:r>
      <w:r>
        <w:t>are</w:t>
      </w:r>
      <w:r w:rsidR="00BF059B">
        <w:t xml:space="preserve"> </w:t>
      </w:r>
      <w:r>
        <w:t>featured</w:t>
      </w:r>
      <w:r w:rsidR="00BF059B">
        <w:t xml:space="preserve"> </w:t>
      </w:r>
      <w:r>
        <w:t>within</w:t>
      </w:r>
      <w:r w:rsidR="00BF059B">
        <w:t xml:space="preserve"> </w:t>
      </w:r>
      <w:r>
        <w:t>the</w:t>
      </w:r>
      <w:r w:rsidR="00BF059B">
        <w:t xml:space="preserve"> </w:t>
      </w:r>
      <w:r>
        <w:t>exhibition,</w:t>
      </w:r>
      <w:r w:rsidR="00BF059B">
        <w:t xml:space="preserve"> </w:t>
      </w:r>
      <w:r>
        <w:t>and</w:t>
      </w:r>
      <w:r w:rsidR="00BF059B">
        <w:t xml:space="preserve"> </w:t>
      </w:r>
      <w:r>
        <w:t>41%</w:t>
      </w:r>
      <w:r w:rsidR="00BF059B">
        <w:t xml:space="preserve"> </w:t>
      </w:r>
      <w:r>
        <w:t>were</w:t>
      </w:r>
      <w:r w:rsidR="00BF059B">
        <w:t xml:space="preserve"> </w:t>
      </w:r>
      <w:r>
        <w:t>making</w:t>
      </w:r>
      <w:r w:rsidR="00BF059B">
        <w:t xml:space="preserve"> </w:t>
      </w:r>
      <w:r>
        <w:t>their</w:t>
      </w:r>
      <w:r w:rsidR="00BF059B">
        <w:t xml:space="preserve"> </w:t>
      </w:r>
      <w:r>
        <w:t>first</w:t>
      </w:r>
      <w:r w:rsidR="00BF059B">
        <w:t xml:space="preserve"> </w:t>
      </w:r>
      <w:r>
        <w:t>visit</w:t>
      </w:r>
      <w:r w:rsidR="00BF059B">
        <w:t xml:space="preserve"> </w:t>
      </w:r>
      <w:r>
        <w:t>to</w:t>
      </w:r>
      <w:r w:rsidR="00BF059B">
        <w:t xml:space="preserve"> </w:t>
      </w:r>
      <w:r>
        <w:t>the</w:t>
      </w:r>
      <w:r w:rsidR="00BF059B">
        <w:t xml:space="preserve"> </w:t>
      </w:r>
      <w:r>
        <w:t>Horniman.</w:t>
      </w:r>
      <w:r w:rsidR="00BF059B">
        <w:t xml:space="preserve"> </w:t>
      </w:r>
      <w:r>
        <w:t>We</w:t>
      </w:r>
      <w:r w:rsidR="00BF059B">
        <w:t xml:space="preserve"> </w:t>
      </w:r>
      <w:r>
        <w:t>also</w:t>
      </w:r>
      <w:r w:rsidR="00BF059B">
        <w:t xml:space="preserve"> </w:t>
      </w:r>
      <w:r>
        <w:t>programmed</w:t>
      </w:r>
      <w:r w:rsidR="00BF059B">
        <w:t xml:space="preserve"> </w:t>
      </w:r>
      <w:r>
        <w:t>a</w:t>
      </w:r>
      <w:r w:rsidR="00BF059B">
        <w:t xml:space="preserve"> </w:t>
      </w:r>
      <w:r>
        <w:t>festival</w:t>
      </w:r>
      <w:r w:rsidR="00BF059B">
        <w:t xml:space="preserve"> </w:t>
      </w:r>
      <w:r>
        <w:t>event</w:t>
      </w:r>
      <w:r w:rsidR="00BF059B">
        <w:t xml:space="preserve"> </w:t>
      </w:r>
      <w:r>
        <w:t>with</w:t>
      </w:r>
      <w:r w:rsidR="00BF059B">
        <w:t xml:space="preserve"> </w:t>
      </w:r>
      <w:proofErr w:type="spellStart"/>
      <w:r>
        <w:rPr>
          <w:b/>
        </w:rPr>
        <w:t>Daytimers</w:t>
      </w:r>
      <w:proofErr w:type="spellEnd"/>
      <w:r>
        <w:t>,</w:t>
      </w:r>
      <w:r w:rsidR="00BF059B">
        <w:t xml:space="preserve"> </w:t>
      </w:r>
      <w:r>
        <w:t>the</w:t>
      </w:r>
      <w:r w:rsidR="00BF059B">
        <w:t xml:space="preserve"> </w:t>
      </w:r>
      <w:r>
        <w:t>total</w:t>
      </w:r>
      <w:r w:rsidR="00BF059B">
        <w:t xml:space="preserve"> </w:t>
      </w:r>
      <w:r>
        <w:t>attendance</w:t>
      </w:r>
      <w:r w:rsidR="00BF059B">
        <w:t xml:space="preserve"> </w:t>
      </w:r>
      <w:r>
        <w:t>was</w:t>
      </w:r>
      <w:r w:rsidR="00BF059B">
        <w:t xml:space="preserve"> </w:t>
      </w:r>
      <w:r>
        <w:t>1,475.</w:t>
      </w:r>
      <w:r w:rsidR="00BF059B">
        <w:t xml:space="preserve"> </w:t>
      </w:r>
      <w:r>
        <w:t>64%</w:t>
      </w:r>
      <w:r w:rsidR="00BF059B">
        <w:t xml:space="preserve"> </w:t>
      </w:r>
      <w:r>
        <w:lastRenderedPageBreak/>
        <w:t>of</w:t>
      </w:r>
      <w:r w:rsidR="00BF059B">
        <w:t xml:space="preserve"> </w:t>
      </w:r>
      <w:r>
        <w:t>attendees</w:t>
      </w:r>
      <w:r w:rsidR="00BF059B">
        <w:t xml:space="preserve"> </w:t>
      </w:r>
      <w:r>
        <w:t>were</w:t>
      </w:r>
      <w:r w:rsidR="00BF059B">
        <w:t xml:space="preserve"> </w:t>
      </w:r>
      <w:r>
        <w:t>from</w:t>
      </w:r>
      <w:r w:rsidR="00BF059B">
        <w:t xml:space="preserve"> </w:t>
      </w:r>
      <w:r>
        <w:t>ethnically</w:t>
      </w:r>
      <w:r w:rsidR="00BF059B">
        <w:t xml:space="preserve"> </w:t>
      </w:r>
      <w:r>
        <w:t>diverse</w:t>
      </w:r>
      <w:r w:rsidR="00BF059B">
        <w:t xml:space="preserve"> </w:t>
      </w:r>
      <w:r>
        <w:t>groups,</w:t>
      </w:r>
      <w:r w:rsidR="00BF059B">
        <w:t xml:space="preserve"> </w:t>
      </w:r>
      <w:r>
        <w:t>with</w:t>
      </w:r>
      <w:r w:rsidR="00BF059B">
        <w:t xml:space="preserve"> </w:t>
      </w:r>
      <w:r>
        <w:t>46%</w:t>
      </w:r>
      <w:r w:rsidR="00BF059B">
        <w:t xml:space="preserve"> </w:t>
      </w:r>
      <w:r>
        <w:t>identifying</w:t>
      </w:r>
      <w:r w:rsidR="00BF059B">
        <w:t xml:space="preserve"> </w:t>
      </w:r>
      <w:r>
        <w:t>as</w:t>
      </w:r>
      <w:r w:rsidR="00BF059B">
        <w:t xml:space="preserve"> </w:t>
      </w:r>
      <w:r>
        <w:t>Asian/</w:t>
      </w:r>
      <w:r w:rsidR="00BF059B">
        <w:t xml:space="preserve"> </w:t>
      </w:r>
      <w:r>
        <w:t>British</w:t>
      </w:r>
      <w:r w:rsidR="00BF059B">
        <w:t xml:space="preserve"> </w:t>
      </w:r>
      <w:r>
        <w:t>Asian</w:t>
      </w:r>
      <w:r w:rsidR="00BF059B">
        <w:t xml:space="preserve"> </w:t>
      </w:r>
      <w:r>
        <w:t>–</w:t>
      </w:r>
      <w:r w:rsidR="00BF059B">
        <w:t xml:space="preserve"> </w:t>
      </w:r>
      <w:r>
        <w:t>including</w:t>
      </w:r>
      <w:r w:rsidR="00BF059B">
        <w:t xml:space="preserve"> </w:t>
      </w:r>
      <w:r>
        <w:t>73%</w:t>
      </w:r>
      <w:r w:rsidR="00BF059B">
        <w:t xml:space="preserve"> </w:t>
      </w:r>
      <w:r>
        <w:t>of</w:t>
      </w:r>
      <w:r w:rsidR="00BF059B">
        <w:t xml:space="preserve"> </w:t>
      </w:r>
      <w:proofErr w:type="gramStart"/>
      <w:r>
        <w:t>first</w:t>
      </w:r>
      <w:r w:rsidR="00BF059B">
        <w:t xml:space="preserve"> </w:t>
      </w:r>
      <w:r>
        <w:t>time</w:t>
      </w:r>
      <w:proofErr w:type="gramEnd"/>
      <w:r w:rsidR="00BF059B">
        <w:t xml:space="preserve"> </w:t>
      </w:r>
      <w:r>
        <w:t>visitors.</w:t>
      </w:r>
      <w:r w:rsidR="00BF059B">
        <w:t xml:space="preserve"> </w:t>
      </w:r>
    </w:p>
    <w:p w14:paraId="20E314CA" w14:textId="77777777" w:rsidR="00BE13A8" w:rsidRDefault="00BE13A8">
      <w:pPr>
        <w:jc w:val="both"/>
        <w:rPr>
          <w:color w:val="FF0000"/>
        </w:rPr>
      </w:pPr>
    </w:p>
    <w:p w14:paraId="42A1524A" w14:textId="64BD6619" w:rsidR="00BE13A8" w:rsidRDefault="00D70530">
      <w:pPr>
        <w:jc w:val="both"/>
      </w:pPr>
      <w:r>
        <w:t>The</w:t>
      </w:r>
      <w:r w:rsidR="00BF059B">
        <w:t xml:space="preserve"> </w:t>
      </w:r>
      <w:r>
        <w:t>annual</w:t>
      </w:r>
      <w:r w:rsidR="00BF059B">
        <w:t xml:space="preserve"> </w:t>
      </w:r>
      <w:r>
        <w:rPr>
          <w:b/>
        </w:rPr>
        <w:t>Music,</w:t>
      </w:r>
      <w:r w:rsidR="00BF059B">
        <w:rPr>
          <w:b/>
        </w:rPr>
        <w:t xml:space="preserve"> </w:t>
      </w:r>
      <w:r>
        <w:rPr>
          <w:b/>
        </w:rPr>
        <w:t>Jerk</w:t>
      </w:r>
      <w:r w:rsidR="00BF059B">
        <w:rPr>
          <w:b/>
        </w:rPr>
        <w:t xml:space="preserve"> </w:t>
      </w:r>
      <w:r>
        <w:rPr>
          <w:b/>
        </w:rPr>
        <w:t>‘n</w:t>
      </w:r>
      <w:r w:rsidR="00BF059B">
        <w:rPr>
          <w:b/>
        </w:rPr>
        <w:t xml:space="preserve"> </w:t>
      </w:r>
      <w:r>
        <w:rPr>
          <w:b/>
        </w:rPr>
        <w:t>Tings</w:t>
      </w:r>
      <w:r w:rsidR="00BF059B">
        <w:t xml:space="preserve"> </w:t>
      </w:r>
      <w:r>
        <w:t>event</w:t>
      </w:r>
      <w:r w:rsidR="00BF059B">
        <w:t xml:space="preserve"> </w:t>
      </w:r>
      <w:r>
        <w:t>celebrating</w:t>
      </w:r>
      <w:r w:rsidR="00BF059B">
        <w:t xml:space="preserve"> </w:t>
      </w:r>
      <w:r>
        <w:t>Caribbean</w:t>
      </w:r>
      <w:r w:rsidR="00BF059B">
        <w:t xml:space="preserve"> </w:t>
      </w:r>
      <w:r>
        <w:t>culture</w:t>
      </w:r>
      <w:r w:rsidR="00BF059B">
        <w:t xml:space="preserve"> </w:t>
      </w:r>
      <w:r>
        <w:t>took</w:t>
      </w:r>
      <w:r w:rsidR="00BF059B">
        <w:t xml:space="preserve"> </w:t>
      </w:r>
      <w:r>
        <w:t>place</w:t>
      </w:r>
      <w:r w:rsidR="00BF059B">
        <w:t xml:space="preserve"> </w:t>
      </w:r>
      <w:r>
        <w:t>on</w:t>
      </w:r>
      <w:r w:rsidR="00BF059B">
        <w:t xml:space="preserve"> </w:t>
      </w:r>
      <w:r>
        <w:t>10</w:t>
      </w:r>
      <w:r w:rsidR="00BF059B">
        <w:t xml:space="preserve"> </w:t>
      </w:r>
      <w:r>
        <w:t>August</w:t>
      </w:r>
      <w:r w:rsidR="00BF059B">
        <w:t xml:space="preserve"> </w:t>
      </w:r>
      <w:r>
        <w:t>2024.</w:t>
      </w:r>
      <w:r w:rsidR="00BF059B">
        <w:t xml:space="preserve"> </w:t>
      </w:r>
      <w:r>
        <w:t>A</w:t>
      </w:r>
      <w:r w:rsidR="00BF059B">
        <w:t xml:space="preserve"> </w:t>
      </w:r>
      <w:r>
        <w:t>total</w:t>
      </w:r>
      <w:r w:rsidR="00BF059B">
        <w:t xml:space="preserve"> </w:t>
      </w:r>
      <w:r>
        <w:t>of</w:t>
      </w:r>
      <w:r w:rsidR="00BF059B">
        <w:t xml:space="preserve"> </w:t>
      </w:r>
      <w:r>
        <w:t>2,307</w:t>
      </w:r>
      <w:r w:rsidR="00BF059B">
        <w:t xml:space="preserve"> </w:t>
      </w:r>
      <w:r>
        <w:t>tickets</w:t>
      </w:r>
      <w:r w:rsidR="00BF059B">
        <w:t xml:space="preserve"> </w:t>
      </w:r>
      <w:r>
        <w:t>were</w:t>
      </w:r>
      <w:r w:rsidR="00BF059B">
        <w:t xml:space="preserve"> </w:t>
      </w:r>
      <w:r>
        <w:t>sold,</w:t>
      </w:r>
      <w:r w:rsidR="00BF059B">
        <w:t xml:space="preserve"> </w:t>
      </w:r>
      <w:r>
        <w:t>including</w:t>
      </w:r>
      <w:r w:rsidR="00BF059B">
        <w:t xml:space="preserve"> </w:t>
      </w:r>
      <w:r>
        <w:t>529</w:t>
      </w:r>
      <w:r w:rsidR="00BF059B">
        <w:t xml:space="preserve"> </w:t>
      </w:r>
      <w:r>
        <w:t>discounted</w:t>
      </w:r>
      <w:r w:rsidR="00BF059B">
        <w:t xml:space="preserve"> </w:t>
      </w:r>
      <w:r>
        <w:t>for</w:t>
      </w:r>
      <w:r w:rsidR="00BF059B">
        <w:t xml:space="preserve"> </w:t>
      </w:r>
      <w:r>
        <w:t>over-60s.</w:t>
      </w:r>
      <w:r w:rsidR="00BF059B">
        <w:t xml:space="preserve"> </w:t>
      </w:r>
      <w:r>
        <w:t>79%</w:t>
      </w:r>
      <w:r w:rsidR="00BF059B">
        <w:t xml:space="preserve"> </w:t>
      </w:r>
      <w:r>
        <w:t>of</w:t>
      </w:r>
      <w:r w:rsidR="00BF059B">
        <w:t xml:space="preserve"> </w:t>
      </w:r>
      <w:r>
        <w:t>visitors</w:t>
      </w:r>
      <w:r w:rsidR="00BF059B">
        <w:t xml:space="preserve"> </w:t>
      </w:r>
      <w:r>
        <w:t>were</w:t>
      </w:r>
      <w:r w:rsidR="00BF059B">
        <w:t xml:space="preserve"> </w:t>
      </w:r>
      <w:r>
        <w:t>from</w:t>
      </w:r>
      <w:r w:rsidR="00BF059B">
        <w:t xml:space="preserve"> </w:t>
      </w:r>
      <w:r>
        <w:t>ethnically</w:t>
      </w:r>
      <w:r w:rsidR="00BF059B">
        <w:t xml:space="preserve"> </w:t>
      </w:r>
      <w:r>
        <w:t>diverse</w:t>
      </w:r>
      <w:r w:rsidR="00BF059B">
        <w:t xml:space="preserve"> </w:t>
      </w:r>
      <w:r>
        <w:t>groups,</w:t>
      </w:r>
      <w:r w:rsidR="00BF059B">
        <w:t xml:space="preserve"> </w:t>
      </w:r>
      <w:r>
        <w:t>with</w:t>
      </w:r>
      <w:r w:rsidR="00BF059B">
        <w:t xml:space="preserve"> </w:t>
      </w:r>
      <w:r>
        <w:t>65%</w:t>
      </w:r>
      <w:r w:rsidR="00BF059B">
        <w:t xml:space="preserve"> </w:t>
      </w:r>
      <w:r>
        <w:t>of</w:t>
      </w:r>
      <w:r w:rsidR="00BF059B">
        <w:t xml:space="preserve"> </w:t>
      </w:r>
      <w:r>
        <w:t>Black,</w:t>
      </w:r>
      <w:r w:rsidR="00BF059B">
        <w:t xml:space="preserve"> </w:t>
      </w:r>
      <w:r>
        <w:t>African,</w:t>
      </w:r>
      <w:r w:rsidR="00BF059B">
        <w:t xml:space="preserve"> </w:t>
      </w:r>
      <w:r>
        <w:t>Black</w:t>
      </w:r>
      <w:r w:rsidR="00BF059B">
        <w:t xml:space="preserve"> </w:t>
      </w:r>
      <w:r>
        <w:t>British</w:t>
      </w:r>
      <w:r w:rsidR="00BF059B">
        <w:t xml:space="preserve"> </w:t>
      </w:r>
      <w:r>
        <w:t>or</w:t>
      </w:r>
      <w:r w:rsidR="00BF059B">
        <w:t xml:space="preserve"> </w:t>
      </w:r>
      <w:r>
        <w:t>Caribbean</w:t>
      </w:r>
      <w:r w:rsidR="00BF059B">
        <w:t xml:space="preserve"> </w:t>
      </w:r>
      <w:r>
        <w:t>heritage.</w:t>
      </w:r>
      <w:r w:rsidR="00BF059B">
        <w:t xml:space="preserve"> </w:t>
      </w:r>
      <w:r>
        <w:t>64%</w:t>
      </w:r>
      <w:r w:rsidR="00BF059B">
        <w:t xml:space="preserve"> </w:t>
      </w:r>
      <w:r>
        <w:t>were</w:t>
      </w:r>
      <w:r w:rsidR="00BF059B">
        <w:t xml:space="preserve"> </w:t>
      </w:r>
      <w:r>
        <w:t>making</w:t>
      </w:r>
      <w:r w:rsidR="00BF059B">
        <w:t xml:space="preserve"> </w:t>
      </w:r>
      <w:r>
        <w:t>their</w:t>
      </w:r>
      <w:r w:rsidR="00BF059B">
        <w:t xml:space="preserve"> </w:t>
      </w:r>
      <w:r>
        <w:t>first</w:t>
      </w:r>
      <w:r w:rsidR="00BF059B">
        <w:t xml:space="preserve"> </w:t>
      </w:r>
      <w:r>
        <w:t>visit</w:t>
      </w:r>
      <w:r w:rsidR="00BF059B">
        <w:t xml:space="preserve"> </w:t>
      </w:r>
      <w:r>
        <w:t>to</w:t>
      </w:r>
      <w:r w:rsidR="00BF059B">
        <w:t xml:space="preserve"> </w:t>
      </w:r>
      <w:r>
        <w:t>events</w:t>
      </w:r>
      <w:r w:rsidR="00BF059B">
        <w:t xml:space="preserve"> </w:t>
      </w:r>
      <w:r>
        <w:t>on</w:t>
      </w:r>
      <w:r w:rsidR="00BF059B">
        <w:t xml:space="preserve"> </w:t>
      </w:r>
      <w:r>
        <w:t>this</w:t>
      </w:r>
      <w:r w:rsidR="00BF059B">
        <w:t xml:space="preserve"> </w:t>
      </w:r>
      <w:r>
        <w:t>theme.</w:t>
      </w:r>
      <w:r w:rsidR="00BF059B">
        <w:t xml:space="preserve"> </w:t>
      </w:r>
    </w:p>
    <w:p w14:paraId="41DEB09B" w14:textId="77777777" w:rsidR="00BE13A8" w:rsidRDefault="00BE13A8">
      <w:pPr>
        <w:jc w:val="both"/>
        <w:rPr>
          <w:color w:val="FF0000"/>
        </w:rPr>
      </w:pPr>
    </w:p>
    <w:p w14:paraId="172A0E57" w14:textId="2922E0AC" w:rsidR="00BE13A8" w:rsidRDefault="00D70530">
      <w:pPr>
        <w:jc w:val="both"/>
      </w:pPr>
      <w:r>
        <w:t>We</w:t>
      </w:r>
      <w:r w:rsidR="00BF059B">
        <w:t xml:space="preserve"> </w:t>
      </w:r>
      <w:r>
        <w:t>continued</w:t>
      </w:r>
      <w:r w:rsidR="00BF059B">
        <w:t xml:space="preserve"> </w:t>
      </w:r>
      <w:r>
        <w:t>our</w:t>
      </w:r>
      <w:r w:rsidR="00BF059B">
        <w:t xml:space="preserve"> </w:t>
      </w:r>
      <w:r>
        <w:rPr>
          <w:b/>
        </w:rPr>
        <w:t>Hey</w:t>
      </w:r>
      <w:r w:rsidR="00BF059B">
        <w:rPr>
          <w:b/>
        </w:rPr>
        <w:t xml:space="preserve"> </w:t>
      </w:r>
      <w:r>
        <w:rPr>
          <w:b/>
        </w:rPr>
        <w:t>Jukebox!</w:t>
      </w:r>
      <w:r w:rsidR="00BF059B">
        <w:t xml:space="preserve"> </w:t>
      </w:r>
      <w:r>
        <w:t>series,</w:t>
      </w:r>
      <w:r w:rsidR="00BF059B">
        <w:t xml:space="preserve"> </w:t>
      </w:r>
      <w:r>
        <w:t>a</w:t>
      </w:r>
      <w:r w:rsidR="00BF059B">
        <w:t xml:space="preserve"> </w:t>
      </w:r>
      <w:r>
        <w:t>monthly</w:t>
      </w:r>
      <w:r w:rsidR="00BF059B">
        <w:t xml:space="preserve"> </w:t>
      </w:r>
      <w:r>
        <w:t>playlist</w:t>
      </w:r>
      <w:r w:rsidR="00BF059B">
        <w:t xml:space="preserve"> </w:t>
      </w:r>
      <w:r>
        <w:t>for</w:t>
      </w:r>
      <w:r w:rsidR="00BF059B">
        <w:t xml:space="preserve"> </w:t>
      </w:r>
      <w:r>
        <w:t>the</w:t>
      </w:r>
      <w:r w:rsidR="00BF059B">
        <w:t xml:space="preserve"> </w:t>
      </w:r>
      <w:r>
        <w:t>Music</w:t>
      </w:r>
      <w:r w:rsidR="00BF059B">
        <w:t xml:space="preserve"> </w:t>
      </w:r>
      <w:r>
        <w:t>Gallery</w:t>
      </w:r>
      <w:r w:rsidR="00BF059B">
        <w:t xml:space="preserve"> </w:t>
      </w:r>
      <w:r>
        <w:t>inspired</w:t>
      </w:r>
      <w:r w:rsidR="00BF059B">
        <w:t xml:space="preserve"> </w:t>
      </w:r>
      <w:r>
        <w:t>by</w:t>
      </w:r>
      <w:r w:rsidR="00BF059B">
        <w:t xml:space="preserve"> </w:t>
      </w:r>
      <w:r>
        <w:t>seasonal</w:t>
      </w:r>
      <w:r w:rsidR="00BF059B">
        <w:t xml:space="preserve"> </w:t>
      </w:r>
      <w:r>
        <w:t>celebrations,</w:t>
      </w:r>
      <w:r w:rsidR="00BF059B">
        <w:t xml:space="preserve"> </w:t>
      </w:r>
      <w:r>
        <w:t>special</w:t>
      </w:r>
      <w:r w:rsidR="00BF059B">
        <w:t xml:space="preserve"> </w:t>
      </w:r>
      <w:r>
        <w:t>exhibitions,</w:t>
      </w:r>
      <w:r w:rsidR="00BF059B">
        <w:t xml:space="preserve"> </w:t>
      </w:r>
      <w:r>
        <w:t>performers</w:t>
      </w:r>
      <w:r w:rsidR="00BF059B">
        <w:t xml:space="preserve"> </w:t>
      </w:r>
      <w:r>
        <w:t>or</w:t>
      </w:r>
      <w:r w:rsidR="00BF059B">
        <w:t xml:space="preserve"> </w:t>
      </w:r>
      <w:r>
        <w:t>objects</w:t>
      </w:r>
      <w:r w:rsidR="00BF059B">
        <w:t xml:space="preserve"> </w:t>
      </w:r>
      <w:r>
        <w:t>from</w:t>
      </w:r>
      <w:r w:rsidR="00BF059B">
        <w:t xml:space="preserve"> </w:t>
      </w:r>
      <w:r>
        <w:t>the</w:t>
      </w:r>
      <w:r w:rsidR="00BF059B">
        <w:t xml:space="preserve"> </w:t>
      </w:r>
      <w:r>
        <w:t>collection.</w:t>
      </w:r>
      <w:r w:rsidR="00BF059B">
        <w:t xml:space="preserve"> </w:t>
      </w:r>
      <w:r>
        <w:t>This</w:t>
      </w:r>
      <w:r w:rsidR="00BF059B">
        <w:t xml:space="preserve"> </w:t>
      </w:r>
      <w:r>
        <w:t>year’s</w:t>
      </w:r>
      <w:r w:rsidR="00BF059B">
        <w:t xml:space="preserve"> </w:t>
      </w:r>
      <w:r>
        <w:t>themes</w:t>
      </w:r>
      <w:r w:rsidR="00BF059B">
        <w:t xml:space="preserve"> </w:t>
      </w:r>
      <w:r>
        <w:t>have</w:t>
      </w:r>
      <w:r w:rsidR="00BF059B">
        <w:t xml:space="preserve"> </w:t>
      </w:r>
      <w:r>
        <w:t>encompassed</w:t>
      </w:r>
      <w:r w:rsidR="00BF059B">
        <w:t xml:space="preserve"> </w:t>
      </w:r>
      <w:r>
        <w:t>music</w:t>
      </w:r>
      <w:r w:rsidR="00BF059B">
        <w:t xml:space="preserve"> </w:t>
      </w:r>
      <w:r>
        <w:t>on</w:t>
      </w:r>
      <w:r w:rsidR="00BF059B">
        <w:t xml:space="preserve"> </w:t>
      </w:r>
      <w:r>
        <w:t>a</w:t>
      </w:r>
      <w:r w:rsidR="00BF059B">
        <w:t xml:space="preserve"> </w:t>
      </w:r>
      <w:r>
        <w:t>Ground</w:t>
      </w:r>
      <w:r w:rsidR="00BF059B">
        <w:t xml:space="preserve"> </w:t>
      </w:r>
      <w:r>
        <w:t>Bass,</w:t>
      </w:r>
      <w:r w:rsidR="00BF059B">
        <w:t xml:space="preserve"> </w:t>
      </w:r>
      <w:r>
        <w:t>Fusion,</w:t>
      </w:r>
      <w:r w:rsidR="00BF059B">
        <w:t xml:space="preserve"> </w:t>
      </w:r>
      <w:r>
        <w:t>Black</w:t>
      </w:r>
      <w:r w:rsidR="00BF059B">
        <w:t xml:space="preserve"> </w:t>
      </w:r>
      <w:r>
        <w:t>Hair</w:t>
      </w:r>
      <w:r w:rsidR="00BF059B">
        <w:t xml:space="preserve"> </w:t>
      </w:r>
      <w:r>
        <w:t>Day,</w:t>
      </w:r>
      <w:r w:rsidR="00BF059B">
        <w:t xml:space="preserve"> </w:t>
      </w:r>
      <w:r>
        <w:t>storytelling,</w:t>
      </w:r>
      <w:r w:rsidR="00BF059B">
        <w:t xml:space="preserve"> </w:t>
      </w:r>
      <w:r>
        <w:t>and</w:t>
      </w:r>
      <w:r w:rsidR="00BF059B">
        <w:t xml:space="preserve"> </w:t>
      </w:r>
      <w:proofErr w:type="gramStart"/>
      <w:r>
        <w:t>Sounds</w:t>
      </w:r>
      <w:proofErr w:type="gramEnd"/>
      <w:r w:rsidR="00BF059B">
        <w:t xml:space="preserve"> </w:t>
      </w:r>
      <w:r>
        <w:t>of</w:t>
      </w:r>
      <w:r w:rsidR="00BF059B">
        <w:t xml:space="preserve"> </w:t>
      </w:r>
      <w:r>
        <w:t>Benin.</w:t>
      </w:r>
      <w:r w:rsidR="00BF059B">
        <w:t xml:space="preserve"> </w:t>
      </w:r>
      <w:r>
        <w:rPr>
          <w:b/>
        </w:rPr>
        <w:t>Hear</w:t>
      </w:r>
      <w:r w:rsidR="00BF059B">
        <w:rPr>
          <w:b/>
        </w:rPr>
        <w:t xml:space="preserve"> </w:t>
      </w:r>
      <w:r>
        <w:rPr>
          <w:b/>
        </w:rPr>
        <w:t>it</w:t>
      </w:r>
      <w:r w:rsidR="00BF059B">
        <w:rPr>
          <w:b/>
        </w:rPr>
        <w:t xml:space="preserve"> </w:t>
      </w:r>
      <w:r>
        <w:rPr>
          <w:b/>
        </w:rPr>
        <w:t>Live!</w:t>
      </w:r>
      <w:r w:rsidR="00BF059B">
        <w:t xml:space="preserve"> </w:t>
      </w:r>
      <w:r>
        <w:t>continued</w:t>
      </w:r>
      <w:r w:rsidR="00BF059B">
        <w:t xml:space="preserve"> </w:t>
      </w:r>
      <w:r>
        <w:t>to</w:t>
      </w:r>
      <w:r w:rsidR="00BF059B">
        <w:t xml:space="preserve"> </w:t>
      </w:r>
      <w:r>
        <w:t>introduce</w:t>
      </w:r>
      <w:r w:rsidR="00BF059B">
        <w:t xml:space="preserve"> </w:t>
      </w:r>
      <w:r>
        <w:t>visitors</w:t>
      </w:r>
      <w:r w:rsidR="00BF059B">
        <w:t xml:space="preserve"> </w:t>
      </w:r>
      <w:r>
        <w:t>to</w:t>
      </w:r>
      <w:r w:rsidR="00BF059B">
        <w:t xml:space="preserve"> </w:t>
      </w:r>
      <w:r>
        <w:t>different</w:t>
      </w:r>
      <w:r w:rsidR="00BF059B">
        <w:t xml:space="preserve"> </w:t>
      </w:r>
      <w:r>
        <w:t>instruments</w:t>
      </w:r>
      <w:r w:rsidR="00BF059B">
        <w:t xml:space="preserve"> </w:t>
      </w:r>
      <w:r>
        <w:t>featured</w:t>
      </w:r>
      <w:r w:rsidR="00BF059B">
        <w:t xml:space="preserve"> </w:t>
      </w:r>
      <w:r>
        <w:t>in</w:t>
      </w:r>
      <w:r w:rsidR="00BF059B">
        <w:t xml:space="preserve"> </w:t>
      </w:r>
      <w:r>
        <w:t>our</w:t>
      </w:r>
      <w:r w:rsidR="00BF059B">
        <w:t xml:space="preserve"> </w:t>
      </w:r>
      <w:r>
        <w:t>collections,</w:t>
      </w:r>
      <w:r w:rsidR="00BF059B">
        <w:t xml:space="preserve"> </w:t>
      </w:r>
      <w:r>
        <w:t>from</w:t>
      </w:r>
      <w:r w:rsidR="00BF059B">
        <w:t xml:space="preserve"> </w:t>
      </w:r>
      <w:r>
        <w:t>the</w:t>
      </w:r>
      <w:r w:rsidR="00BF059B">
        <w:t xml:space="preserve"> </w:t>
      </w:r>
      <w:r>
        <w:t>tromba</w:t>
      </w:r>
      <w:r w:rsidR="00BF059B">
        <w:t xml:space="preserve"> </w:t>
      </w:r>
      <w:r>
        <w:t>marina</w:t>
      </w:r>
      <w:r w:rsidR="00BF059B">
        <w:t xml:space="preserve"> </w:t>
      </w:r>
      <w:r>
        <w:t>to</w:t>
      </w:r>
      <w:r w:rsidR="00BF059B">
        <w:t xml:space="preserve"> </w:t>
      </w:r>
      <w:r>
        <w:t>African</w:t>
      </w:r>
      <w:r w:rsidR="00BF059B">
        <w:t xml:space="preserve"> </w:t>
      </w:r>
      <w:r>
        <w:t>drums,</w:t>
      </w:r>
      <w:r w:rsidR="00BF059B">
        <w:t xml:space="preserve"> </w:t>
      </w:r>
      <w:r>
        <w:t>and</w:t>
      </w:r>
      <w:r w:rsidR="00BF059B">
        <w:t xml:space="preserve"> </w:t>
      </w:r>
      <w:r>
        <w:t>the</w:t>
      </w:r>
      <w:r w:rsidR="00BF059B">
        <w:t xml:space="preserve"> </w:t>
      </w:r>
      <w:r>
        <w:t>sitar</w:t>
      </w:r>
      <w:r w:rsidR="00BF059B">
        <w:t xml:space="preserve"> </w:t>
      </w:r>
      <w:r>
        <w:t>to</w:t>
      </w:r>
      <w:r w:rsidR="00BF059B">
        <w:t xml:space="preserve"> </w:t>
      </w:r>
      <w:r>
        <w:t>the</w:t>
      </w:r>
      <w:r w:rsidR="00BF059B">
        <w:t xml:space="preserve"> </w:t>
      </w:r>
      <w:r>
        <w:t>conch.</w:t>
      </w:r>
      <w:r w:rsidR="00BF059B">
        <w:t xml:space="preserve"> </w:t>
      </w:r>
      <w:r>
        <w:t>11</w:t>
      </w:r>
      <w:r w:rsidR="00BF059B">
        <w:t xml:space="preserve"> </w:t>
      </w:r>
      <w:r>
        <w:t>performances</w:t>
      </w:r>
      <w:r w:rsidR="00BF059B">
        <w:t xml:space="preserve"> </w:t>
      </w:r>
      <w:r>
        <w:t>took</w:t>
      </w:r>
      <w:r w:rsidR="00BF059B">
        <w:t xml:space="preserve"> </w:t>
      </w:r>
      <w:r>
        <w:t>place</w:t>
      </w:r>
      <w:r w:rsidR="00BF059B">
        <w:t xml:space="preserve"> </w:t>
      </w:r>
      <w:r>
        <w:t>with</w:t>
      </w:r>
      <w:r w:rsidR="00BF059B">
        <w:t xml:space="preserve"> </w:t>
      </w:r>
      <w:r>
        <w:t>1,081</w:t>
      </w:r>
      <w:r w:rsidR="00BF059B">
        <w:t xml:space="preserve"> </w:t>
      </w:r>
      <w:r>
        <w:t>visitors.</w:t>
      </w:r>
      <w:r w:rsidR="00BF059B">
        <w:t xml:space="preserve"> </w:t>
      </w:r>
      <w:r>
        <w:t>Three</w:t>
      </w:r>
      <w:r w:rsidR="00BF059B">
        <w:t xml:space="preserve"> </w:t>
      </w:r>
      <w:r>
        <w:t>quarters</w:t>
      </w:r>
      <w:r w:rsidR="00BF059B">
        <w:t xml:space="preserve"> </w:t>
      </w:r>
      <w:r>
        <w:t>of</w:t>
      </w:r>
      <w:r w:rsidR="00BF059B">
        <w:t xml:space="preserve"> </w:t>
      </w:r>
      <w:r>
        <w:t>visitors</w:t>
      </w:r>
      <w:r w:rsidR="00BF059B">
        <w:t xml:space="preserve"> </w:t>
      </w:r>
      <w:r>
        <w:t>had</w:t>
      </w:r>
      <w:r w:rsidR="00BF059B">
        <w:t xml:space="preserve"> </w:t>
      </w:r>
      <w:r>
        <w:t>previously</w:t>
      </w:r>
      <w:r w:rsidR="00BF059B">
        <w:t xml:space="preserve"> </w:t>
      </w:r>
      <w:r>
        <w:t>visited</w:t>
      </w:r>
      <w:r w:rsidR="00BF059B">
        <w:t xml:space="preserve"> </w:t>
      </w:r>
      <w:r>
        <w:t>the</w:t>
      </w:r>
      <w:r w:rsidR="00BF059B">
        <w:t xml:space="preserve"> </w:t>
      </w:r>
      <w:r>
        <w:t>Horniman</w:t>
      </w:r>
      <w:r w:rsidR="00BF059B">
        <w:t xml:space="preserve"> </w:t>
      </w:r>
      <w:r>
        <w:t>in</w:t>
      </w:r>
      <w:r w:rsidR="00BF059B">
        <w:t xml:space="preserve"> </w:t>
      </w:r>
      <w:r>
        <w:t>the</w:t>
      </w:r>
      <w:r w:rsidR="00BF059B">
        <w:t xml:space="preserve"> </w:t>
      </w:r>
      <w:r>
        <w:t>past</w:t>
      </w:r>
      <w:r w:rsidR="00BF059B">
        <w:t xml:space="preserve"> </w:t>
      </w:r>
      <w:r>
        <w:t>year,</w:t>
      </w:r>
      <w:r w:rsidR="00BF059B">
        <w:t xml:space="preserve"> </w:t>
      </w:r>
      <w:r>
        <w:t>but</w:t>
      </w:r>
      <w:r w:rsidR="00BF059B">
        <w:t xml:space="preserve"> </w:t>
      </w:r>
      <w:r>
        <w:t>despite</w:t>
      </w:r>
      <w:r w:rsidR="00BF059B">
        <w:t xml:space="preserve"> </w:t>
      </w:r>
      <w:r>
        <w:t>the</w:t>
      </w:r>
      <w:r w:rsidR="00BF059B">
        <w:t xml:space="preserve"> </w:t>
      </w:r>
      <w:r>
        <w:t>programme</w:t>
      </w:r>
      <w:r w:rsidR="00BF059B">
        <w:t xml:space="preserve"> </w:t>
      </w:r>
      <w:r>
        <w:t>running</w:t>
      </w:r>
      <w:r w:rsidR="00BF059B">
        <w:t xml:space="preserve"> </w:t>
      </w:r>
      <w:r>
        <w:t>for</w:t>
      </w:r>
      <w:r w:rsidR="00BF059B">
        <w:t xml:space="preserve"> </w:t>
      </w:r>
      <w:r>
        <w:t>many</w:t>
      </w:r>
      <w:r w:rsidR="00BF059B">
        <w:t xml:space="preserve"> </w:t>
      </w:r>
      <w:r>
        <w:t>years</w:t>
      </w:r>
      <w:r w:rsidR="00BF059B">
        <w:t xml:space="preserve"> </w:t>
      </w:r>
      <w:r>
        <w:t>most</w:t>
      </w:r>
      <w:r w:rsidR="00BF059B">
        <w:t xml:space="preserve"> </w:t>
      </w:r>
      <w:r>
        <w:t>attendees</w:t>
      </w:r>
      <w:r w:rsidR="00BF059B">
        <w:t xml:space="preserve"> </w:t>
      </w:r>
      <w:r>
        <w:t>(52%)</w:t>
      </w:r>
      <w:r w:rsidR="00BF059B">
        <w:t xml:space="preserve"> </w:t>
      </w:r>
      <w:r>
        <w:t>had</w:t>
      </w:r>
      <w:r w:rsidR="00BF059B">
        <w:t xml:space="preserve"> </w:t>
      </w:r>
      <w:r>
        <w:t>not</w:t>
      </w:r>
      <w:r w:rsidR="00BF059B">
        <w:t xml:space="preserve"> </w:t>
      </w:r>
      <w:r>
        <w:t>previously</w:t>
      </w:r>
      <w:r w:rsidR="00BF059B">
        <w:t xml:space="preserve"> </w:t>
      </w:r>
      <w:r>
        <w:t>been</w:t>
      </w:r>
      <w:r w:rsidR="00BF059B">
        <w:t xml:space="preserve"> </w:t>
      </w:r>
      <w:r>
        <w:t>to</w:t>
      </w:r>
      <w:r w:rsidR="00BF059B">
        <w:t xml:space="preserve"> </w:t>
      </w:r>
      <w:r>
        <w:t>a</w:t>
      </w:r>
      <w:r w:rsidR="00BF059B">
        <w:t xml:space="preserve"> </w:t>
      </w:r>
      <w:r>
        <w:t>Hear</w:t>
      </w:r>
      <w:r w:rsidR="00BF059B">
        <w:t xml:space="preserve"> </w:t>
      </w:r>
      <w:r>
        <w:t>it</w:t>
      </w:r>
      <w:r w:rsidR="00BF059B">
        <w:t xml:space="preserve"> </w:t>
      </w:r>
      <w:r>
        <w:t>Live!</w:t>
      </w:r>
      <w:r w:rsidR="00BF059B">
        <w:t xml:space="preserve"> </w:t>
      </w:r>
      <w:r>
        <w:t>performance.</w:t>
      </w:r>
    </w:p>
    <w:p w14:paraId="4374E5E3" w14:textId="77777777" w:rsidR="00BE13A8" w:rsidRDefault="00BE13A8">
      <w:pPr>
        <w:jc w:val="both"/>
        <w:rPr>
          <w:highlight w:val="white"/>
        </w:rPr>
      </w:pPr>
    </w:p>
    <w:p w14:paraId="76A41DD6" w14:textId="6DCCBA38" w:rsidR="00BE13A8" w:rsidRDefault="00D70530">
      <w:pPr>
        <w:jc w:val="both"/>
        <w:rPr>
          <w:b/>
          <w:highlight w:val="white"/>
        </w:rPr>
      </w:pPr>
      <w:r>
        <w:rPr>
          <w:highlight w:val="white"/>
        </w:rPr>
        <w:t>We</w:t>
      </w:r>
      <w:r w:rsidR="00BF059B">
        <w:rPr>
          <w:highlight w:val="white"/>
        </w:rPr>
        <w:t xml:space="preserve"> </w:t>
      </w:r>
      <w:r>
        <w:rPr>
          <w:highlight w:val="white"/>
        </w:rPr>
        <w:t>ran</w:t>
      </w:r>
      <w:r w:rsidR="00BF059B">
        <w:rPr>
          <w:highlight w:val="white"/>
        </w:rPr>
        <w:t xml:space="preserve"> </w:t>
      </w:r>
      <w:r>
        <w:rPr>
          <w:highlight w:val="white"/>
        </w:rPr>
        <w:t>a</w:t>
      </w:r>
      <w:r w:rsidR="00BF059B">
        <w:rPr>
          <w:highlight w:val="white"/>
        </w:rPr>
        <w:t xml:space="preserve"> </w:t>
      </w:r>
      <w:r>
        <w:rPr>
          <w:highlight w:val="white"/>
        </w:rPr>
        <w:t>total</w:t>
      </w:r>
      <w:r w:rsidR="00BF059B">
        <w:rPr>
          <w:highlight w:val="white"/>
        </w:rPr>
        <w:t xml:space="preserve"> </w:t>
      </w:r>
      <w:r>
        <w:rPr>
          <w:highlight w:val="white"/>
        </w:rPr>
        <w:t>of</w:t>
      </w:r>
      <w:r w:rsidR="00BF059B">
        <w:rPr>
          <w:highlight w:val="white"/>
        </w:rPr>
        <w:t xml:space="preserve"> </w:t>
      </w:r>
      <w:r>
        <w:rPr>
          <w:highlight w:val="white"/>
        </w:rPr>
        <w:t>41</w:t>
      </w:r>
      <w:r w:rsidR="00BF059B">
        <w:rPr>
          <w:highlight w:val="white"/>
        </w:rPr>
        <w:t xml:space="preserve"> </w:t>
      </w:r>
      <w:r>
        <w:rPr>
          <w:highlight w:val="white"/>
        </w:rPr>
        <w:t>free</w:t>
      </w:r>
      <w:r w:rsidR="00BF059B">
        <w:rPr>
          <w:highlight w:val="white"/>
        </w:rPr>
        <w:t xml:space="preserve"> </w:t>
      </w:r>
      <w:r>
        <w:rPr>
          <w:b/>
          <w:highlight w:val="white"/>
        </w:rPr>
        <w:t>Family</w:t>
      </w:r>
      <w:r w:rsidR="00BF059B">
        <w:rPr>
          <w:b/>
          <w:highlight w:val="white"/>
        </w:rPr>
        <w:t xml:space="preserve"> </w:t>
      </w:r>
      <w:r>
        <w:rPr>
          <w:b/>
          <w:highlight w:val="white"/>
        </w:rPr>
        <w:t>Craft</w:t>
      </w:r>
      <w:r w:rsidR="00BF059B">
        <w:rPr>
          <w:b/>
          <w:highlight w:val="white"/>
        </w:rPr>
        <w:t xml:space="preserve"> </w:t>
      </w:r>
      <w:r>
        <w:rPr>
          <w:b/>
          <w:highlight w:val="white"/>
        </w:rPr>
        <w:t>Saturday</w:t>
      </w:r>
      <w:r w:rsidR="00BF059B">
        <w:rPr>
          <w:highlight w:val="white"/>
        </w:rPr>
        <w:t xml:space="preserve"> </w:t>
      </w:r>
      <w:r>
        <w:rPr>
          <w:highlight w:val="white"/>
        </w:rPr>
        <w:t>sessions</w:t>
      </w:r>
      <w:r w:rsidR="00BF059B">
        <w:rPr>
          <w:highlight w:val="white"/>
        </w:rPr>
        <w:t xml:space="preserve"> </w:t>
      </w:r>
      <w:r>
        <w:rPr>
          <w:highlight w:val="white"/>
        </w:rPr>
        <w:t>with</w:t>
      </w:r>
      <w:r w:rsidR="00BF059B">
        <w:rPr>
          <w:highlight w:val="white"/>
        </w:rPr>
        <w:t xml:space="preserve"> </w:t>
      </w:r>
      <w:r>
        <w:rPr>
          <w:highlight w:val="white"/>
        </w:rPr>
        <w:t>2,725</w:t>
      </w:r>
      <w:r w:rsidR="00BF059B">
        <w:rPr>
          <w:highlight w:val="white"/>
        </w:rPr>
        <w:t xml:space="preserve"> </w:t>
      </w:r>
      <w:r>
        <w:rPr>
          <w:highlight w:val="white"/>
        </w:rPr>
        <w:t>attendees.</w:t>
      </w:r>
      <w:r w:rsidR="00BF059B">
        <w:rPr>
          <w:highlight w:val="white"/>
        </w:rPr>
        <w:t xml:space="preserve"> </w:t>
      </w:r>
      <w:r>
        <w:rPr>
          <w:highlight w:val="white"/>
        </w:rPr>
        <w:t>38%</w:t>
      </w:r>
      <w:r w:rsidR="00BF059B">
        <w:rPr>
          <w:highlight w:val="white"/>
        </w:rPr>
        <w:t xml:space="preserve"> </w:t>
      </w:r>
      <w:r>
        <w:rPr>
          <w:highlight w:val="white"/>
        </w:rPr>
        <w:t>of</w:t>
      </w:r>
      <w:r w:rsidR="00BF059B">
        <w:rPr>
          <w:highlight w:val="white"/>
        </w:rPr>
        <w:t xml:space="preserve"> </w:t>
      </w:r>
      <w:r>
        <w:rPr>
          <w:highlight w:val="white"/>
        </w:rPr>
        <w:t>attendees</w:t>
      </w:r>
      <w:r w:rsidR="00BF059B">
        <w:rPr>
          <w:highlight w:val="white"/>
        </w:rPr>
        <w:t xml:space="preserve"> </w:t>
      </w:r>
      <w:r>
        <w:rPr>
          <w:highlight w:val="white"/>
        </w:rPr>
        <w:t>were</w:t>
      </w:r>
      <w:r w:rsidR="00BF059B">
        <w:rPr>
          <w:highlight w:val="white"/>
        </w:rPr>
        <w:t xml:space="preserve"> </w:t>
      </w:r>
      <w:r>
        <w:rPr>
          <w:highlight w:val="white"/>
        </w:rPr>
        <w:t>from</w:t>
      </w:r>
      <w:r w:rsidR="00BF059B">
        <w:rPr>
          <w:highlight w:val="white"/>
        </w:rPr>
        <w:t xml:space="preserve"> </w:t>
      </w:r>
      <w:r>
        <w:rPr>
          <w:highlight w:val="white"/>
        </w:rPr>
        <w:t>ethnically</w:t>
      </w:r>
      <w:r w:rsidR="00BF059B">
        <w:rPr>
          <w:highlight w:val="white"/>
        </w:rPr>
        <w:t xml:space="preserve"> </w:t>
      </w:r>
      <w:r>
        <w:rPr>
          <w:highlight w:val="white"/>
        </w:rPr>
        <w:t>diverse</w:t>
      </w:r>
      <w:r w:rsidR="00BF059B">
        <w:rPr>
          <w:highlight w:val="white"/>
        </w:rPr>
        <w:t xml:space="preserve"> </w:t>
      </w:r>
      <w:r>
        <w:rPr>
          <w:highlight w:val="white"/>
        </w:rPr>
        <w:t>groups.</w:t>
      </w:r>
      <w:r w:rsidR="00BF059B">
        <w:rPr>
          <w:highlight w:val="white"/>
        </w:rPr>
        <w:t xml:space="preserve"> </w:t>
      </w:r>
      <w:r>
        <w:rPr>
          <w:highlight w:val="white"/>
        </w:rPr>
        <w:t>There</w:t>
      </w:r>
      <w:r w:rsidR="00BF059B">
        <w:rPr>
          <w:highlight w:val="white"/>
        </w:rPr>
        <w:t xml:space="preserve"> </w:t>
      </w:r>
      <w:r>
        <w:rPr>
          <w:highlight w:val="white"/>
        </w:rPr>
        <w:t>was</w:t>
      </w:r>
      <w:r w:rsidR="00BF059B">
        <w:rPr>
          <w:highlight w:val="white"/>
        </w:rPr>
        <w:t xml:space="preserve"> </w:t>
      </w:r>
      <w:r>
        <w:rPr>
          <w:highlight w:val="white"/>
        </w:rPr>
        <w:t>a</w:t>
      </w:r>
      <w:r w:rsidR="00BF059B">
        <w:rPr>
          <w:highlight w:val="white"/>
        </w:rPr>
        <w:t xml:space="preserve"> </w:t>
      </w:r>
      <w:r>
        <w:rPr>
          <w:highlight w:val="white"/>
        </w:rPr>
        <w:t>small</w:t>
      </w:r>
      <w:r w:rsidR="00BF059B">
        <w:rPr>
          <w:highlight w:val="white"/>
        </w:rPr>
        <w:t xml:space="preserve"> </w:t>
      </w:r>
      <w:r>
        <w:rPr>
          <w:highlight w:val="white"/>
        </w:rPr>
        <w:t>increase</w:t>
      </w:r>
      <w:r w:rsidR="00BF059B">
        <w:rPr>
          <w:highlight w:val="white"/>
        </w:rPr>
        <w:t xml:space="preserve"> </w:t>
      </w:r>
      <w:r>
        <w:rPr>
          <w:highlight w:val="white"/>
        </w:rPr>
        <w:t>in</w:t>
      </w:r>
      <w:r w:rsidR="00BF059B">
        <w:rPr>
          <w:highlight w:val="white"/>
        </w:rPr>
        <w:t xml:space="preserve"> </w:t>
      </w:r>
      <w:r>
        <w:rPr>
          <w:highlight w:val="white"/>
        </w:rPr>
        <w:t>the</w:t>
      </w:r>
      <w:r w:rsidR="00BF059B">
        <w:rPr>
          <w:highlight w:val="white"/>
        </w:rPr>
        <w:t xml:space="preserve"> </w:t>
      </w:r>
      <w:r>
        <w:rPr>
          <w:highlight w:val="white"/>
        </w:rPr>
        <w:t>number</w:t>
      </w:r>
      <w:r w:rsidR="00BF059B">
        <w:rPr>
          <w:highlight w:val="white"/>
        </w:rPr>
        <w:t xml:space="preserve"> </w:t>
      </w:r>
      <w:r>
        <w:rPr>
          <w:highlight w:val="white"/>
        </w:rPr>
        <w:t>of</w:t>
      </w:r>
      <w:r w:rsidR="00BF059B">
        <w:rPr>
          <w:highlight w:val="white"/>
        </w:rPr>
        <w:t xml:space="preserve"> </w:t>
      </w:r>
      <w:proofErr w:type="gramStart"/>
      <w:r>
        <w:rPr>
          <w:highlight w:val="white"/>
        </w:rPr>
        <w:t>first</w:t>
      </w:r>
      <w:r w:rsidR="00BF059B">
        <w:rPr>
          <w:highlight w:val="white"/>
        </w:rPr>
        <w:t xml:space="preserve"> </w:t>
      </w:r>
      <w:r>
        <w:rPr>
          <w:highlight w:val="white"/>
        </w:rPr>
        <w:t>time</w:t>
      </w:r>
      <w:proofErr w:type="gramEnd"/>
      <w:r w:rsidR="00BF059B">
        <w:rPr>
          <w:highlight w:val="white"/>
        </w:rPr>
        <w:t xml:space="preserve"> </w:t>
      </w:r>
      <w:r>
        <w:rPr>
          <w:highlight w:val="white"/>
        </w:rPr>
        <w:t>visitors</w:t>
      </w:r>
      <w:r w:rsidR="00BF059B">
        <w:rPr>
          <w:highlight w:val="white"/>
        </w:rPr>
        <w:t xml:space="preserve"> </w:t>
      </w:r>
      <w:r>
        <w:rPr>
          <w:highlight w:val="white"/>
        </w:rPr>
        <w:t>to</w:t>
      </w:r>
      <w:r w:rsidR="00BF059B">
        <w:rPr>
          <w:highlight w:val="white"/>
        </w:rPr>
        <w:t xml:space="preserve"> </w:t>
      </w:r>
      <w:r>
        <w:rPr>
          <w:highlight w:val="white"/>
        </w:rPr>
        <w:t>the</w:t>
      </w:r>
      <w:r w:rsidR="00BF059B">
        <w:rPr>
          <w:highlight w:val="white"/>
        </w:rPr>
        <w:t xml:space="preserve"> </w:t>
      </w:r>
      <w:r>
        <w:rPr>
          <w:highlight w:val="white"/>
        </w:rPr>
        <w:t>Horniman</w:t>
      </w:r>
      <w:r w:rsidR="00BF059B">
        <w:rPr>
          <w:highlight w:val="white"/>
        </w:rPr>
        <w:t xml:space="preserve"> </w:t>
      </w:r>
      <w:r>
        <w:rPr>
          <w:highlight w:val="white"/>
        </w:rPr>
        <w:t>(from</w:t>
      </w:r>
      <w:r w:rsidR="00BF059B">
        <w:rPr>
          <w:highlight w:val="white"/>
        </w:rPr>
        <w:t xml:space="preserve"> </w:t>
      </w:r>
      <w:r>
        <w:rPr>
          <w:highlight w:val="white"/>
        </w:rPr>
        <w:t>11%</w:t>
      </w:r>
      <w:r w:rsidR="00BF059B">
        <w:rPr>
          <w:highlight w:val="white"/>
        </w:rPr>
        <w:t xml:space="preserve"> </w:t>
      </w:r>
      <w:r>
        <w:rPr>
          <w:highlight w:val="white"/>
        </w:rPr>
        <w:t>to</w:t>
      </w:r>
      <w:r w:rsidR="00BF059B">
        <w:rPr>
          <w:highlight w:val="white"/>
        </w:rPr>
        <w:t xml:space="preserve"> </w:t>
      </w:r>
      <w:r>
        <w:rPr>
          <w:highlight w:val="white"/>
        </w:rPr>
        <w:t>15%),</w:t>
      </w:r>
      <w:r w:rsidR="00BF059B">
        <w:rPr>
          <w:highlight w:val="white"/>
        </w:rPr>
        <w:t xml:space="preserve"> </w:t>
      </w:r>
      <w:r>
        <w:rPr>
          <w:highlight w:val="white"/>
        </w:rPr>
        <w:t>and</w:t>
      </w:r>
      <w:r w:rsidR="00BF059B">
        <w:rPr>
          <w:highlight w:val="white"/>
        </w:rPr>
        <w:t xml:space="preserve"> </w:t>
      </w:r>
      <w:r>
        <w:rPr>
          <w:highlight w:val="white"/>
        </w:rPr>
        <w:t>for</w:t>
      </w:r>
      <w:r w:rsidR="00BF059B">
        <w:rPr>
          <w:highlight w:val="white"/>
        </w:rPr>
        <w:t xml:space="preserve"> </w:t>
      </w:r>
      <w:r>
        <w:rPr>
          <w:highlight w:val="white"/>
        </w:rPr>
        <w:t>41%</w:t>
      </w:r>
      <w:r w:rsidR="00BF059B">
        <w:rPr>
          <w:highlight w:val="white"/>
        </w:rPr>
        <w:t xml:space="preserve"> </w:t>
      </w:r>
      <w:r>
        <w:rPr>
          <w:highlight w:val="white"/>
        </w:rPr>
        <w:t>of</w:t>
      </w:r>
      <w:r w:rsidR="00BF059B">
        <w:rPr>
          <w:highlight w:val="white"/>
        </w:rPr>
        <w:t xml:space="preserve"> </w:t>
      </w:r>
      <w:r>
        <w:rPr>
          <w:highlight w:val="white"/>
        </w:rPr>
        <w:t>these</w:t>
      </w:r>
      <w:r w:rsidR="00BF059B">
        <w:rPr>
          <w:highlight w:val="white"/>
        </w:rPr>
        <w:t xml:space="preserve"> </w:t>
      </w:r>
      <w:r>
        <w:rPr>
          <w:highlight w:val="white"/>
        </w:rPr>
        <w:t>visitors</w:t>
      </w:r>
      <w:r w:rsidR="00BF059B">
        <w:rPr>
          <w:highlight w:val="white"/>
        </w:rPr>
        <w:t xml:space="preserve"> </w:t>
      </w:r>
      <w:r>
        <w:rPr>
          <w:highlight w:val="white"/>
        </w:rPr>
        <w:t>the</w:t>
      </w:r>
      <w:r w:rsidR="00BF059B">
        <w:rPr>
          <w:highlight w:val="white"/>
        </w:rPr>
        <w:t xml:space="preserve"> </w:t>
      </w:r>
      <w:r>
        <w:rPr>
          <w:highlight w:val="white"/>
        </w:rPr>
        <w:t>session</w:t>
      </w:r>
      <w:r w:rsidR="00BF059B">
        <w:rPr>
          <w:highlight w:val="white"/>
        </w:rPr>
        <w:t xml:space="preserve"> </w:t>
      </w:r>
      <w:r>
        <w:rPr>
          <w:highlight w:val="white"/>
        </w:rPr>
        <w:t>was</w:t>
      </w:r>
      <w:r w:rsidR="00BF059B">
        <w:rPr>
          <w:highlight w:val="white"/>
        </w:rPr>
        <w:t xml:space="preserve"> </w:t>
      </w:r>
      <w:r>
        <w:rPr>
          <w:highlight w:val="white"/>
        </w:rPr>
        <w:t>the</w:t>
      </w:r>
      <w:r w:rsidR="00BF059B">
        <w:rPr>
          <w:highlight w:val="white"/>
        </w:rPr>
        <w:t xml:space="preserve"> </w:t>
      </w:r>
      <w:r>
        <w:rPr>
          <w:highlight w:val="white"/>
        </w:rPr>
        <w:t>main</w:t>
      </w:r>
      <w:r w:rsidR="00BF059B">
        <w:rPr>
          <w:highlight w:val="white"/>
        </w:rPr>
        <w:t xml:space="preserve"> </w:t>
      </w:r>
      <w:r>
        <w:rPr>
          <w:highlight w:val="white"/>
        </w:rPr>
        <w:t>reason,</w:t>
      </w:r>
      <w:r w:rsidR="00BF059B">
        <w:rPr>
          <w:highlight w:val="white"/>
        </w:rPr>
        <w:t xml:space="preserve"> </w:t>
      </w:r>
      <w:r>
        <w:rPr>
          <w:highlight w:val="white"/>
        </w:rPr>
        <w:t>or</w:t>
      </w:r>
      <w:r w:rsidR="00BF059B">
        <w:rPr>
          <w:highlight w:val="white"/>
        </w:rPr>
        <w:t xml:space="preserve"> </w:t>
      </w:r>
      <w:r>
        <w:rPr>
          <w:highlight w:val="white"/>
        </w:rPr>
        <w:t>part</w:t>
      </w:r>
      <w:r w:rsidR="00BF059B">
        <w:rPr>
          <w:highlight w:val="white"/>
        </w:rPr>
        <w:t xml:space="preserve"> </w:t>
      </w:r>
      <w:r>
        <w:rPr>
          <w:highlight w:val="white"/>
        </w:rPr>
        <w:t>of</w:t>
      </w:r>
      <w:r w:rsidR="00BF059B">
        <w:rPr>
          <w:highlight w:val="white"/>
        </w:rPr>
        <w:t xml:space="preserve"> </w:t>
      </w:r>
      <w:r>
        <w:rPr>
          <w:highlight w:val="white"/>
        </w:rPr>
        <w:t>the</w:t>
      </w:r>
      <w:r w:rsidR="00BF059B">
        <w:rPr>
          <w:highlight w:val="white"/>
        </w:rPr>
        <w:t xml:space="preserve"> </w:t>
      </w:r>
      <w:r>
        <w:rPr>
          <w:highlight w:val="white"/>
        </w:rPr>
        <w:t>reason,</w:t>
      </w:r>
      <w:r w:rsidR="00BF059B">
        <w:rPr>
          <w:highlight w:val="white"/>
        </w:rPr>
        <w:t xml:space="preserve"> </w:t>
      </w:r>
      <w:r>
        <w:rPr>
          <w:highlight w:val="white"/>
        </w:rPr>
        <w:t>for</w:t>
      </w:r>
      <w:r w:rsidR="00BF059B">
        <w:rPr>
          <w:highlight w:val="white"/>
        </w:rPr>
        <w:t xml:space="preserve"> </w:t>
      </w:r>
      <w:r>
        <w:rPr>
          <w:highlight w:val="white"/>
        </w:rPr>
        <w:t>visiting.</w:t>
      </w:r>
      <w:r w:rsidR="00BF059B">
        <w:rPr>
          <w:highlight w:val="white"/>
        </w:rPr>
        <w:t xml:space="preserve"> </w:t>
      </w:r>
      <w:r>
        <w:rPr>
          <w:highlight w:val="white"/>
        </w:rPr>
        <w:t>Additionally,</w:t>
      </w:r>
      <w:r w:rsidR="00BF059B">
        <w:rPr>
          <w:highlight w:val="white"/>
        </w:rPr>
        <w:t xml:space="preserve"> </w:t>
      </w:r>
      <w:r>
        <w:rPr>
          <w:highlight w:val="white"/>
        </w:rPr>
        <w:t>we</w:t>
      </w:r>
      <w:r w:rsidR="00BF059B">
        <w:rPr>
          <w:highlight w:val="white"/>
        </w:rPr>
        <w:t xml:space="preserve"> </w:t>
      </w:r>
      <w:r>
        <w:rPr>
          <w:highlight w:val="white"/>
        </w:rPr>
        <w:t>ran</w:t>
      </w:r>
      <w:r w:rsidR="00BF059B">
        <w:rPr>
          <w:highlight w:val="white"/>
        </w:rPr>
        <w:t xml:space="preserve"> </w:t>
      </w:r>
      <w:r>
        <w:rPr>
          <w:highlight w:val="white"/>
        </w:rPr>
        <w:t>nine</w:t>
      </w:r>
      <w:r w:rsidR="00BF059B">
        <w:rPr>
          <w:highlight w:val="white"/>
        </w:rPr>
        <w:t xml:space="preserve"> </w:t>
      </w:r>
      <w:r>
        <w:rPr>
          <w:b/>
          <w:highlight w:val="white"/>
        </w:rPr>
        <w:t>Horniman</w:t>
      </w:r>
      <w:r w:rsidR="00BF059B">
        <w:rPr>
          <w:highlight w:val="white"/>
        </w:rPr>
        <w:t xml:space="preserve"> </w:t>
      </w:r>
      <w:r>
        <w:rPr>
          <w:b/>
          <w:highlight w:val="white"/>
        </w:rPr>
        <w:t>Late</w:t>
      </w:r>
      <w:r w:rsidR="00BF059B">
        <w:rPr>
          <w:highlight w:val="white"/>
        </w:rPr>
        <w:t xml:space="preserve"> </w:t>
      </w:r>
      <w:r>
        <w:rPr>
          <w:highlight w:val="white"/>
        </w:rPr>
        <w:t>openings</w:t>
      </w:r>
      <w:r w:rsidR="00BF059B">
        <w:rPr>
          <w:highlight w:val="white"/>
        </w:rPr>
        <w:t xml:space="preserve"> </w:t>
      </w:r>
      <w:r>
        <w:rPr>
          <w:highlight w:val="white"/>
        </w:rPr>
        <w:t>with</w:t>
      </w:r>
      <w:r w:rsidR="00BF059B">
        <w:rPr>
          <w:highlight w:val="white"/>
        </w:rPr>
        <w:t xml:space="preserve"> </w:t>
      </w:r>
      <w:r>
        <w:rPr>
          <w:highlight w:val="white"/>
        </w:rPr>
        <w:t>2,973</w:t>
      </w:r>
      <w:r w:rsidR="00BF059B">
        <w:rPr>
          <w:highlight w:val="white"/>
        </w:rPr>
        <w:t xml:space="preserve"> </w:t>
      </w:r>
      <w:r>
        <w:rPr>
          <w:highlight w:val="white"/>
        </w:rPr>
        <w:t>attendees.</w:t>
      </w:r>
      <w:r w:rsidR="00BF059B">
        <w:rPr>
          <w:highlight w:val="white"/>
        </w:rPr>
        <w:t xml:space="preserve"> </w:t>
      </w:r>
    </w:p>
    <w:p w14:paraId="11199BEC" w14:textId="77777777" w:rsidR="00BE13A8" w:rsidRDefault="00BE13A8">
      <w:pPr>
        <w:jc w:val="both"/>
        <w:rPr>
          <w:b/>
          <w:highlight w:val="white"/>
        </w:rPr>
      </w:pPr>
    </w:p>
    <w:p w14:paraId="1E7F65E8" w14:textId="580FC600" w:rsidR="00BE13A8" w:rsidRDefault="00D70530">
      <w:pPr>
        <w:jc w:val="both"/>
        <w:rPr>
          <w:highlight w:val="white"/>
        </w:rPr>
      </w:pPr>
      <w:r>
        <w:rPr>
          <w:highlight w:val="white"/>
        </w:rPr>
        <w:t>During</w:t>
      </w:r>
      <w:r w:rsidR="00BF059B">
        <w:rPr>
          <w:highlight w:val="white"/>
        </w:rPr>
        <w:t xml:space="preserve"> </w:t>
      </w:r>
      <w:r>
        <w:rPr>
          <w:highlight w:val="white"/>
        </w:rPr>
        <w:t>February</w:t>
      </w:r>
      <w:r w:rsidR="00BF059B">
        <w:rPr>
          <w:highlight w:val="white"/>
        </w:rPr>
        <w:t xml:space="preserve"> </w:t>
      </w:r>
      <w:r>
        <w:rPr>
          <w:highlight w:val="white"/>
        </w:rPr>
        <w:t>Half</w:t>
      </w:r>
      <w:r w:rsidR="00BF059B">
        <w:rPr>
          <w:highlight w:val="white"/>
        </w:rPr>
        <w:t xml:space="preserve"> </w:t>
      </w:r>
      <w:r>
        <w:rPr>
          <w:highlight w:val="white"/>
        </w:rPr>
        <w:t>Term,</w:t>
      </w:r>
      <w:r w:rsidR="00BF059B">
        <w:rPr>
          <w:highlight w:val="white"/>
        </w:rPr>
        <w:t xml:space="preserve"> </w:t>
      </w:r>
      <w:r>
        <w:rPr>
          <w:highlight w:val="white"/>
        </w:rPr>
        <w:t>we</w:t>
      </w:r>
      <w:r w:rsidR="00BF059B">
        <w:rPr>
          <w:highlight w:val="white"/>
        </w:rPr>
        <w:t xml:space="preserve"> </w:t>
      </w:r>
      <w:r>
        <w:rPr>
          <w:highlight w:val="white"/>
        </w:rPr>
        <w:t>ran</w:t>
      </w:r>
      <w:r w:rsidR="00BF059B">
        <w:rPr>
          <w:highlight w:val="white"/>
        </w:rPr>
        <w:t xml:space="preserve"> </w:t>
      </w:r>
      <w:r>
        <w:rPr>
          <w:highlight w:val="white"/>
        </w:rPr>
        <w:t>a</w:t>
      </w:r>
      <w:r w:rsidR="00BF059B">
        <w:rPr>
          <w:highlight w:val="white"/>
        </w:rPr>
        <w:t xml:space="preserve"> </w:t>
      </w:r>
      <w:r>
        <w:rPr>
          <w:highlight w:val="white"/>
        </w:rPr>
        <w:t>programme</w:t>
      </w:r>
      <w:r w:rsidR="00BF059B">
        <w:rPr>
          <w:highlight w:val="white"/>
        </w:rPr>
        <w:t xml:space="preserve"> </w:t>
      </w:r>
      <w:r>
        <w:rPr>
          <w:highlight w:val="white"/>
        </w:rPr>
        <w:t>inspired</w:t>
      </w:r>
      <w:r w:rsidR="00BF059B">
        <w:rPr>
          <w:highlight w:val="white"/>
        </w:rPr>
        <w:t xml:space="preserve"> </w:t>
      </w:r>
      <w:r>
        <w:rPr>
          <w:highlight w:val="white"/>
        </w:rPr>
        <w:t>by</w:t>
      </w:r>
      <w:r w:rsidR="00BF059B">
        <w:rPr>
          <w:highlight w:val="white"/>
        </w:rPr>
        <w:t xml:space="preserve"> </w:t>
      </w:r>
      <w:r>
        <w:rPr>
          <w:highlight w:val="white"/>
        </w:rPr>
        <w:t>the</w:t>
      </w:r>
      <w:r w:rsidR="00BF059B">
        <w:rPr>
          <w:highlight w:val="white"/>
        </w:rPr>
        <w:t xml:space="preserve"> </w:t>
      </w:r>
      <w:r>
        <w:rPr>
          <w:highlight w:val="white"/>
        </w:rPr>
        <w:t>exhibition</w:t>
      </w:r>
      <w:r w:rsidR="00BF059B">
        <w:rPr>
          <w:highlight w:val="white"/>
        </w:rPr>
        <w:t xml:space="preserve"> </w:t>
      </w:r>
      <w:r>
        <w:rPr>
          <w:highlight w:val="white"/>
        </w:rPr>
        <w:t>called</w:t>
      </w:r>
      <w:r w:rsidR="00BF059B">
        <w:rPr>
          <w:highlight w:val="white"/>
        </w:rPr>
        <w:t xml:space="preserve"> </w:t>
      </w:r>
      <w:r>
        <w:rPr>
          <w:highlight w:val="white"/>
        </w:rPr>
        <w:t>the</w:t>
      </w:r>
      <w:r w:rsidR="00BF059B">
        <w:rPr>
          <w:highlight w:val="white"/>
        </w:rPr>
        <w:t xml:space="preserve"> </w:t>
      </w:r>
      <w:r>
        <w:rPr>
          <w:b/>
          <w:highlight w:val="white"/>
        </w:rPr>
        <w:t>Robot</w:t>
      </w:r>
      <w:r w:rsidR="00BF059B">
        <w:rPr>
          <w:b/>
          <w:highlight w:val="white"/>
        </w:rPr>
        <w:t xml:space="preserve"> </w:t>
      </w:r>
      <w:r>
        <w:rPr>
          <w:b/>
          <w:highlight w:val="white"/>
        </w:rPr>
        <w:t>Zoo</w:t>
      </w:r>
      <w:r>
        <w:rPr>
          <w:highlight w:val="white"/>
        </w:rPr>
        <w:t>,</w:t>
      </w:r>
      <w:r w:rsidR="00BF059B">
        <w:rPr>
          <w:highlight w:val="white"/>
        </w:rPr>
        <w:t xml:space="preserve"> </w:t>
      </w:r>
      <w:r>
        <w:rPr>
          <w:highlight w:val="white"/>
        </w:rPr>
        <w:t>which</w:t>
      </w:r>
      <w:r w:rsidR="00BF059B">
        <w:rPr>
          <w:highlight w:val="white"/>
        </w:rPr>
        <w:t xml:space="preserve"> </w:t>
      </w:r>
      <w:r>
        <w:rPr>
          <w:highlight w:val="white"/>
        </w:rPr>
        <w:t>included</w:t>
      </w:r>
      <w:r w:rsidR="00BF059B">
        <w:rPr>
          <w:highlight w:val="white"/>
        </w:rPr>
        <w:t xml:space="preserve"> </w:t>
      </w:r>
      <w:r>
        <w:rPr>
          <w:highlight w:val="white"/>
        </w:rPr>
        <w:t>‘meet</w:t>
      </w:r>
      <w:r w:rsidR="00BF059B">
        <w:rPr>
          <w:highlight w:val="white"/>
        </w:rPr>
        <w:t xml:space="preserve"> </w:t>
      </w:r>
      <w:r>
        <w:rPr>
          <w:highlight w:val="white"/>
        </w:rPr>
        <w:t>the</w:t>
      </w:r>
      <w:r w:rsidR="00BF059B">
        <w:rPr>
          <w:highlight w:val="white"/>
        </w:rPr>
        <w:t xml:space="preserve"> </w:t>
      </w:r>
      <w:r>
        <w:rPr>
          <w:highlight w:val="white"/>
        </w:rPr>
        <w:t>insects’</w:t>
      </w:r>
      <w:r w:rsidR="00BF059B">
        <w:rPr>
          <w:highlight w:val="white"/>
        </w:rPr>
        <w:t xml:space="preserve"> </w:t>
      </w:r>
      <w:r>
        <w:rPr>
          <w:highlight w:val="white"/>
        </w:rPr>
        <w:t>sessions</w:t>
      </w:r>
      <w:r w:rsidR="00BF059B">
        <w:rPr>
          <w:highlight w:val="white"/>
        </w:rPr>
        <w:t xml:space="preserve"> </w:t>
      </w:r>
      <w:r>
        <w:rPr>
          <w:highlight w:val="white"/>
        </w:rPr>
        <w:t>with</w:t>
      </w:r>
      <w:r w:rsidR="00BF059B">
        <w:rPr>
          <w:highlight w:val="white"/>
        </w:rPr>
        <w:t xml:space="preserve"> </w:t>
      </w:r>
      <w:r>
        <w:rPr>
          <w:highlight w:val="white"/>
        </w:rPr>
        <w:t>Wild</w:t>
      </w:r>
      <w:r w:rsidR="00BF059B">
        <w:rPr>
          <w:highlight w:val="white"/>
        </w:rPr>
        <w:t xml:space="preserve"> </w:t>
      </w:r>
      <w:r>
        <w:rPr>
          <w:highlight w:val="white"/>
        </w:rPr>
        <w:t>Fangs</w:t>
      </w:r>
      <w:r w:rsidR="00BF059B">
        <w:rPr>
          <w:highlight w:val="white"/>
        </w:rPr>
        <w:t xml:space="preserve"> </w:t>
      </w:r>
      <w:r>
        <w:rPr>
          <w:highlight w:val="white"/>
        </w:rPr>
        <w:t>and</w:t>
      </w:r>
      <w:r w:rsidR="00BF059B">
        <w:rPr>
          <w:highlight w:val="white"/>
        </w:rPr>
        <w:t xml:space="preserve"> </w:t>
      </w:r>
      <w:r>
        <w:rPr>
          <w:highlight w:val="white"/>
        </w:rPr>
        <w:t>animal-inspired</w:t>
      </w:r>
      <w:r w:rsidR="00BF059B">
        <w:rPr>
          <w:highlight w:val="white"/>
        </w:rPr>
        <w:t xml:space="preserve"> </w:t>
      </w:r>
      <w:r>
        <w:rPr>
          <w:highlight w:val="white"/>
        </w:rPr>
        <w:t>storytelling,</w:t>
      </w:r>
      <w:r w:rsidR="00BF059B">
        <w:rPr>
          <w:highlight w:val="white"/>
        </w:rPr>
        <w:t xml:space="preserve"> </w:t>
      </w:r>
      <w:r>
        <w:rPr>
          <w:highlight w:val="white"/>
        </w:rPr>
        <w:t>with</w:t>
      </w:r>
      <w:r w:rsidR="00BF059B">
        <w:rPr>
          <w:highlight w:val="white"/>
        </w:rPr>
        <w:t xml:space="preserve"> </w:t>
      </w:r>
      <w:r>
        <w:rPr>
          <w:highlight w:val="white"/>
        </w:rPr>
        <w:t>a</w:t>
      </w:r>
      <w:r w:rsidR="00BF059B">
        <w:rPr>
          <w:highlight w:val="white"/>
        </w:rPr>
        <w:t xml:space="preserve"> </w:t>
      </w:r>
      <w:r>
        <w:rPr>
          <w:highlight w:val="white"/>
        </w:rPr>
        <w:t>total</w:t>
      </w:r>
      <w:r w:rsidR="00BF059B">
        <w:rPr>
          <w:highlight w:val="white"/>
        </w:rPr>
        <w:t xml:space="preserve"> </w:t>
      </w:r>
      <w:r>
        <w:rPr>
          <w:highlight w:val="white"/>
        </w:rPr>
        <w:t>of</w:t>
      </w:r>
      <w:r w:rsidR="00BF059B">
        <w:rPr>
          <w:highlight w:val="white"/>
        </w:rPr>
        <w:t xml:space="preserve"> </w:t>
      </w:r>
      <w:r>
        <w:rPr>
          <w:highlight w:val="white"/>
        </w:rPr>
        <w:t>650</w:t>
      </w:r>
      <w:r w:rsidR="00BF059B">
        <w:rPr>
          <w:highlight w:val="white"/>
        </w:rPr>
        <w:t xml:space="preserve"> </w:t>
      </w:r>
      <w:r>
        <w:rPr>
          <w:highlight w:val="white"/>
        </w:rPr>
        <w:t>tickets</w:t>
      </w:r>
      <w:r w:rsidR="00BF059B">
        <w:rPr>
          <w:highlight w:val="white"/>
        </w:rPr>
        <w:t xml:space="preserve"> </w:t>
      </w:r>
      <w:r>
        <w:rPr>
          <w:highlight w:val="white"/>
        </w:rPr>
        <w:t>sold.</w:t>
      </w:r>
      <w:r w:rsidR="00BF059B">
        <w:rPr>
          <w:highlight w:val="white"/>
        </w:rPr>
        <w:t xml:space="preserve"> </w:t>
      </w:r>
    </w:p>
    <w:p w14:paraId="6F8784D3" w14:textId="77777777" w:rsidR="00BE13A8" w:rsidRDefault="00BE13A8">
      <w:pPr>
        <w:jc w:val="both"/>
        <w:rPr>
          <w:color w:val="FF0000"/>
          <w:highlight w:val="white"/>
        </w:rPr>
      </w:pPr>
    </w:p>
    <w:p w14:paraId="3CFF8BE3" w14:textId="58221899" w:rsidR="00BE13A8" w:rsidRDefault="00D70530" w:rsidP="00C81FD1">
      <w:pPr>
        <w:pStyle w:val="Heading4"/>
        <w:numPr>
          <w:ilvl w:val="1"/>
          <w:numId w:val="40"/>
        </w:numPr>
      </w:pPr>
      <w:r>
        <w:t>Learning</w:t>
      </w:r>
      <w:r w:rsidR="00BF059B">
        <w:t xml:space="preserve"> </w:t>
      </w:r>
      <w:r>
        <w:t>and</w:t>
      </w:r>
      <w:r w:rsidR="00BF059B">
        <w:t xml:space="preserve"> </w:t>
      </w:r>
      <w:r>
        <w:t>engagement</w:t>
      </w:r>
    </w:p>
    <w:p w14:paraId="32A65969" w14:textId="77777777" w:rsidR="00BE13A8" w:rsidRDefault="00BE13A8">
      <w:pPr>
        <w:pBdr>
          <w:top w:val="nil"/>
          <w:left w:val="nil"/>
          <w:bottom w:val="nil"/>
          <w:right w:val="nil"/>
          <w:between w:val="nil"/>
        </w:pBdr>
        <w:ind w:left="360"/>
        <w:jc w:val="both"/>
        <w:rPr>
          <w:b/>
          <w:color w:val="000000"/>
        </w:rPr>
      </w:pPr>
    </w:p>
    <w:p w14:paraId="32C0D1BC" w14:textId="5E320E83" w:rsidR="00BE13A8" w:rsidRPr="008D4835" w:rsidRDefault="008D4835" w:rsidP="008D4835">
      <w:pPr>
        <w:pStyle w:val="Heading5"/>
      </w:pPr>
      <w:r w:rsidRPr="008D4835">
        <w:t xml:space="preserve">1.4.1 </w:t>
      </w:r>
      <w:r w:rsidR="00D70530" w:rsidRPr="008D4835">
        <w:t>Formal</w:t>
      </w:r>
      <w:r w:rsidR="00BF059B" w:rsidRPr="008D4835">
        <w:t xml:space="preserve"> </w:t>
      </w:r>
      <w:r w:rsidR="00D70530" w:rsidRPr="008D4835">
        <w:t>learning</w:t>
      </w:r>
      <w:r w:rsidR="00BF059B" w:rsidRPr="008D4835">
        <w:t xml:space="preserve"> </w:t>
      </w:r>
    </w:p>
    <w:p w14:paraId="2A3AE2CE" w14:textId="69665AAF" w:rsidR="00BE13A8" w:rsidRDefault="00D70530">
      <w:pPr>
        <w:jc w:val="both"/>
      </w:pPr>
      <w:r>
        <w:t>During</w:t>
      </w:r>
      <w:r w:rsidR="00BF059B">
        <w:t xml:space="preserve"> </w:t>
      </w:r>
      <w:r>
        <w:t>the</w:t>
      </w:r>
      <w:r w:rsidR="00BF059B">
        <w:t xml:space="preserve"> </w:t>
      </w:r>
      <w:r>
        <w:t>year</w:t>
      </w:r>
      <w:r w:rsidR="00BF059B">
        <w:t xml:space="preserve"> </w:t>
      </w:r>
      <w:r>
        <w:t>we</w:t>
      </w:r>
      <w:r w:rsidR="00BF059B">
        <w:t xml:space="preserve"> </w:t>
      </w:r>
      <w:r>
        <w:t>engaged</w:t>
      </w:r>
      <w:r w:rsidR="00BF059B">
        <w:t xml:space="preserve"> </w:t>
      </w:r>
      <w:r>
        <w:t>children</w:t>
      </w:r>
      <w:r w:rsidR="00BF059B">
        <w:t xml:space="preserve"> </w:t>
      </w:r>
      <w:r>
        <w:t>and</w:t>
      </w:r>
      <w:r w:rsidR="00BF059B">
        <w:t xml:space="preserve"> </w:t>
      </w:r>
      <w:r>
        <w:t>young</w:t>
      </w:r>
      <w:r w:rsidR="00BF059B">
        <w:t xml:space="preserve"> </w:t>
      </w:r>
      <w:r>
        <w:t>people</w:t>
      </w:r>
      <w:r w:rsidR="00BF059B">
        <w:t xml:space="preserve"> </w:t>
      </w:r>
      <w:r>
        <w:t>in</w:t>
      </w:r>
      <w:r w:rsidR="00BF059B">
        <w:t xml:space="preserve"> </w:t>
      </w:r>
      <w:r>
        <w:t>high-quality,</w:t>
      </w:r>
      <w:r w:rsidR="00BF059B">
        <w:t xml:space="preserve"> </w:t>
      </w:r>
      <w:r>
        <w:t>object-based</w:t>
      </w:r>
      <w:r w:rsidR="00BF059B">
        <w:t xml:space="preserve"> </w:t>
      </w:r>
      <w:r>
        <w:t>and</w:t>
      </w:r>
      <w:r w:rsidR="00BF059B">
        <w:t xml:space="preserve"> </w:t>
      </w:r>
      <w:r>
        <w:t>outdoor</w:t>
      </w:r>
      <w:r w:rsidR="00BF059B">
        <w:t xml:space="preserve"> </w:t>
      </w:r>
      <w:r>
        <w:t>hands-on</w:t>
      </w:r>
      <w:r w:rsidR="00BF059B">
        <w:t xml:space="preserve"> </w:t>
      </w:r>
      <w:r>
        <w:t>activities</w:t>
      </w:r>
      <w:r w:rsidR="00BF059B">
        <w:t xml:space="preserve"> </w:t>
      </w:r>
      <w:r>
        <w:t>that</w:t>
      </w:r>
      <w:r w:rsidR="00BF059B">
        <w:t xml:space="preserve"> </w:t>
      </w:r>
      <w:r>
        <w:t>supported</w:t>
      </w:r>
      <w:r w:rsidR="00BF059B">
        <w:t xml:space="preserve"> </w:t>
      </w:r>
      <w:r>
        <w:t>their</w:t>
      </w:r>
      <w:r w:rsidR="00BF059B">
        <w:t xml:space="preserve"> </w:t>
      </w:r>
      <w:r>
        <w:t>learning,</w:t>
      </w:r>
      <w:r w:rsidR="00BF059B">
        <w:t xml:space="preserve"> </w:t>
      </w:r>
      <w:r>
        <w:t>enjoyment</w:t>
      </w:r>
      <w:r w:rsidR="00BF059B">
        <w:t xml:space="preserve"> </w:t>
      </w:r>
      <w:r>
        <w:t>and</w:t>
      </w:r>
      <w:r w:rsidR="00BF059B">
        <w:t xml:space="preserve"> </w:t>
      </w:r>
      <w:r>
        <w:t>engagement</w:t>
      </w:r>
      <w:r w:rsidR="00BF059B">
        <w:t xml:space="preserve"> </w:t>
      </w:r>
      <w:r>
        <w:t>with</w:t>
      </w:r>
      <w:r w:rsidR="00BF059B">
        <w:t xml:space="preserve"> </w:t>
      </w:r>
      <w:r>
        <w:t>world</w:t>
      </w:r>
      <w:r w:rsidR="00BF059B">
        <w:t xml:space="preserve"> </w:t>
      </w:r>
      <w:r>
        <w:t>cultures,</w:t>
      </w:r>
      <w:r w:rsidR="00BF059B">
        <w:t xml:space="preserve"> </w:t>
      </w:r>
      <w:r>
        <w:t>music</w:t>
      </w:r>
      <w:r w:rsidR="00BF059B">
        <w:t xml:space="preserve"> </w:t>
      </w:r>
      <w:r>
        <w:t>and</w:t>
      </w:r>
      <w:r w:rsidR="00BF059B">
        <w:t xml:space="preserve"> </w:t>
      </w:r>
      <w:r>
        <w:t>the</w:t>
      </w:r>
      <w:r w:rsidR="00BF059B">
        <w:t xml:space="preserve"> </w:t>
      </w:r>
      <w:r>
        <w:t>natural</w:t>
      </w:r>
      <w:r w:rsidR="00BF059B">
        <w:t xml:space="preserve"> </w:t>
      </w:r>
      <w:r>
        <w:t>world.</w:t>
      </w:r>
      <w:r w:rsidR="00BF059B">
        <w:t xml:space="preserve"> </w:t>
      </w:r>
      <w:r>
        <w:t>We</w:t>
      </w:r>
      <w:r w:rsidR="00BF059B">
        <w:t xml:space="preserve"> </w:t>
      </w:r>
      <w:r>
        <w:t>reached</w:t>
      </w:r>
      <w:r w:rsidR="00BF059B">
        <w:t xml:space="preserve"> </w:t>
      </w:r>
      <w:r>
        <w:t>learning</w:t>
      </w:r>
      <w:r w:rsidR="00BF059B">
        <w:t xml:space="preserve"> </w:t>
      </w:r>
      <w:r>
        <w:t>audiences</w:t>
      </w:r>
      <w:r w:rsidR="00BF059B">
        <w:t xml:space="preserve"> </w:t>
      </w:r>
      <w:r>
        <w:t>(schools,</w:t>
      </w:r>
      <w:r w:rsidR="00BF059B">
        <w:t xml:space="preserve"> </w:t>
      </w:r>
      <w:r>
        <w:t>nursery,</w:t>
      </w:r>
      <w:r w:rsidR="00BF059B">
        <w:t xml:space="preserve"> </w:t>
      </w:r>
      <w:r>
        <w:t>home</w:t>
      </w:r>
      <w:r w:rsidR="00BF059B">
        <w:t xml:space="preserve"> </w:t>
      </w:r>
      <w:r>
        <w:t>education</w:t>
      </w:r>
      <w:r w:rsidR="00BF059B">
        <w:t xml:space="preserve"> </w:t>
      </w:r>
      <w:r>
        <w:t>and</w:t>
      </w:r>
      <w:r w:rsidR="00BF059B">
        <w:t xml:space="preserve"> </w:t>
      </w:r>
      <w:r>
        <w:t>university</w:t>
      </w:r>
      <w:r w:rsidR="00BF059B">
        <w:t xml:space="preserve"> </w:t>
      </w:r>
      <w:r>
        <w:t>learners)</w:t>
      </w:r>
      <w:r w:rsidR="00BF059B">
        <w:t xml:space="preserve"> </w:t>
      </w:r>
      <w:r>
        <w:t>of</w:t>
      </w:r>
      <w:r w:rsidR="00BF059B">
        <w:t xml:space="preserve"> </w:t>
      </w:r>
      <w:r>
        <w:t>21,497</w:t>
      </w:r>
      <w:r w:rsidR="00BF059B">
        <w:t xml:space="preserve"> </w:t>
      </w:r>
      <w:r>
        <w:t>taught</w:t>
      </w:r>
      <w:r w:rsidR="00BF059B">
        <w:t xml:space="preserve"> </w:t>
      </w:r>
      <w:r>
        <w:t>onsite</w:t>
      </w:r>
      <w:r w:rsidR="00BF059B">
        <w:t xml:space="preserve"> </w:t>
      </w:r>
      <w:r>
        <w:t>participants*</w:t>
      </w:r>
      <w:r w:rsidR="00BF059B">
        <w:t xml:space="preserve"> </w:t>
      </w:r>
      <w:r>
        <w:t>(16,000</w:t>
      </w:r>
      <w:r w:rsidR="00BF059B">
        <w:t xml:space="preserve"> </w:t>
      </w:r>
      <w:r>
        <w:t>target),</w:t>
      </w:r>
      <w:r w:rsidR="00BF059B">
        <w:t xml:space="preserve"> </w:t>
      </w:r>
      <w:r>
        <w:t>self-led</w:t>
      </w:r>
      <w:r w:rsidR="00BF059B">
        <w:t xml:space="preserve"> </w:t>
      </w:r>
      <w:r>
        <w:t>audience</w:t>
      </w:r>
      <w:r w:rsidR="00BF059B">
        <w:t xml:space="preserve"> </w:t>
      </w:r>
      <w:r>
        <w:t>of</w:t>
      </w:r>
      <w:r w:rsidR="00BF059B">
        <w:t xml:space="preserve"> </w:t>
      </w:r>
      <w:r>
        <w:t>10,799*</w:t>
      </w:r>
      <w:r w:rsidR="00BF059B">
        <w:t xml:space="preserve"> </w:t>
      </w:r>
      <w:r>
        <w:t>(5,000</w:t>
      </w:r>
      <w:r w:rsidR="00BF059B">
        <w:t xml:space="preserve"> </w:t>
      </w:r>
      <w:r>
        <w:t>target),</w:t>
      </w:r>
      <w:r w:rsidR="00BF059B">
        <w:t xml:space="preserve"> </w:t>
      </w:r>
      <w:r>
        <w:t>2,605*</w:t>
      </w:r>
      <w:r w:rsidR="00BF059B">
        <w:t xml:space="preserve"> </w:t>
      </w:r>
      <w:r>
        <w:t>virtual</w:t>
      </w:r>
      <w:r w:rsidR="00BF059B">
        <w:t xml:space="preserve"> </w:t>
      </w:r>
      <w:r>
        <w:t>workshop</w:t>
      </w:r>
      <w:r w:rsidR="00BF059B">
        <w:t xml:space="preserve"> </w:t>
      </w:r>
      <w:r>
        <w:t>participants</w:t>
      </w:r>
      <w:r w:rsidR="00BF059B">
        <w:t xml:space="preserve"> </w:t>
      </w:r>
      <w:r>
        <w:t>(2,500</w:t>
      </w:r>
      <w:r w:rsidR="00BF059B">
        <w:t xml:space="preserve"> </w:t>
      </w:r>
      <w:r>
        <w:t>target),</w:t>
      </w:r>
      <w:r w:rsidR="00BF059B">
        <w:t xml:space="preserve"> </w:t>
      </w:r>
      <w:r>
        <w:t>1,588</w:t>
      </w:r>
      <w:r w:rsidR="00BF059B">
        <w:t xml:space="preserve"> </w:t>
      </w:r>
      <w:r>
        <w:t>through</w:t>
      </w:r>
      <w:r w:rsidR="00BF059B">
        <w:t xml:space="preserve"> </w:t>
      </w:r>
      <w:r>
        <w:t>outreach</w:t>
      </w:r>
      <w:r w:rsidR="00BF059B">
        <w:t xml:space="preserve"> </w:t>
      </w:r>
      <w:r>
        <w:t>workshops</w:t>
      </w:r>
      <w:r w:rsidR="00BF059B">
        <w:t xml:space="preserve"> </w:t>
      </w:r>
      <w:r>
        <w:t>to</w:t>
      </w:r>
      <w:r w:rsidR="00BF059B">
        <w:t xml:space="preserve"> </w:t>
      </w:r>
      <w:r>
        <w:t>secondary</w:t>
      </w:r>
      <w:r w:rsidR="00BF059B">
        <w:t xml:space="preserve"> </w:t>
      </w:r>
      <w:r>
        <w:t>and</w:t>
      </w:r>
      <w:r w:rsidR="00BF059B">
        <w:t xml:space="preserve"> </w:t>
      </w:r>
      <w:r>
        <w:t>specialist</w:t>
      </w:r>
      <w:r w:rsidR="00BF059B">
        <w:t xml:space="preserve"> </w:t>
      </w:r>
      <w:r>
        <w:t>schools,</w:t>
      </w:r>
      <w:r w:rsidR="00BF059B">
        <w:t xml:space="preserve"> </w:t>
      </w:r>
      <w:r>
        <w:t>and</w:t>
      </w:r>
      <w:r w:rsidR="00BF059B">
        <w:t xml:space="preserve"> </w:t>
      </w:r>
      <w:r>
        <w:t>384</w:t>
      </w:r>
      <w:r w:rsidR="00BF059B">
        <w:t xml:space="preserve"> </w:t>
      </w:r>
      <w:r>
        <w:t>through</w:t>
      </w:r>
      <w:r w:rsidR="00BF059B">
        <w:t xml:space="preserve"> </w:t>
      </w:r>
      <w:r>
        <w:t>Handling</w:t>
      </w:r>
      <w:r w:rsidR="00BF059B">
        <w:t xml:space="preserve"> </w:t>
      </w:r>
      <w:r>
        <w:t>Collection</w:t>
      </w:r>
      <w:r w:rsidR="00BF059B">
        <w:t xml:space="preserve"> </w:t>
      </w:r>
      <w:r>
        <w:t>loans.</w:t>
      </w:r>
      <w:r w:rsidR="00BF059B">
        <w:t xml:space="preserve"> </w:t>
      </w:r>
      <w:r>
        <w:t>Over</w:t>
      </w:r>
      <w:r w:rsidR="00BF059B">
        <w:t xml:space="preserve"> </w:t>
      </w:r>
      <w:r>
        <w:t>90%</w:t>
      </w:r>
      <w:r w:rsidR="00BF059B">
        <w:t xml:space="preserve"> </w:t>
      </w:r>
      <w:r>
        <w:t>of</w:t>
      </w:r>
      <w:r w:rsidR="00BF059B">
        <w:t xml:space="preserve"> </w:t>
      </w:r>
      <w:r>
        <w:t>facilitated</w:t>
      </w:r>
      <w:r w:rsidR="00BF059B">
        <w:t xml:space="preserve"> </w:t>
      </w:r>
      <w:r>
        <w:t>groups</w:t>
      </w:r>
      <w:r w:rsidR="00BF059B">
        <w:t xml:space="preserve"> </w:t>
      </w:r>
      <w:r>
        <w:t>were</w:t>
      </w:r>
      <w:r w:rsidR="00BF059B">
        <w:t xml:space="preserve"> </w:t>
      </w:r>
      <w:r>
        <w:t>from</w:t>
      </w:r>
      <w:r w:rsidR="00BF059B">
        <w:t xml:space="preserve"> </w:t>
      </w:r>
      <w:r>
        <w:t>non-fee-paying</w:t>
      </w:r>
      <w:r w:rsidR="00BF059B">
        <w:t xml:space="preserve"> </w:t>
      </w:r>
      <w:r>
        <w:t>schools</w:t>
      </w:r>
      <w:r w:rsidR="00BF059B">
        <w:t xml:space="preserve"> </w:t>
      </w:r>
      <w:r>
        <w:t>(88%</w:t>
      </w:r>
      <w:r w:rsidR="00BF059B">
        <w:t xml:space="preserve"> </w:t>
      </w:r>
      <w:r>
        <w:t>target),</w:t>
      </w:r>
      <w:r w:rsidR="00BF059B">
        <w:t xml:space="preserve"> </w:t>
      </w:r>
      <w:r>
        <w:t>with</w:t>
      </w:r>
      <w:r w:rsidR="00BF059B">
        <w:t xml:space="preserve"> </w:t>
      </w:r>
      <w:r>
        <w:t>33%</w:t>
      </w:r>
      <w:r w:rsidR="00BF059B">
        <w:t xml:space="preserve"> </w:t>
      </w:r>
      <w:r>
        <w:t>of</w:t>
      </w:r>
      <w:r w:rsidR="00BF059B">
        <w:t xml:space="preserve"> </w:t>
      </w:r>
      <w:r>
        <w:t>these</w:t>
      </w:r>
      <w:r w:rsidR="00BF059B">
        <w:t xml:space="preserve"> </w:t>
      </w:r>
      <w:r>
        <w:t>learners</w:t>
      </w:r>
      <w:r w:rsidR="00BF059B">
        <w:t xml:space="preserve"> </w:t>
      </w:r>
      <w:r>
        <w:t>receiving</w:t>
      </w:r>
      <w:r w:rsidR="00BF059B">
        <w:t xml:space="preserve"> </w:t>
      </w:r>
      <w:r>
        <w:t>a</w:t>
      </w:r>
      <w:r w:rsidR="00BF059B">
        <w:t xml:space="preserve"> </w:t>
      </w:r>
      <w:r>
        <w:t>Pupil</w:t>
      </w:r>
      <w:r w:rsidR="00BF059B">
        <w:t xml:space="preserve"> </w:t>
      </w:r>
      <w:r>
        <w:t>Premium</w:t>
      </w:r>
      <w:r w:rsidR="00BF059B">
        <w:t xml:space="preserve"> </w:t>
      </w:r>
      <w:r>
        <w:t>Grant</w:t>
      </w:r>
      <w:r w:rsidR="00BF059B">
        <w:t xml:space="preserve"> </w:t>
      </w:r>
      <w:r>
        <w:t>(PPG)</w:t>
      </w:r>
      <w:r w:rsidR="00BF059B">
        <w:t xml:space="preserve"> </w:t>
      </w:r>
      <w:r>
        <w:t>(25%</w:t>
      </w:r>
      <w:r w:rsidR="00BF059B">
        <w:t xml:space="preserve"> </w:t>
      </w:r>
      <w:r>
        <w:t>target).</w:t>
      </w:r>
      <w:r w:rsidR="00BF059B">
        <w:t xml:space="preserve"> </w:t>
      </w:r>
      <w:r>
        <w:t>*</w:t>
      </w:r>
      <w:proofErr w:type="gramStart"/>
      <w:r>
        <w:t>numbers</w:t>
      </w:r>
      <w:proofErr w:type="gramEnd"/>
      <w:r w:rsidR="00BF059B">
        <w:t xml:space="preserve"> </w:t>
      </w:r>
      <w:r>
        <w:t>include</w:t>
      </w:r>
      <w:r w:rsidR="00BF059B">
        <w:t xml:space="preserve"> </w:t>
      </w:r>
      <w:r>
        <w:t>learners</w:t>
      </w:r>
      <w:r w:rsidR="00BF059B">
        <w:t xml:space="preserve"> </w:t>
      </w:r>
      <w:r>
        <w:t>and</w:t>
      </w:r>
      <w:r w:rsidR="00BF059B">
        <w:t xml:space="preserve"> </w:t>
      </w:r>
      <w:r>
        <w:t>accompanying</w:t>
      </w:r>
      <w:r w:rsidR="00BF059B">
        <w:t xml:space="preserve"> </w:t>
      </w:r>
      <w:r>
        <w:t>adults.</w:t>
      </w:r>
    </w:p>
    <w:p w14:paraId="301BB395" w14:textId="41C34D92" w:rsidR="00BE13A8" w:rsidRDefault="00BF059B">
      <w:pPr>
        <w:jc w:val="both"/>
      </w:pPr>
      <w:r>
        <w:t xml:space="preserve"> </w:t>
      </w:r>
    </w:p>
    <w:p w14:paraId="31C51E31" w14:textId="77FC8A7C" w:rsidR="00BE13A8" w:rsidRDefault="00D70530">
      <w:pPr>
        <w:jc w:val="both"/>
      </w:pPr>
      <w:r>
        <w:t>Our</w:t>
      </w:r>
      <w:r w:rsidR="00BF059B">
        <w:t xml:space="preserve"> </w:t>
      </w:r>
      <w:r>
        <w:t>School</w:t>
      </w:r>
      <w:r w:rsidR="00BF059B">
        <w:t xml:space="preserve"> </w:t>
      </w:r>
      <w:r>
        <w:t>Holiday</w:t>
      </w:r>
      <w:r w:rsidR="00BF059B">
        <w:t xml:space="preserve"> </w:t>
      </w:r>
      <w:r>
        <w:t>Club,</w:t>
      </w:r>
      <w:r w:rsidR="00BF059B">
        <w:t xml:space="preserve"> </w:t>
      </w:r>
      <w:r>
        <w:t>supported</w:t>
      </w:r>
      <w:r w:rsidR="00BF059B">
        <w:t xml:space="preserve"> </w:t>
      </w:r>
      <w:r>
        <w:t>by</w:t>
      </w:r>
      <w:r w:rsidR="00BF059B">
        <w:t xml:space="preserve"> </w:t>
      </w:r>
      <w:r>
        <w:t>funding</w:t>
      </w:r>
      <w:r w:rsidR="00BF059B">
        <w:t xml:space="preserve"> </w:t>
      </w:r>
      <w:r>
        <w:t>from</w:t>
      </w:r>
      <w:r w:rsidR="00BF059B">
        <w:t xml:space="preserve"> </w:t>
      </w:r>
      <w:r>
        <w:t>the</w:t>
      </w:r>
      <w:r w:rsidR="00BF059B">
        <w:t xml:space="preserve"> </w:t>
      </w:r>
      <w:r>
        <w:t>Art</w:t>
      </w:r>
      <w:r w:rsidR="00BF059B">
        <w:t xml:space="preserve"> </w:t>
      </w:r>
      <w:r>
        <w:t>Fund</w:t>
      </w:r>
      <w:r w:rsidR="00BF059B">
        <w:t xml:space="preserve"> </w:t>
      </w:r>
      <w:r>
        <w:t>Museum</w:t>
      </w:r>
      <w:r w:rsidR="00BF059B">
        <w:t xml:space="preserve"> </w:t>
      </w:r>
      <w:r>
        <w:t>of</w:t>
      </w:r>
      <w:r w:rsidR="00BF059B">
        <w:t xml:space="preserve"> </w:t>
      </w:r>
      <w:r>
        <w:t>the</w:t>
      </w:r>
      <w:r w:rsidR="00BF059B">
        <w:t xml:space="preserve"> </w:t>
      </w:r>
      <w:r>
        <w:t>Year</w:t>
      </w:r>
      <w:r w:rsidR="00BF059B">
        <w:t xml:space="preserve"> </w:t>
      </w:r>
      <w:r>
        <w:t>award</w:t>
      </w:r>
      <w:r w:rsidR="00BF059B">
        <w:t xml:space="preserve"> </w:t>
      </w:r>
      <w:r>
        <w:t>and</w:t>
      </w:r>
      <w:r w:rsidR="00BF059B">
        <w:t xml:space="preserve"> </w:t>
      </w:r>
      <w:r>
        <w:t>run</w:t>
      </w:r>
      <w:r w:rsidR="00BF059B">
        <w:t xml:space="preserve"> </w:t>
      </w:r>
      <w:r>
        <w:t>over</w:t>
      </w:r>
      <w:r w:rsidR="00BF059B">
        <w:t xml:space="preserve"> </w:t>
      </w:r>
      <w:r>
        <w:t>school</w:t>
      </w:r>
      <w:r w:rsidR="00BF059B">
        <w:t xml:space="preserve"> </w:t>
      </w:r>
      <w:r>
        <w:t>breaks,</w:t>
      </w:r>
      <w:r w:rsidR="00BF059B">
        <w:t xml:space="preserve"> </w:t>
      </w:r>
      <w:r>
        <w:t>reached</w:t>
      </w:r>
      <w:r w:rsidR="00BF059B">
        <w:t xml:space="preserve"> </w:t>
      </w:r>
      <w:r>
        <w:t>197</w:t>
      </w:r>
      <w:r w:rsidR="00BF059B">
        <w:t xml:space="preserve"> </w:t>
      </w:r>
      <w:r>
        <w:t>participants</w:t>
      </w:r>
      <w:r w:rsidR="00BF059B">
        <w:t xml:space="preserve"> </w:t>
      </w:r>
      <w:r>
        <w:t>from</w:t>
      </w:r>
      <w:r w:rsidR="00BF059B">
        <w:t xml:space="preserve"> </w:t>
      </w:r>
      <w:r>
        <w:t>two</w:t>
      </w:r>
      <w:r w:rsidR="00BF059B">
        <w:t xml:space="preserve"> </w:t>
      </w:r>
      <w:r>
        <w:t>local</w:t>
      </w:r>
      <w:r w:rsidR="00BF059B">
        <w:t xml:space="preserve"> </w:t>
      </w:r>
      <w:r>
        <w:t>partner</w:t>
      </w:r>
      <w:r w:rsidR="00BF059B">
        <w:t xml:space="preserve"> </w:t>
      </w:r>
      <w:r>
        <w:t>schools</w:t>
      </w:r>
      <w:r w:rsidR="00BF059B">
        <w:t xml:space="preserve"> </w:t>
      </w:r>
      <w:r>
        <w:t>with</w:t>
      </w:r>
      <w:r w:rsidR="00BF059B">
        <w:t xml:space="preserve"> </w:t>
      </w:r>
      <w:r>
        <w:t>between</w:t>
      </w:r>
      <w:r w:rsidR="00BF059B">
        <w:t xml:space="preserve"> </w:t>
      </w:r>
      <w:r>
        <w:t>66%</w:t>
      </w:r>
      <w:r w:rsidR="00BF059B">
        <w:t xml:space="preserve"> </w:t>
      </w:r>
      <w:r>
        <w:t>and</w:t>
      </w:r>
      <w:r w:rsidR="00BF059B">
        <w:t xml:space="preserve"> </w:t>
      </w:r>
      <w:r>
        <w:t>49%</w:t>
      </w:r>
      <w:r w:rsidR="00BF059B">
        <w:t xml:space="preserve"> </w:t>
      </w:r>
      <w:r>
        <w:t>of</w:t>
      </w:r>
      <w:r w:rsidR="00BF059B">
        <w:t xml:space="preserve"> </w:t>
      </w:r>
      <w:r>
        <w:t>pupils</w:t>
      </w:r>
      <w:r w:rsidR="00BF059B">
        <w:t xml:space="preserve"> </w:t>
      </w:r>
      <w:r>
        <w:t>eligible</w:t>
      </w:r>
      <w:r w:rsidR="00BF059B">
        <w:t xml:space="preserve"> </w:t>
      </w:r>
      <w:r>
        <w:t>for</w:t>
      </w:r>
      <w:r w:rsidR="00BF059B">
        <w:t xml:space="preserve"> </w:t>
      </w:r>
      <w:r>
        <w:t>free</w:t>
      </w:r>
      <w:r w:rsidR="00BF059B">
        <w:t xml:space="preserve"> </w:t>
      </w:r>
      <w:r>
        <w:t>school</w:t>
      </w:r>
      <w:r w:rsidR="00BF059B">
        <w:t xml:space="preserve"> </w:t>
      </w:r>
      <w:r>
        <w:t>meals</w:t>
      </w:r>
      <w:r w:rsidR="00BF059B">
        <w:t xml:space="preserve"> </w:t>
      </w:r>
      <w:r>
        <w:t>in</w:t>
      </w:r>
      <w:r w:rsidR="00BF059B">
        <w:t xml:space="preserve"> </w:t>
      </w:r>
      <w:r>
        <w:t>term</w:t>
      </w:r>
      <w:r w:rsidR="00BF059B">
        <w:t xml:space="preserve"> </w:t>
      </w:r>
      <w:r>
        <w:t>time,</w:t>
      </w:r>
      <w:r w:rsidR="00BF059B">
        <w:t xml:space="preserve"> </w:t>
      </w:r>
      <w:r>
        <w:t>and</w:t>
      </w:r>
      <w:r w:rsidR="00BF059B">
        <w:t xml:space="preserve"> </w:t>
      </w:r>
      <w:r>
        <w:t>participated</w:t>
      </w:r>
      <w:r w:rsidR="00BF059B">
        <w:t xml:space="preserve"> </w:t>
      </w:r>
      <w:r>
        <w:t>in</w:t>
      </w:r>
      <w:r w:rsidR="00BF059B">
        <w:t xml:space="preserve"> </w:t>
      </w:r>
      <w:r>
        <w:t>the</w:t>
      </w:r>
      <w:r w:rsidR="00BF059B">
        <w:t xml:space="preserve"> </w:t>
      </w:r>
      <w:r>
        <w:t>‘Early</w:t>
      </w:r>
      <w:r w:rsidR="00BF059B">
        <w:t xml:space="preserve"> </w:t>
      </w:r>
      <w:r>
        <w:t>Curators’</w:t>
      </w:r>
      <w:r w:rsidR="00BF059B">
        <w:t xml:space="preserve"> </w:t>
      </w:r>
      <w:r>
        <w:t>coproduction</w:t>
      </w:r>
      <w:r w:rsidR="00BF059B">
        <w:t xml:space="preserve"> </w:t>
      </w:r>
      <w:r>
        <w:t>project,</w:t>
      </w:r>
      <w:r w:rsidR="00BF059B">
        <w:t xml:space="preserve"> </w:t>
      </w:r>
      <w:r>
        <w:t>creating</w:t>
      </w:r>
      <w:r w:rsidR="00BF059B">
        <w:t xml:space="preserve"> </w:t>
      </w:r>
      <w:r>
        <w:t>a</w:t>
      </w:r>
      <w:r w:rsidR="00BF059B">
        <w:t xml:space="preserve"> </w:t>
      </w:r>
      <w:r>
        <w:t>label</w:t>
      </w:r>
      <w:r w:rsidR="00BF059B">
        <w:t xml:space="preserve"> </w:t>
      </w:r>
      <w:r>
        <w:t>for</w:t>
      </w:r>
      <w:r w:rsidR="00BF059B">
        <w:t xml:space="preserve"> </w:t>
      </w:r>
      <w:r>
        <w:t>the</w:t>
      </w:r>
      <w:r w:rsidR="00BF059B">
        <w:t xml:space="preserve"> </w:t>
      </w:r>
      <w:r>
        <w:t>new</w:t>
      </w:r>
      <w:r w:rsidR="00BF059B">
        <w:t xml:space="preserve"> </w:t>
      </w:r>
      <w:r>
        <w:t>Natural</w:t>
      </w:r>
      <w:r w:rsidR="00BF059B">
        <w:t xml:space="preserve"> </w:t>
      </w:r>
      <w:r>
        <w:t>History</w:t>
      </w:r>
      <w:r w:rsidR="00BF059B">
        <w:t xml:space="preserve"> </w:t>
      </w:r>
      <w:r>
        <w:t>Gallery.</w:t>
      </w:r>
    </w:p>
    <w:p w14:paraId="72240714" w14:textId="77777777" w:rsidR="00BE13A8" w:rsidRDefault="00BE13A8">
      <w:pPr>
        <w:jc w:val="both"/>
      </w:pPr>
    </w:p>
    <w:p w14:paraId="6B307CD4" w14:textId="6F2767B3" w:rsidR="00BE13A8" w:rsidRDefault="00D70530">
      <w:pPr>
        <w:jc w:val="both"/>
      </w:pPr>
      <w:r>
        <w:t>Work</w:t>
      </w:r>
      <w:r w:rsidR="00BF059B">
        <w:t xml:space="preserve"> </w:t>
      </w:r>
      <w:r>
        <w:t>to</w:t>
      </w:r>
      <w:r w:rsidR="00BF059B">
        <w:t xml:space="preserve"> </w:t>
      </w:r>
      <w:r>
        <w:t>build</w:t>
      </w:r>
      <w:r w:rsidR="00BF059B">
        <w:t xml:space="preserve"> </w:t>
      </w:r>
      <w:r>
        <w:t>upon</w:t>
      </w:r>
      <w:r w:rsidR="00BF059B">
        <w:t xml:space="preserve"> </w:t>
      </w:r>
      <w:r>
        <w:t>our</w:t>
      </w:r>
      <w:r w:rsidR="00BF059B">
        <w:t xml:space="preserve"> </w:t>
      </w:r>
      <w:r>
        <w:t>success</w:t>
      </w:r>
      <w:r w:rsidR="00BF059B">
        <w:t xml:space="preserve"> </w:t>
      </w:r>
      <w:r>
        <w:t>engaging</w:t>
      </w:r>
      <w:r w:rsidR="00BF059B">
        <w:t xml:space="preserve"> </w:t>
      </w:r>
      <w:r>
        <w:t>secondary</w:t>
      </w:r>
      <w:r w:rsidR="00BF059B">
        <w:t xml:space="preserve"> </w:t>
      </w:r>
      <w:r>
        <w:t>schools</w:t>
      </w:r>
      <w:r w:rsidR="00BF059B">
        <w:t xml:space="preserve"> </w:t>
      </w:r>
      <w:r>
        <w:t>through</w:t>
      </w:r>
      <w:r w:rsidR="00BF059B">
        <w:t xml:space="preserve"> </w:t>
      </w:r>
      <w:r>
        <w:t>further</w:t>
      </w:r>
      <w:r w:rsidR="00BF059B">
        <w:t xml:space="preserve"> </w:t>
      </w:r>
      <w:r>
        <w:t>workshop,</w:t>
      </w:r>
      <w:r w:rsidR="00BF059B">
        <w:t xml:space="preserve"> </w:t>
      </w:r>
      <w:r>
        <w:t>partnership</w:t>
      </w:r>
      <w:r w:rsidR="00BF059B">
        <w:t xml:space="preserve"> </w:t>
      </w:r>
      <w:r>
        <w:t>and</w:t>
      </w:r>
      <w:r w:rsidR="00BF059B">
        <w:t xml:space="preserve"> </w:t>
      </w:r>
      <w:r>
        <w:t>coproduction</w:t>
      </w:r>
      <w:r w:rsidR="00BF059B">
        <w:t xml:space="preserve"> </w:t>
      </w:r>
      <w:r>
        <w:t>projects</w:t>
      </w:r>
      <w:r w:rsidR="00BF059B">
        <w:t xml:space="preserve"> </w:t>
      </w:r>
      <w:r>
        <w:t>has</w:t>
      </w:r>
      <w:r w:rsidR="00BF059B">
        <w:t xml:space="preserve"> </w:t>
      </w:r>
      <w:r>
        <w:t>continued,</w:t>
      </w:r>
      <w:r w:rsidR="00BF059B">
        <w:t xml:space="preserve"> </w:t>
      </w:r>
      <w:r>
        <w:t>with</w:t>
      </w:r>
      <w:r w:rsidR="00BF059B">
        <w:t xml:space="preserve"> </w:t>
      </w:r>
      <w:r>
        <w:t>15.4%</w:t>
      </w:r>
      <w:r w:rsidR="00BF059B">
        <w:t xml:space="preserve"> </w:t>
      </w:r>
      <w:r>
        <w:t>of</w:t>
      </w:r>
      <w:r w:rsidR="00BF059B">
        <w:t xml:space="preserve"> </w:t>
      </w:r>
      <w:r>
        <w:t>our</w:t>
      </w:r>
      <w:r w:rsidR="00BF059B">
        <w:t xml:space="preserve"> </w:t>
      </w:r>
      <w:r>
        <w:t>in-person</w:t>
      </w:r>
      <w:r w:rsidR="00BF059B">
        <w:t xml:space="preserve"> </w:t>
      </w:r>
      <w:r>
        <w:t>sessions</w:t>
      </w:r>
      <w:r w:rsidR="00BF059B">
        <w:t xml:space="preserve"> </w:t>
      </w:r>
      <w:r>
        <w:t>facilitated</w:t>
      </w:r>
      <w:r w:rsidR="00BF059B">
        <w:t xml:space="preserve"> </w:t>
      </w:r>
      <w:r>
        <w:t>for</w:t>
      </w:r>
      <w:r w:rsidR="00BF059B">
        <w:t xml:space="preserve"> </w:t>
      </w:r>
      <w:r>
        <w:t>secondary</w:t>
      </w:r>
      <w:r w:rsidR="00BF059B">
        <w:t xml:space="preserve"> </w:t>
      </w:r>
      <w:r>
        <w:t>school</w:t>
      </w:r>
      <w:r w:rsidR="00BF059B">
        <w:t xml:space="preserve"> </w:t>
      </w:r>
      <w:r>
        <w:t>learners</w:t>
      </w:r>
      <w:r w:rsidR="00BF059B">
        <w:t xml:space="preserve"> </w:t>
      </w:r>
      <w:r>
        <w:t>(15%</w:t>
      </w:r>
      <w:r w:rsidR="00BF059B">
        <w:t xml:space="preserve"> </w:t>
      </w:r>
      <w:r>
        <w:t>target),</w:t>
      </w:r>
      <w:r w:rsidR="00BF059B">
        <w:t xml:space="preserve"> </w:t>
      </w:r>
      <w:r>
        <w:t>along</w:t>
      </w:r>
      <w:r w:rsidR="00BF059B">
        <w:t xml:space="preserve"> </w:t>
      </w:r>
      <w:r>
        <w:t>with</w:t>
      </w:r>
      <w:r w:rsidR="00BF059B">
        <w:t xml:space="preserve"> </w:t>
      </w:r>
      <w:r>
        <w:t>15%</w:t>
      </w:r>
      <w:r w:rsidR="00BF059B">
        <w:t xml:space="preserve"> </w:t>
      </w:r>
      <w:r>
        <w:t>of</w:t>
      </w:r>
      <w:r w:rsidR="00BF059B">
        <w:t xml:space="preserve"> </w:t>
      </w:r>
      <w:r>
        <w:t>our</w:t>
      </w:r>
      <w:r w:rsidR="00BF059B">
        <w:t xml:space="preserve"> </w:t>
      </w:r>
      <w:r>
        <w:t>self-led</w:t>
      </w:r>
      <w:r w:rsidR="00BF059B">
        <w:t xml:space="preserve"> </w:t>
      </w:r>
      <w:r>
        <w:t>audience.</w:t>
      </w:r>
      <w:r w:rsidR="00BF059B">
        <w:t xml:space="preserve"> </w:t>
      </w:r>
      <w:r>
        <w:t>This</w:t>
      </w:r>
      <w:r w:rsidR="00BF059B">
        <w:t xml:space="preserve"> </w:t>
      </w:r>
      <w:r>
        <w:t>is</w:t>
      </w:r>
      <w:r w:rsidR="00BF059B">
        <w:t xml:space="preserve"> </w:t>
      </w:r>
      <w:r>
        <w:t>a</w:t>
      </w:r>
      <w:r w:rsidR="00BF059B">
        <w:t xml:space="preserve"> </w:t>
      </w:r>
      <w:r>
        <w:t>further</w:t>
      </w:r>
      <w:r w:rsidR="00BF059B">
        <w:t xml:space="preserve"> </w:t>
      </w:r>
      <w:r>
        <w:t>increase</w:t>
      </w:r>
      <w:r w:rsidR="00BF059B">
        <w:t xml:space="preserve"> </w:t>
      </w:r>
      <w:r>
        <w:t>in</w:t>
      </w:r>
      <w:r w:rsidR="00BF059B">
        <w:t xml:space="preserve"> </w:t>
      </w:r>
      <w:r>
        <w:t>audience</w:t>
      </w:r>
      <w:r w:rsidR="00BF059B">
        <w:t xml:space="preserve"> </w:t>
      </w:r>
      <w:r>
        <w:t>share</w:t>
      </w:r>
      <w:r w:rsidR="00BF059B">
        <w:t xml:space="preserve"> </w:t>
      </w:r>
      <w:r>
        <w:t>on</w:t>
      </w:r>
      <w:r w:rsidR="00BF059B">
        <w:t xml:space="preserve"> </w:t>
      </w:r>
      <w:r>
        <w:t>last</w:t>
      </w:r>
      <w:r w:rsidR="00BF059B">
        <w:t xml:space="preserve"> </w:t>
      </w:r>
      <w:r>
        <w:t>year.</w:t>
      </w:r>
      <w:r w:rsidR="00BF059B">
        <w:t xml:space="preserve"> </w:t>
      </w:r>
      <w:r>
        <w:t>Activity</w:t>
      </w:r>
      <w:r w:rsidR="00BF059B">
        <w:t xml:space="preserve"> </w:t>
      </w:r>
      <w:r>
        <w:t>has</w:t>
      </w:r>
      <w:r w:rsidR="00BF059B">
        <w:t xml:space="preserve"> </w:t>
      </w:r>
      <w:r>
        <w:t>included</w:t>
      </w:r>
      <w:r w:rsidR="00BF059B">
        <w:t xml:space="preserve"> </w:t>
      </w:r>
      <w:r>
        <w:t>the</w:t>
      </w:r>
      <w:r w:rsidR="00BF059B">
        <w:t xml:space="preserve"> </w:t>
      </w:r>
      <w:r>
        <w:t>latest</w:t>
      </w:r>
      <w:r w:rsidR="00BF059B">
        <w:t xml:space="preserve"> </w:t>
      </w:r>
      <w:r>
        <w:t>iteration</w:t>
      </w:r>
      <w:r w:rsidR="00BF059B">
        <w:t xml:space="preserve"> </w:t>
      </w:r>
      <w:r>
        <w:t>of</w:t>
      </w:r>
      <w:r w:rsidR="00BF059B">
        <w:t xml:space="preserve"> </w:t>
      </w:r>
      <w:r>
        <w:t>the</w:t>
      </w:r>
      <w:r w:rsidR="00BF059B">
        <w:t xml:space="preserve"> </w:t>
      </w:r>
      <w:r>
        <w:t>co-produced</w:t>
      </w:r>
      <w:r w:rsidR="00BF059B">
        <w:t xml:space="preserve"> </w:t>
      </w:r>
      <w:r>
        <w:t>‘Art</w:t>
      </w:r>
      <w:r w:rsidR="00BF059B">
        <w:t xml:space="preserve"> </w:t>
      </w:r>
      <w:r>
        <w:t>in</w:t>
      </w:r>
      <w:r w:rsidR="00BF059B">
        <w:t xml:space="preserve"> </w:t>
      </w:r>
      <w:r>
        <w:t>the</w:t>
      </w:r>
      <w:r w:rsidR="00BF059B">
        <w:t xml:space="preserve"> </w:t>
      </w:r>
      <w:r>
        <w:t>Gardens’</w:t>
      </w:r>
      <w:r w:rsidR="00BF059B">
        <w:t xml:space="preserve"> </w:t>
      </w:r>
      <w:r>
        <w:t>project,</w:t>
      </w:r>
      <w:r w:rsidR="00BF059B">
        <w:t xml:space="preserve"> </w:t>
      </w:r>
      <w:r>
        <w:t>a</w:t>
      </w:r>
      <w:r w:rsidR="00BF059B">
        <w:t xml:space="preserve"> </w:t>
      </w:r>
      <w:r>
        <w:t>Big</w:t>
      </w:r>
      <w:r w:rsidR="00BF059B">
        <w:t xml:space="preserve"> </w:t>
      </w:r>
      <w:r>
        <w:t>Green</w:t>
      </w:r>
      <w:r w:rsidR="00BF059B">
        <w:t xml:space="preserve"> </w:t>
      </w:r>
      <w:r>
        <w:t>Careers</w:t>
      </w:r>
      <w:r w:rsidR="00BF059B">
        <w:t xml:space="preserve"> </w:t>
      </w:r>
      <w:r>
        <w:t>event</w:t>
      </w:r>
      <w:r w:rsidR="00BF059B">
        <w:t xml:space="preserve"> </w:t>
      </w:r>
      <w:r>
        <w:lastRenderedPageBreak/>
        <w:t>delivered</w:t>
      </w:r>
      <w:r w:rsidR="00BF059B">
        <w:t xml:space="preserve"> </w:t>
      </w:r>
      <w:r>
        <w:t>in</w:t>
      </w:r>
      <w:r w:rsidR="00BF059B">
        <w:t xml:space="preserve"> </w:t>
      </w:r>
      <w:r>
        <w:t>partnership</w:t>
      </w:r>
      <w:r w:rsidR="00BF059B">
        <w:t xml:space="preserve"> </w:t>
      </w:r>
      <w:r>
        <w:t>with</w:t>
      </w:r>
      <w:r w:rsidR="00BF059B">
        <w:t xml:space="preserve"> </w:t>
      </w:r>
      <w:r>
        <w:t>Goldsmiths,</w:t>
      </w:r>
      <w:r w:rsidR="00BF059B">
        <w:t xml:space="preserve"> </w:t>
      </w:r>
      <w:r>
        <w:t>University</w:t>
      </w:r>
      <w:r w:rsidR="00BF059B">
        <w:t xml:space="preserve"> </w:t>
      </w:r>
      <w:r>
        <w:t>of</w:t>
      </w:r>
      <w:r w:rsidR="00BF059B">
        <w:t xml:space="preserve"> </w:t>
      </w:r>
      <w:r>
        <w:t>London,</w:t>
      </w:r>
      <w:r w:rsidR="00BF059B">
        <w:t xml:space="preserve"> </w:t>
      </w:r>
      <w:r>
        <w:t>and</w:t>
      </w:r>
      <w:r w:rsidR="00BF059B">
        <w:t xml:space="preserve"> </w:t>
      </w:r>
      <w:r>
        <w:t>an</w:t>
      </w:r>
      <w:r w:rsidR="00BF059B">
        <w:t xml:space="preserve"> </w:t>
      </w:r>
      <w:r>
        <w:t>event</w:t>
      </w:r>
      <w:r w:rsidR="00BF059B">
        <w:t xml:space="preserve"> </w:t>
      </w:r>
      <w:r>
        <w:t>for</w:t>
      </w:r>
      <w:r w:rsidR="00BF059B">
        <w:t xml:space="preserve"> </w:t>
      </w:r>
      <w:r>
        <w:t>World</w:t>
      </w:r>
      <w:r w:rsidR="00BF059B">
        <w:t xml:space="preserve"> </w:t>
      </w:r>
      <w:r>
        <w:t>Ocean’s</w:t>
      </w:r>
      <w:r w:rsidR="00BF059B">
        <w:t xml:space="preserve"> </w:t>
      </w:r>
      <w:r>
        <w:t>Day</w:t>
      </w:r>
      <w:r w:rsidR="00BF059B">
        <w:t xml:space="preserve"> </w:t>
      </w:r>
      <w:r>
        <w:t>for</w:t>
      </w:r>
      <w:r w:rsidR="00BF059B">
        <w:t xml:space="preserve"> </w:t>
      </w:r>
      <w:r>
        <w:t>local</w:t>
      </w:r>
      <w:r w:rsidR="00BF059B">
        <w:t xml:space="preserve"> </w:t>
      </w:r>
      <w:r>
        <w:t>Sixth</w:t>
      </w:r>
      <w:r w:rsidR="00BF059B">
        <w:t xml:space="preserve"> </w:t>
      </w:r>
      <w:r>
        <w:t>Form</w:t>
      </w:r>
      <w:r w:rsidR="00BF059B">
        <w:t xml:space="preserve"> </w:t>
      </w:r>
      <w:r>
        <w:t>students.</w:t>
      </w:r>
    </w:p>
    <w:p w14:paraId="3E31C6E1" w14:textId="77777777" w:rsidR="00BE13A8" w:rsidRDefault="00BE13A8">
      <w:pPr>
        <w:jc w:val="both"/>
      </w:pPr>
    </w:p>
    <w:p w14:paraId="16A774F1" w14:textId="67927207" w:rsidR="00BE13A8" w:rsidRDefault="00D70530">
      <w:pPr>
        <w:jc w:val="both"/>
      </w:pPr>
      <w:r>
        <w:t>We</w:t>
      </w:r>
      <w:r w:rsidR="00BF059B">
        <w:t xml:space="preserve"> </w:t>
      </w:r>
      <w:r>
        <w:t>continued</w:t>
      </w:r>
      <w:r w:rsidR="00BF059B">
        <w:t xml:space="preserve"> </w:t>
      </w:r>
      <w:r>
        <w:t>our</w:t>
      </w:r>
      <w:r w:rsidR="00BF059B">
        <w:t xml:space="preserve"> </w:t>
      </w:r>
      <w:r>
        <w:t>work</w:t>
      </w:r>
      <w:r w:rsidR="00BF059B">
        <w:t xml:space="preserve"> </w:t>
      </w:r>
      <w:r>
        <w:t>for</w:t>
      </w:r>
      <w:r w:rsidR="00BF059B">
        <w:t xml:space="preserve"> </w:t>
      </w:r>
      <w:r>
        <w:t>the</w:t>
      </w:r>
      <w:r w:rsidR="00BF059B">
        <w:t xml:space="preserve"> </w:t>
      </w:r>
      <w:r>
        <w:t>growing</w:t>
      </w:r>
      <w:r w:rsidR="00BF059B">
        <w:t xml:space="preserve"> </w:t>
      </w:r>
      <w:r>
        <w:t>number</w:t>
      </w:r>
      <w:r w:rsidR="00BF059B">
        <w:t xml:space="preserve"> </w:t>
      </w:r>
      <w:r>
        <w:t>of</w:t>
      </w:r>
      <w:r w:rsidR="00BF059B">
        <w:t xml:space="preserve"> </w:t>
      </w:r>
      <w:r>
        <w:t>learners</w:t>
      </w:r>
      <w:r w:rsidR="00BF059B">
        <w:t xml:space="preserve"> </w:t>
      </w:r>
      <w:r>
        <w:t>who</w:t>
      </w:r>
      <w:r w:rsidR="00BF059B">
        <w:t xml:space="preserve"> </w:t>
      </w:r>
      <w:r>
        <w:t>are</w:t>
      </w:r>
      <w:r w:rsidR="00BF059B">
        <w:t xml:space="preserve"> </w:t>
      </w:r>
      <w:r>
        <w:t>home</w:t>
      </w:r>
      <w:r w:rsidR="00BF059B">
        <w:t xml:space="preserve"> </w:t>
      </w:r>
      <w:r>
        <w:t>educated,</w:t>
      </w:r>
      <w:r w:rsidR="00BF059B">
        <w:t xml:space="preserve"> </w:t>
      </w:r>
      <w:r>
        <w:t>reaching</w:t>
      </w:r>
      <w:r w:rsidR="00BF059B">
        <w:t xml:space="preserve"> </w:t>
      </w:r>
      <w:r>
        <w:t>217</w:t>
      </w:r>
      <w:r w:rsidR="00BF059B">
        <w:t xml:space="preserve"> </w:t>
      </w:r>
      <w:r>
        <w:t>home-educated</w:t>
      </w:r>
      <w:r w:rsidR="00BF059B">
        <w:t xml:space="preserve"> </w:t>
      </w:r>
      <w:r>
        <w:t>students</w:t>
      </w:r>
      <w:r w:rsidR="00BF059B">
        <w:t xml:space="preserve"> </w:t>
      </w:r>
      <w:r>
        <w:t>through</w:t>
      </w:r>
      <w:r w:rsidR="00BF059B">
        <w:t xml:space="preserve"> </w:t>
      </w:r>
      <w:r>
        <w:t>facilitated</w:t>
      </w:r>
      <w:r w:rsidR="00BF059B">
        <w:t xml:space="preserve"> </w:t>
      </w:r>
      <w:r>
        <w:t>sessions</w:t>
      </w:r>
      <w:r w:rsidR="00BF059B">
        <w:t xml:space="preserve"> </w:t>
      </w:r>
      <w:r>
        <w:t>with</w:t>
      </w:r>
      <w:r w:rsidR="00BF059B">
        <w:t xml:space="preserve"> </w:t>
      </w:r>
      <w:r>
        <w:t>a</w:t>
      </w:r>
      <w:r w:rsidR="00BF059B">
        <w:t xml:space="preserve"> </w:t>
      </w:r>
      <w:r>
        <w:t>reduced</w:t>
      </w:r>
      <w:r w:rsidR="00BF059B">
        <w:t xml:space="preserve"> </w:t>
      </w:r>
      <w:r>
        <w:t>programme</w:t>
      </w:r>
      <w:r w:rsidR="00BF059B">
        <w:t xml:space="preserve"> </w:t>
      </w:r>
      <w:r>
        <w:t>(due</w:t>
      </w:r>
      <w:r w:rsidR="00BF059B">
        <w:t xml:space="preserve"> </w:t>
      </w:r>
      <w:r>
        <w:t>to</w:t>
      </w:r>
      <w:r w:rsidR="00BF059B">
        <w:t xml:space="preserve"> </w:t>
      </w:r>
      <w:r>
        <w:t>staffing</w:t>
      </w:r>
      <w:r w:rsidR="00BF059B">
        <w:t xml:space="preserve"> </w:t>
      </w:r>
      <w:r>
        <w:t>changes),</w:t>
      </w:r>
      <w:r w:rsidR="00BF059B">
        <w:t xml:space="preserve"> </w:t>
      </w:r>
      <w:r>
        <w:t>but</w:t>
      </w:r>
      <w:r w:rsidR="00BF059B">
        <w:t xml:space="preserve"> </w:t>
      </w:r>
      <w:r>
        <w:t>also</w:t>
      </w:r>
      <w:r w:rsidR="00BF059B">
        <w:t xml:space="preserve"> </w:t>
      </w:r>
      <w:r>
        <w:t>refocusing</w:t>
      </w:r>
      <w:r w:rsidR="00BF059B">
        <w:t xml:space="preserve"> </w:t>
      </w:r>
      <w:r>
        <w:t>on</w:t>
      </w:r>
      <w:r w:rsidR="00BF059B">
        <w:t xml:space="preserve"> </w:t>
      </w:r>
      <w:r>
        <w:t>relationship</w:t>
      </w:r>
      <w:r w:rsidR="00BF059B">
        <w:t xml:space="preserve"> </w:t>
      </w:r>
      <w:r>
        <w:t>building</w:t>
      </w:r>
      <w:r w:rsidR="00BF059B">
        <w:t xml:space="preserve"> </w:t>
      </w:r>
      <w:r>
        <w:t>with</w:t>
      </w:r>
      <w:r w:rsidR="00BF059B">
        <w:t xml:space="preserve"> </w:t>
      </w:r>
      <w:r>
        <w:t>the</w:t>
      </w:r>
      <w:r w:rsidR="00BF059B">
        <w:t xml:space="preserve"> </w:t>
      </w:r>
      <w:r>
        <w:t>community</w:t>
      </w:r>
      <w:r w:rsidR="00BF059B">
        <w:t xml:space="preserve"> </w:t>
      </w:r>
      <w:r>
        <w:t>through</w:t>
      </w:r>
      <w:r w:rsidR="00BF059B">
        <w:t xml:space="preserve"> </w:t>
      </w:r>
      <w:r>
        <w:t>a</w:t>
      </w:r>
      <w:r w:rsidR="00BF059B">
        <w:t xml:space="preserve"> </w:t>
      </w:r>
      <w:r>
        <w:t>new</w:t>
      </w:r>
      <w:r w:rsidR="00BF059B">
        <w:t xml:space="preserve"> </w:t>
      </w:r>
      <w:r>
        <w:t>home</w:t>
      </w:r>
      <w:r w:rsidR="00BF059B">
        <w:t xml:space="preserve"> </w:t>
      </w:r>
      <w:r>
        <w:t>education</w:t>
      </w:r>
      <w:r w:rsidR="00BF059B">
        <w:t xml:space="preserve"> </w:t>
      </w:r>
      <w:r>
        <w:t>panel,</w:t>
      </w:r>
      <w:r w:rsidR="00BF059B">
        <w:t xml:space="preserve"> </w:t>
      </w:r>
      <w:r>
        <w:t>and</w:t>
      </w:r>
      <w:r w:rsidR="00BF059B">
        <w:t xml:space="preserve"> </w:t>
      </w:r>
      <w:r>
        <w:t>partnering</w:t>
      </w:r>
      <w:r w:rsidR="00BF059B">
        <w:t xml:space="preserve"> </w:t>
      </w:r>
      <w:r>
        <w:t>with</w:t>
      </w:r>
      <w:r w:rsidR="00BF059B">
        <w:t xml:space="preserve"> </w:t>
      </w:r>
      <w:r>
        <w:t>a</w:t>
      </w:r>
      <w:r w:rsidR="00BF059B">
        <w:t xml:space="preserve"> </w:t>
      </w:r>
      <w:r>
        <w:t>group</w:t>
      </w:r>
      <w:r w:rsidR="00BF059B">
        <w:t xml:space="preserve"> </w:t>
      </w:r>
      <w:r>
        <w:t>for</w:t>
      </w:r>
      <w:r w:rsidR="00BF059B">
        <w:t xml:space="preserve"> </w:t>
      </w:r>
      <w:r>
        <w:t>‘Early</w:t>
      </w:r>
      <w:r w:rsidR="00BF059B">
        <w:t xml:space="preserve"> </w:t>
      </w:r>
      <w:r>
        <w:t>Curators’.</w:t>
      </w:r>
      <w:r w:rsidR="00BF059B">
        <w:t xml:space="preserve"> </w:t>
      </w:r>
      <w:r>
        <w:t>We</w:t>
      </w:r>
      <w:r w:rsidR="00BF059B">
        <w:t xml:space="preserve"> </w:t>
      </w:r>
      <w:r>
        <w:t>have</w:t>
      </w:r>
      <w:r w:rsidR="00BF059B">
        <w:t xml:space="preserve"> </w:t>
      </w:r>
      <w:r>
        <w:t>established</w:t>
      </w:r>
      <w:r w:rsidR="00BF059B">
        <w:t xml:space="preserve"> </w:t>
      </w:r>
      <w:r>
        <w:t>a</w:t>
      </w:r>
      <w:r w:rsidR="00BF059B">
        <w:t xml:space="preserve"> </w:t>
      </w:r>
      <w:r>
        <w:t>new</w:t>
      </w:r>
      <w:r w:rsidR="00BF059B">
        <w:t xml:space="preserve"> </w:t>
      </w:r>
      <w:r>
        <w:t>home</w:t>
      </w:r>
      <w:r w:rsidR="00BF059B">
        <w:t xml:space="preserve"> </w:t>
      </w:r>
      <w:r>
        <w:t>education</w:t>
      </w:r>
      <w:r w:rsidR="00BF059B">
        <w:t xml:space="preserve"> </w:t>
      </w:r>
      <w:r>
        <w:t>advisory</w:t>
      </w:r>
      <w:r w:rsidR="00BF059B">
        <w:t xml:space="preserve"> </w:t>
      </w:r>
      <w:r>
        <w:t>panel</w:t>
      </w:r>
      <w:r w:rsidR="00BF059B">
        <w:t xml:space="preserve"> </w:t>
      </w:r>
      <w:r>
        <w:t>-</w:t>
      </w:r>
      <w:r w:rsidR="00BF059B">
        <w:t xml:space="preserve"> </w:t>
      </w:r>
      <w:r>
        <w:t>a</w:t>
      </w:r>
      <w:r w:rsidR="00BF059B">
        <w:t xml:space="preserve"> </w:t>
      </w:r>
      <w:r>
        <w:t>sector</w:t>
      </w:r>
      <w:r w:rsidR="00BF059B">
        <w:t xml:space="preserve"> </w:t>
      </w:r>
      <w:r>
        <w:t>first</w:t>
      </w:r>
      <w:r w:rsidR="00BF059B">
        <w:t xml:space="preserve"> </w:t>
      </w:r>
      <w:r>
        <w:t>-</w:t>
      </w:r>
      <w:r w:rsidR="00BF059B">
        <w:t xml:space="preserve"> </w:t>
      </w:r>
      <w:r>
        <w:t>who</w:t>
      </w:r>
      <w:r w:rsidR="00BF059B">
        <w:t xml:space="preserve"> </w:t>
      </w:r>
      <w:r>
        <w:t>are</w:t>
      </w:r>
      <w:r w:rsidR="00BF059B">
        <w:t xml:space="preserve"> </w:t>
      </w:r>
      <w:r>
        <w:t>guiding</w:t>
      </w:r>
      <w:r w:rsidR="00BF059B">
        <w:t xml:space="preserve"> </w:t>
      </w:r>
      <w:r>
        <w:t>the</w:t>
      </w:r>
      <w:r w:rsidR="00BF059B">
        <w:t xml:space="preserve"> </w:t>
      </w:r>
      <w:r>
        <w:t>development</w:t>
      </w:r>
      <w:r w:rsidR="00BF059B">
        <w:t xml:space="preserve"> </w:t>
      </w:r>
      <w:r>
        <w:t>and</w:t>
      </w:r>
      <w:r w:rsidR="00BF059B">
        <w:t xml:space="preserve"> </w:t>
      </w:r>
      <w:r>
        <w:t>expansion</w:t>
      </w:r>
      <w:r w:rsidR="00BF059B">
        <w:t xml:space="preserve"> </w:t>
      </w:r>
      <w:r>
        <w:t>of</w:t>
      </w:r>
      <w:r w:rsidR="00BF059B">
        <w:t xml:space="preserve"> </w:t>
      </w:r>
      <w:r>
        <w:t>our</w:t>
      </w:r>
      <w:r w:rsidR="00BF059B">
        <w:t xml:space="preserve"> </w:t>
      </w:r>
      <w:r>
        <w:t>home</w:t>
      </w:r>
      <w:r w:rsidR="00BF059B">
        <w:t xml:space="preserve"> </w:t>
      </w:r>
      <w:r>
        <w:t>education</w:t>
      </w:r>
      <w:r w:rsidR="00BF059B">
        <w:t xml:space="preserve"> </w:t>
      </w:r>
      <w:r>
        <w:t>offer</w:t>
      </w:r>
      <w:r w:rsidR="00BF059B">
        <w:t xml:space="preserve"> </w:t>
      </w:r>
      <w:r>
        <w:t>and</w:t>
      </w:r>
      <w:r w:rsidR="00BF059B">
        <w:t xml:space="preserve"> </w:t>
      </w:r>
      <w:r>
        <w:t>have</w:t>
      </w:r>
      <w:r w:rsidR="00BF059B">
        <w:t xml:space="preserve"> </w:t>
      </w:r>
      <w:r>
        <w:t>cofounded</w:t>
      </w:r>
      <w:r w:rsidR="00BF059B">
        <w:t xml:space="preserve"> </w:t>
      </w:r>
      <w:r>
        <w:t>a</w:t>
      </w:r>
      <w:r w:rsidR="00BF059B">
        <w:t xml:space="preserve"> </w:t>
      </w:r>
      <w:r>
        <w:t>cross-organisation</w:t>
      </w:r>
      <w:r w:rsidR="00BF059B">
        <w:t xml:space="preserve"> </w:t>
      </w:r>
      <w:r>
        <w:t>home</w:t>
      </w:r>
      <w:r w:rsidR="00BF059B">
        <w:t xml:space="preserve"> </w:t>
      </w:r>
      <w:r>
        <w:t>education</w:t>
      </w:r>
      <w:r w:rsidR="00BF059B">
        <w:t xml:space="preserve"> </w:t>
      </w:r>
      <w:r>
        <w:t>network.</w:t>
      </w:r>
    </w:p>
    <w:p w14:paraId="313DF4CE" w14:textId="77777777" w:rsidR="00BE13A8" w:rsidRDefault="00BE13A8">
      <w:pPr>
        <w:jc w:val="both"/>
      </w:pPr>
    </w:p>
    <w:p w14:paraId="30E53F9B" w14:textId="42ADD5CB" w:rsidR="00BE13A8" w:rsidRDefault="00D70530">
      <w:pPr>
        <w:jc w:val="both"/>
      </w:pPr>
      <w:r>
        <w:t>Work</w:t>
      </w:r>
      <w:r w:rsidR="00BF059B">
        <w:t xml:space="preserve"> </w:t>
      </w:r>
      <w:r>
        <w:t>to</w:t>
      </w:r>
      <w:r w:rsidR="00BF059B">
        <w:t xml:space="preserve"> </w:t>
      </w:r>
      <w:r>
        <w:t>improve</w:t>
      </w:r>
      <w:r w:rsidR="00BF059B">
        <w:t xml:space="preserve"> </w:t>
      </w:r>
      <w:r>
        <w:t>the</w:t>
      </w:r>
      <w:r w:rsidR="00BF059B">
        <w:t xml:space="preserve"> </w:t>
      </w:r>
      <w:r>
        <w:t>accessibility</w:t>
      </w:r>
      <w:r w:rsidR="00BF059B">
        <w:t xml:space="preserve"> </w:t>
      </w:r>
      <w:r>
        <w:t>of</w:t>
      </w:r>
      <w:r w:rsidR="00BF059B">
        <w:t xml:space="preserve"> </w:t>
      </w:r>
      <w:r>
        <w:t>our</w:t>
      </w:r>
      <w:r w:rsidR="00BF059B">
        <w:t xml:space="preserve"> </w:t>
      </w:r>
      <w:r>
        <w:t>programmes</w:t>
      </w:r>
      <w:r w:rsidR="00BF059B">
        <w:t xml:space="preserve"> </w:t>
      </w:r>
      <w:r>
        <w:t>through</w:t>
      </w:r>
      <w:r w:rsidR="00BF059B">
        <w:t xml:space="preserve"> </w:t>
      </w:r>
      <w:r>
        <w:t>new</w:t>
      </w:r>
      <w:r w:rsidR="00BF059B">
        <w:t xml:space="preserve"> </w:t>
      </w:r>
      <w:r>
        <w:t>resources</w:t>
      </w:r>
      <w:r w:rsidR="00BF059B">
        <w:t xml:space="preserve"> </w:t>
      </w:r>
      <w:r>
        <w:t>and</w:t>
      </w:r>
      <w:r w:rsidR="00BF059B">
        <w:t xml:space="preserve"> </w:t>
      </w:r>
      <w:r>
        <w:t>team</w:t>
      </w:r>
      <w:r w:rsidR="00BF059B">
        <w:t xml:space="preserve"> </w:t>
      </w:r>
      <w:r>
        <w:t>training</w:t>
      </w:r>
      <w:r w:rsidR="00BF059B">
        <w:t xml:space="preserve"> </w:t>
      </w:r>
      <w:r>
        <w:t>has</w:t>
      </w:r>
      <w:r w:rsidR="00BF059B">
        <w:t xml:space="preserve"> </w:t>
      </w:r>
      <w:r>
        <w:t>resulted</w:t>
      </w:r>
      <w:r w:rsidR="00BF059B">
        <w:t xml:space="preserve"> </w:t>
      </w:r>
      <w:r>
        <w:t>in</w:t>
      </w:r>
      <w:r w:rsidR="00BF059B">
        <w:t xml:space="preserve"> </w:t>
      </w:r>
      <w:r>
        <w:t>brilliant</w:t>
      </w:r>
      <w:r w:rsidR="00BF059B">
        <w:t xml:space="preserve"> </w:t>
      </w:r>
      <w:r>
        <w:t>feedback</w:t>
      </w:r>
      <w:r w:rsidR="00BF059B">
        <w:t xml:space="preserve"> </w:t>
      </w:r>
      <w:r>
        <w:t>from</w:t>
      </w:r>
      <w:r w:rsidR="00BF059B">
        <w:t xml:space="preserve"> </w:t>
      </w:r>
      <w:r>
        <w:t>schools:</w:t>
      </w:r>
      <w:r w:rsidR="00BF059B">
        <w:t xml:space="preserve"> </w:t>
      </w:r>
      <w:r>
        <w:t>“My</w:t>
      </w:r>
      <w:r w:rsidR="00BF059B">
        <w:t xml:space="preserve"> </w:t>
      </w:r>
      <w:r>
        <w:t>son</w:t>
      </w:r>
      <w:r w:rsidR="00BF059B">
        <w:t xml:space="preserve"> </w:t>
      </w:r>
      <w:r>
        <w:t>is</w:t>
      </w:r>
      <w:r w:rsidR="00BF059B">
        <w:t xml:space="preserve"> </w:t>
      </w:r>
      <w:r>
        <w:t>deaf</w:t>
      </w:r>
      <w:r w:rsidR="00BF059B">
        <w:t xml:space="preserve"> </w:t>
      </w:r>
      <w:r>
        <w:t>and</w:t>
      </w:r>
      <w:r w:rsidR="00BF059B">
        <w:t xml:space="preserve"> </w:t>
      </w:r>
      <w:r>
        <w:t>during</w:t>
      </w:r>
      <w:r w:rsidR="00BF059B">
        <w:t xml:space="preserve"> </w:t>
      </w:r>
      <w:r>
        <w:t>one</w:t>
      </w:r>
      <w:r w:rsidR="00BF059B">
        <w:t xml:space="preserve"> </w:t>
      </w:r>
      <w:r>
        <w:t>of</w:t>
      </w:r>
      <w:r w:rsidR="00BF059B">
        <w:t xml:space="preserve"> </w:t>
      </w:r>
      <w:r>
        <w:t>your</w:t>
      </w:r>
      <w:r w:rsidR="00BF059B">
        <w:t xml:space="preserve"> </w:t>
      </w:r>
      <w:r>
        <w:t>workshops</w:t>
      </w:r>
      <w:r w:rsidR="00BF059B">
        <w:t xml:space="preserve"> </w:t>
      </w:r>
      <w:r>
        <w:t>the</w:t>
      </w:r>
      <w:r w:rsidR="00BF059B">
        <w:t xml:space="preserve"> </w:t>
      </w:r>
      <w:r>
        <w:t>lady</w:t>
      </w:r>
      <w:r w:rsidR="00BF059B">
        <w:t xml:space="preserve"> </w:t>
      </w:r>
      <w:r>
        <w:t>who</w:t>
      </w:r>
      <w:r w:rsidR="00BF059B">
        <w:t xml:space="preserve"> </w:t>
      </w:r>
      <w:r>
        <w:t>was</w:t>
      </w:r>
      <w:r w:rsidR="00BF059B">
        <w:t xml:space="preserve"> </w:t>
      </w:r>
      <w:r>
        <w:t>running</w:t>
      </w:r>
      <w:r w:rsidR="00BF059B">
        <w:t xml:space="preserve"> </w:t>
      </w:r>
      <w:r>
        <w:t>it</w:t>
      </w:r>
      <w:r w:rsidR="00BF059B">
        <w:t xml:space="preserve"> </w:t>
      </w:r>
      <w:r>
        <w:t>was</w:t>
      </w:r>
      <w:r w:rsidR="00BF059B">
        <w:t xml:space="preserve"> </w:t>
      </w:r>
      <w:r>
        <w:t>making</w:t>
      </w:r>
      <w:r w:rsidR="00BF059B">
        <w:t xml:space="preserve"> </w:t>
      </w:r>
      <w:r>
        <w:t>such</w:t>
      </w:r>
      <w:r w:rsidR="00BF059B">
        <w:t xml:space="preserve"> </w:t>
      </w:r>
      <w:r>
        <w:t>a</w:t>
      </w:r>
      <w:r w:rsidR="00BF059B">
        <w:t xml:space="preserve"> </w:t>
      </w:r>
      <w:r>
        <w:t>great</w:t>
      </w:r>
      <w:r w:rsidR="00BF059B">
        <w:t xml:space="preserve"> </w:t>
      </w:r>
      <w:r>
        <w:t>effort</w:t>
      </w:r>
      <w:r w:rsidR="00BF059B">
        <w:t xml:space="preserve"> </w:t>
      </w:r>
      <w:r>
        <w:t>in</w:t>
      </w:r>
      <w:r w:rsidR="00BF059B">
        <w:t xml:space="preserve"> </w:t>
      </w:r>
      <w:r>
        <w:t>signing.</w:t>
      </w:r>
      <w:r w:rsidR="00BF059B">
        <w:t xml:space="preserve"> </w:t>
      </w:r>
      <w:r>
        <w:t>He</w:t>
      </w:r>
      <w:r w:rsidR="00BF059B">
        <w:t xml:space="preserve"> </w:t>
      </w:r>
      <w:r>
        <w:t>came</w:t>
      </w:r>
      <w:r w:rsidR="00BF059B">
        <w:t xml:space="preserve"> </w:t>
      </w:r>
      <w:r>
        <w:t>home</w:t>
      </w:r>
      <w:r w:rsidR="00BF059B">
        <w:t xml:space="preserve"> </w:t>
      </w:r>
      <w:r>
        <w:t>so</w:t>
      </w:r>
      <w:r w:rsidR="00BF059B">
        <w:t xml:space="preserve"> </w:t>
      </w:r>
      <w:r>
        <w:t>happy</w:t>
      </w:r>
      <w:r w:rsidR="00BF059B">
        <w:t xml:space="preserve"> </w:t>
      </w:r>
      <w:r>
        <w:t>and</w:t>
      </w:r>
      <w:r w:rsidR="00BF059B">
        <w:t xml:space="preserve"> </w:t>
      </w:r>
      <w:r>
        <w:t>could</w:t>
      </w:r>
      <w:r w:rsidR="00BF059B">
        <w:t xml:space="preserve"> </w:t>
      </w:r>
      <w:r>
        <w:t>not</w:t>
      </w:r>
      <w:r w:rsidR="00BF059B">
        <w:t xml:space="preserve"> </w:t>
      </w:r>
      <w:r>
        <w:t>stop</w:t>
      </w:r>
      <w:r w:rsidR="00BF059B">
        <w:t xml:space="preserve"> </w:t>
      </w:r>
      <w:r>
        <w:t>speaking</w:t>
      </w:r>
      <w:r w:rsidR="00BF059B">
        <w:t xml:space="preserve"> </w:t>
      </w:r>
      <w:r>
        <w:t>about</w:t>
      </w:r>
      <w:r w:rsidR="00BF059B">
        <w:t xml:space="preserve"> </w:t>
      </w:r>
      <w:r>
        <w:t>her</w:t>
      </w:r>
      <w:r w:rsidR="00BF059B">
        <w:t xml:space="preserve"> </w:t>
      </w:r>
      <w:r>
        <w:t>and</w:t>
      </w:r>
      <w:r w:rsidR="00BF059B">
        <w:t xml:space="preserve"> </w:t>
      </w:r>
      <w:r>
        <w:t>really</w:t>
      </w:r>
      <w:r w:rsidR="00BF059B">
        <w:t xml:space="preserve"> </w:t>
      </w:r>
      <w:r>
        <w:t>felt</w:t>
      </w:r>
      <w:r w:rsidR="00BF059B">
        <w:t xml:space="preserve"> </w:t>
      </w:r>
      <w:r>
        <w:t>included</w:t>
      </w:r>
      <w:r w:rsidR="00BF059B">
        <w:t xml:space="preserve"> </w:t>
      </w:r>
      <w:r>
        <w:t>on</w:t>
      </w:r>
      <w:r w:rsidR="00BF059B">
        <w:t xml:space="preserve"> </w:t>
      </w:r>
      <w:r>
        <w:t>his</w:t>
      </w:r>
      <w:r w:rsidR="00BF059B">
        <w:t xml:space="preserve"> </w:t>
      </w:r>
      <w:r>
        <w:t>trip.</w:t>
      </w:r>
      <w:r w:rsidR="00BF059B">
        <w:t xml:space="preserve"> </w:t>
      </w:r>
      <w:r>
        <w:t>I</w:t>
      </w:r>
      <w:r w:rsidR="00BF059B">
        <w:t xml:space="preserve"> </w:t>
      </w:r>
      <w:r>
        <w:t>just</w:t>
      </w:r>
      <w:r w:rsidR="00BF059B">
        <w:t xml:space="preserve"> </w:t>
      </w:r>
      <w:r>
        <w:t>really</w:t>
      </w:r>
      <w:r w:rsidR="00BF059B">
        <w:t xml:space="preserve"> </w:t>
      </w:r>
      <w:r>
        <w:t>want</w:t>
      </w:r>
      <w:r w:rsidR="00BF059B">
        <w:t xml:space="preserve"> </w:t>
      </w:r>
      <w:r>
        <w:t>to</w:t>
      </w:r>
      <w:r w:rsidR="00BF059B">
        <w:t xml:space="preserve"> </w:t>
      </w:r>
      <w:r>
        <w:t>thank</w:t>
      </w:r>
      <w:r w:rsidR="00BF059B">
        <w:t xml:space="preserve"> </w:t>
      </w:r>
      <w:r>
        <w:t>you</w:t>
      </w:r>
      <w:r w:rsidR="00BF059B">
        <w:t xml:space="preserve"> </w:t>
      </w:r>
      <w:r>
        <w:t>all</w:t>
      </w:r>
      <w:r w:rsidR="00BF059B">
        <w:t xml:space="preserve"> </w:t>
      </w:r>
      <w:r>
        <w:t>for</w:t>
      </w:r>
      <w:r w:rsidR="00BF059B">
        <w:t xml:space="preserve"> </w:t>
      </w:r>
      <w:r>
        <w:t>being</w:t>
      </w:r>
      <w:r w:rsidR="00BF059B">
        <w:t xml:space="preserve"> </w:t>
      </w:r>
      <w:r>
        <w:t>such</w:t>
      </w:r>
      <w:r w:rsidR="00BF059B">
        <w:t xml:space="preserve"> </w:t>
      </w:r>
      <w:r>
        <w:t>amazing</w:t>
      </w:r>
      <w:r w:rsidR="00BF059B">
        <w:t xml:space="preserve"> </w:t>
      </w:r>
      <w:r>
        <w:t>people."</w:t>
      </w:r>
    </w:p>
    <w:p w14:paraId="65C5DCB2" w14:textId="77777777" w:rsidR="00BE13A8" w:rsidRDefault="00BE13A8">
      <w:pPr>
        <w:jc w:val="both"/>
      </w:pPr>
    </w:p>
    <w:p w14:paraId="72B08C20" w14:textId="6EC722D9" w:rsidR="00BE13A8" w:rsidRDefault="00D70530">
      <w:pPr>
        <w:jc w:val="both"/>
      </w:pPr>
      <w:r>
        <w:t>We</w:t>
      </w:r>
      <w:r w:rsidR="00BF059B">
        <w:t xml:space="preserve"> </w:t>
      </w:r>
      <w:r>
        <w:t>completed</w:t>
      </w:r>
      <w:r w:rsidR="00BF059B">
        <w:t xml:space="preserve"> </w:t>
      </w:r>
      <w:r>
        <w:t>our</w:t>
      </w:r>
      <w:r w:rsidR="00BF059B">
        <w:t xml:space="preserve"> </w:t>
      </w:r>
      <w:r>
        <w:t>Explore:</w:t>
      </w:r>
      <w:r w:rsidR="00BF059B">
        <w:t xml:space="preserve"> </w:t>
      </w:r>
      <w:r>
        <w:t>Urban</w:t>
      </w:r>
      <w:r w:rsidR="00BF059B">
        <w:t xml:space="preserve"> </w:t>
      </w:r>
      <w:r>
        <w:t>Nature</w:t>
      </w:r>
      <w:r w:rsidR="00BF059B">
        <w:t xml:space="preserve"> </w:t>
      </w:r>
      <w:r>
        <w:t>partnership</w:t>
      </w:r>
      <w:r w:rsidR="00BF059B">
        <w:t xml:space="preserve"> </w:t>
      </w:r>
      <w:r>
        <w:t>with</w:t>
      </w:r>
      <w:r w:rsidR="00BF059B">
        <w:t xml:space="preserve"> </w:t>
      </w:r>
      <w:r>
        <w:t>the</w:t>
      </w:r>
      <w:r w:rsidR="00BF059B">
        <w:t xml:space="preserve"> </w:t>
      </w:r>
      <w:r>
        <w:t>Natural</w:t>
      </w:r>
      <w:r w:rsidR="00BF059B">
        <w:t xml:space="preserve"> </w:t>
      </w:r>
      <w:r>
        <w:t>History</w:t>
      </w:r>
      <w:r w:rsidR="00BF059B">
        <w:t xml:space="preserve"> </w:t>
      </w:r>
      <w:r>
        <w:t>Museum,</w:t>
      </w:r>
      <w:r w:rsidR="00BF059B">
        <w:t xml:space="preserve"> </w:t>
      </w:r>
      <w:r>
        <w:t>which</w:t>
      </w:r>
      <w:r w:rsidR="00BF059B">
        <w:t xml:space="preserve"> </w:t>
      </w:r>
      <w:r>
        <w:t>enabled</w:t>
      </w:r>
      <w:r w:rsidR="00BF059B">
        <w:t xml:space="preserve"> </w:t>
      </w:r>
      <w:r>
        <w:t>free</w:t>
      </w:r>
      <w:r w:rsidR="00BF059B">
        <w:t xml:space="preserve"> </w:t>
      </w:r>
      <w:r>
        <w:t>outdoor</w:t>
      </w:r>
      <w:r w:rsidR="00BF059B">
        <w:t xml:space="preserve"> </w:t>
      </w:r>
      <w:r>
        <w:t>learning</w:t>
      </w:r>
      <w:r w:rsidR="00BF059B">
        <w:t xml:space="preserve"> </w:t>
      </w:r>
      <w:r>
        <w:t>workshops</w:t>
      </w:r>
      <w:r w:rsidR="00BF059B">
        <w:t xml:space="preserve"> </w:t>
      </w:r>
      <w:r>
        <w:t>for</w:t>
      </w:r>
      <w:r w:rsidR="00BF059B">
        <w:t xml:space="preserve"> </w:t>
      </w:r>
      <w:r>
        <w:t>Key</w:t>
      </w:r>
      <w:r w:rsidR="00BF059B">
        <w:t xml:space="preserve"> </w:t>
      </w:r>
      <w:r>
        <w:t>Stage</w:t>
      </w:r>
      <w:r w:rsidR="00BF059B">
        <w:t xml:space="preserve"> </w:t>
      </w:r>
      <w:r>
        <w:t>2</w:t>
      </w:r>
      <w:r w:rsidR="00BF059B">
        <w:t xml:space="preserve"> </w:t>
      </w:r>
      <w:r>
        <w:t>children</w:t>
      </w:r>
      <w:r w:rsidR="00BF059B">
        <w:t xml:space="preserve"> </w:t>
      </w:r>
      <w:r>
        <w:t>from</w:t>
      </w:r>
      <w:r w:rsidR="00BF059B">
        <w:t xml:space="preserve"> </w:t>
      </w:r>
      <w:r>
        <w:t>mainstream</w:t>
      </w:r>
      <w:r w:rsidR="00BF059B">
        <w:t xml:space="preserve"> </w:t>
      </w:r>
      <w:r>
        <w:t>schools,</w:t>
      </w:r>
      <w:r w:rsidR="00BF059B">
        <w:t xml:space="preserve"> </w:t>
      </w:r>
      <w:r>
        <w:t>and</w:t>
      </w:r>
      <w:r w:rsidR="00BF059B">
        <w:t xml:space="preserve"> </w:t>
      </w:r>
      <w:r>
        <w:t>tailored</w:t>
      </w:r>
      <w:r w:rsidR="00BF059B">
        <w:t xml:space="preserve"> </w:t>
      </w:r>
      <w:r>
        <w:t>outreach</w:t>
      </w:r>
      <w:r w:rsidR="00BF059B">
        <w:t xml:space="preserve"> </w:t>
      </w:r>
      <w:r>
        <w:t>for</w:t>
      </w:r>
      <w:r w:rsidR="00BF059B">
        <w:t xml:space="preserve"> </w:t>
      </w:r>
      <w:r>
        <w:t>pupils</w:t>
      </w:r>
      <w:r w:rsidR="00BF059B">
        <w:t xml:space="preserve"> </w:t>
      </w:r>
      <w:r>
        <w:t>in</w:t>
      </w:r>
      <w:r w:rsidR="00BF059B">
        <w:t xml:space="preserve"> </w:t>
      </w:r>
      <w:r>
        <w:t>partner</w:t>
      </w:r>
      <w:r w:rsidR="00BF059B">
        <w:t xml:space="preserve"> </w:t>
      </w:r>
      <w:r>
        <w:t>Specialist</w:t>
      </w:r>
      <w:r w:rsidR="00BF059B">
        <w:t xml:space="preserve"> </w:t>
      </w:r>
      <w:r>
        <w:t>schools.</w:t>
      </w:r>
      <w:r w:rsidR="00BF059B">
        <w:t xml:space="preserve"> </w:t>
      </w:r>
      <w:r>
        <w:t>We</w:t>
      </w:r>
      <w:r w:rsidR="00BF059B">
        <w:t xml:space="preserve"> </w:t>
      </w:r>
      <w:r>
        <w:t>are</w:t>
      </w:r>
      <w:r w:rsidR="00BF059B">
        <w:t xml:space="preserve"> </w:t>
      </w:r>
      <w:r>
        <w:t>now</w:t>
      </w:r>
      <w:r w:rsidR="00BF059B">
        <w:t xml:space="preserve"> </w:t>
      </w:r>
      <w:r>
        <w:t>exploring</w:t>
      </w:r>
      <w:r w:rsidR="00BF059B">
        <w:t xml:space="preserve"> </w:t>
      </w:r>
      <w:r>
        <w:t>the</w:t>
      </w:r>
      <w:r w:rsidR="00BF059B">
        <w:t xml:space="preserve"> </w:t>
      </w:r>
      <w:r>
        <w:t>legacy</w:t>
      </w:r>
      <w:r w:rsidR="00BF059B">
        <w:t xml:space="preserve"> </w:t>
      </w:r>
      <w:r>
        <w:t>of</w:t>
      </w:r>
      <w:r w:rsidR="00BF059B">
        <w:t xml:space="preserve"> </w:t>
      </w:r>
      <w:r>
        <w:t>this</w:t>
      </w:r>
      <w:r w:rsidR="00BF059B">
        <w:t xml:space="preserve"> </w:t>
      </w:r>
      <w:r>
        <w:t>project,</w:t>
      </w:r>
      <w:r w:rsidR="00BF059B">
        <w:t xml:space="preserve"> </w:t>
      </w:r>
      <w:r>
        <w:t>to</w:t>
      </w:r>
      <w:r w:rsidR="00BF059B">
        <w:t xml:space="preserve"> </w:t>
      </w:r>
      <w:r>
        <w:t>ensure</w:t>
      </w:r>
      <w:r w:rsidR="00BF059B">
        <w:t xml:space="preserve"> </w:t>
      </w:r>
      <w:r>
        <w:t>strong</w:t>
      </w:r>
      <w:r w:rsidR="00BF059B">
        <w:t xml:space="preserve"> </w:t>
      </w:r>
      <w:r>
        <w:t>relationships</w:t>
      </w:r>
      <w:r w:rsidR="00BF059B">
        <w:t xml:space="preserve"> </w:t>
      </w:r>
      <w:r>
        <w:t>built</w:t>
      </w:r>
      <w:r w:rsidR="00BF059B">
        <w:t xml:space="preserve"> </w:t>
      </w:r>
      <w:r>
        <w:t>with</w:t>
      </w:r>
      <w:r w:rsidR="00BF059B">
        <w:t xml:space="preserve"> </w:t>
      </w:r>
      <w:r>
        <w:t>partner</w:t>
      </w:r>
      <w:r w:rsidR="00BF059B">
        <w:t xml:space="preserve"> </w:t>
      </w:r>
      <w:r>
        <w:t>SEND</w:t>
      </w:r>
      <w:r w:rsidR="00BF059B">
        <w:t xml:space="preserve"> </w:t>
      </w:r>
      <w:r>
        <w:t>schools</w:t>
      </w:r>
      <w:r w:rsidR="00BF059B">
        <w:t xml:space="preserve"> </w:t>
      </w:r>
      <w:r>
        <w:t>are</w:t>
      </w:r>
      <w:r w:rsidR="00BF059B">
        <w:t xml:space="preserve"> </w:t>
      </w:r>
      <w:r>
        <w:t>nurtured</w:t>
      </w:r>
      <w:r w:rsidR="00BF059B">
        <w:t xml:space="preserve"> </w:t>
      </w:r>
      <w:r>
        <w:t>over</w:t>
      </w:r>
      <w:r w:rsidR="00BF059B">
        <w:t xml:space="preserve"> </w:t>
      </w:r>
      <w:r>
        <w:t>the</w:t>
      </w:r>
      <w:r w:rsidR="00BF059B">
        <w:t xml:space="preserve"> </w:t>
      </w:r>
      <w:r>
        <w:t>coming</w:t>
      </w:r>
      <w:r w:rsidR="00BF059B">
        <w:t xml:space="preserve"> </w:t>
      </w:r>
      <w:r>
        <w:t>years.</w:t>
      </w:r>
    </w:p>
    <w:p w14:paraId="79FCA44D" w14:textId="77777777" w:rsidR="00BE13A8" w:rsidRDefault="00BE13A8">
      <w:pPr>
        <w:jc w:val="both"/>
      </w:pPr>
    </w:p>
    <w:p w14:paraId="6C3827C3" w14:textId="19BCD754" w:rsidR="00BE13A8" w:rsidRDefault="00D70530">
      <w:pPr>
        <w:jc w:val="both"/>
      </w:pPr>
      <w:r>
        <w:t>A</w:t>
      </w:r>
      <w:r w:rsidR="00BF059B">
        <w:t xml:space="preserve"> </w:t>
      </w:r>
      <w:r>
        <w:t>backdrop</w:t>
      </w:r>
      <w:r w:rsidR="00BF059B">
        <w:t xml:space="preserve"> </w:t>
      </w:r>
      <w:r>
        <w:t>designed</w:t>
      </w:r>
      <w:r w:rsidR="00BF059B">
        <w:t xml:space="preserve"> </w:t>
      </w:r>
      <w:r>
        <w:t>by</w:t>
      </w:r>
      <w:r w:rsidR="00BF059B">
        <w:t xml:space="preserve"> </w:t>
      </w:r>
      <w:r>
        <w:t>students</w:t>
      </w:r>
      <w:r w:rsidR="00BF059B">
        <w:t xml:space="preserve"> </w:t>
      </w:r>
      <w:r>
        <w:t>at</w:t>
      </w:r>
      <w:r w:rsidR="00BF059B">
        <w:t xml:space="preserve"> </w:t>
      </w:r>
      <w:r>
        <w:t>a</w:t>
      </w:r>
      <w:r w:rsidR="00BF059B">
        <w:t xml:space="preserve"> </w:t>
      </w:r>
      <w:r>
        <w:t>secondary</w:t>
      </w:r>
      <w:r w:rsidR="00BF059B">
        <w:t xml:space="preserve"> </w:t>
      </w:r>
      <w:r>
        <w:t>school</w:t>
      </w:r>
      <w:r w:rsidR="00BF059B">
        <w:t xml:space="preserve"> </w:t>
      </w:r>
      <w:r>
        <w:t>in</w:t>
      </w:r>
      <w:r w:rsidR="00BF059B">
        <w:t xml:space="preserve"> </w:t>
      </w:r>
      <w:r>
        <w:t>Benin,</w:t>
      </w:r>
      <w:r w:rsidR="00BF059B">
        <w:t xml:space="preserve"> </w:t>
      </w:r>
      <w:r>
        <w:t>and</w:t>
      </w:r>
      <w:r w:rsidR="00BF059B">
        <w:t xml:space="preserve"> </w:t>
      </w:r>
      <w:r>
        <w:t>developed</w:t>
      </w:r>
      <w:r w:rsidR="00BF059B">
        <w:t xml:space="preserve"> </w:t>
      </w:r>
      <w:r>
        <w:t>in</w:t>
      </w:r>
      <w:r w:rsidR="00BF059B">
        <w:t xml:space="preserve"> </w:t>
      </w:r>
      <w:r>
        <w:t>partnership</w:t>
      </w:r>
      <w:r w:rsidR="00BF059B">
        <w:t xml:space="preserve"> </w:t>
      </w:r>
      <w:r>
        <w:t>with</w:t>
      </w:r>
      <w:r w:rsidR="00BF059B">
        <w:t xml:space="preserve"> </w:t>
      </w:r>
      <w:r>
        <w:t>our</w:t>
      </w:r>
      <w:r w:rsidR="00BF059B">
        <w:t xml:space="preserve"> </w:t>
      </w:r>
      <w:r>
        <w:t>team,</w:t>
      </w:r>
      <w:r w:rsidR="00BF059B">
        <w:t xml:space="preserve"> </w:t>
      </w:r>
      <w:r>
        <w:t>MOWAA’s</w:t>
      </w:r>
      <w:r w:rsidR="00BF059B">
        <w:t xml:space="preserve"> </w:t>
      </w:r>
      <w:r>
        <w:t>Learning</w:t>
      </w:r>
      <w:r w:rsidR="00BF059B">
        <w:t xml:space="preserve"> </w:t>
      </w:r>
      <w:r>
        <w:t>Team</w:t>
      </w:r>
      <w:r w:rsidR="00BF059B">
        <w:t xml:space="preserve"> </w:t>
      </w:r>
      <w:r>
        <w:t>and</w:t>
      </w:r>
      <w:r w:rsidR="00BF059B">
        <w:t xml:space="preserve"> </w:t>
      </w:r>
      <w:r>
        <w:t>Nigerian</w:t>
      </w:r>
      <w:r w:rsidR="00BF059B">
        <w:t xml:space="preserve"> </w:t>
      </w:r>
      <w:r>
        <w:t>artist</w:t>
      </w:r>
      <w:r w:rsidR="00BF059B">
        <w:t xml:space="preserve"> </w:t>
      </w:r>
      <w:r>
        <w:t>12th</w:t>
      </w:r>
      <w:r w:rsidR="00BF059B">
        <w:t xml:space="preserve"> </w:t>
      </w:r>
      <w:r>
        <w:t>the</w:t>
      </w:r>
      <w:r w:rsidR="00BF059B">
        <w:t xml:space="preserve"> </w:t>
      </w:r>
      <w:r>
        <w:t>Creator,</w:t>
      </w:r>
      <w:r w:rsidR="00BF059B">
        <w:t xml:space="preserve"> </w:t>
      </w:r>
      <w:r>
        <w:t>was</w:t>
      </w:r>
      <w:r w:rsidR="00BF059B">
        <w:t xml:space="preserve"> </w:t>
      </w:r>
      <w:r>
        <w:t>created</w:t>
      </w:r>
      <w:r w:rsidR="00BF059B">
        <w:t xml:space="preserve"> </w:t>
      </w:r>
      <w:r>
        <w:t>for</w:t>
      </w:r>
      <w:r w:rsidR="00BF059B">
        <w:t xml:space="preserve"> </w:t>
      </w:r>
      <w:r>
        <w:t>the</w:t>
      </w:r>
      <w:r w:rsidR="00BF059B">
        <w:t xml:space="preserve"> </w:t>
      </w:r>
      <w:r>
        <w:t>redisplayed</w:t>
      </w:r>
      <w:r w:rsidR="00BF059B">
        <w:t xml:space="preserve"> </w:t>
      </w:r>
      <w:r>
        <w:t>Great</w:t>
      </w:r>
      <w:r w:rsidR="00BF059B">
        <w:t xml:space="preserve"> </w:t>
      </w:r>
      <w:r>
        <w:t>Kingdom</w:t>
      </w:r>
      <w:r w:rsidR="00BF059B">
        <w:t xml:space="preserve"> </w:t>
      </w:r>
      <w:r>
        <w:t>of</w:t>
      </w:r>
      <w:r w:rsidR="00BF059B">
        <w:t xml:space="preserve"> </w:t>
      </w:r>
      <w:r>
        <w:t>Benin</w:t>
      </w:r>
      <w:r w:rsidR="00BF059B">
        <w:t xml:space="preserve"> </w:t>
      </w:r>
      <w:r>
        <w:t>case.</w:t>
      </w:r>
      <w:r w:rsidR="00BF059B">
        <w:t xml:space="preserve"> </w:t>
      </w:r>
      <w:r>
        <w:t>We</w:t>
      </w:r>
      <w:r w:rsidR="00BF059B">
        <w:t xml:space="preserve"> </w:t>
      </w:r>
      <w:r>
        <w:t>also</w:t>
      </w:r>
      <w:r w:rsidR="00BF059B">
        <w:t xml:space="preserve"> </w:t>
      </w:r>
      <w:r>
        <w:t>reviewed</w:t>
      </w:r>
      <w:r w:rsidR="00BF059B">
        <w:t xml:space="preserve"> </w:t>
      </w:r>
      <w:r>
        <w:t>the</w:t>
      </w:r>
      <w:r w:rsidR="00BF059B">
        <w:t xml:space="preserve"> </w:t>
      </w:r>
      <w:r>
        <w:t>appropriate</w:t>
      </w:r>
      <w:r w:rsidR="00BF059B">
        <w:t xml:space="preserve"> </w:t>
      </w:r>
      <w:r>
        <w:t>use</w:t>
      </w:r>
      <w:r w:rsidR="00BF059B">
        <w:t xml:space="preserve"> </w:t>
      </w:r>
      <w:r>
        <w:t>of</w:t>
      </w:r>
      <w:r w:rsidR="00BF059B">
        <w:t xml:space="preserve"> </w:t>
      </w:r>
      <w:r>
        <w:t>Egyptian</w:t>
      </w:r>
      <w:r w:rsidR="00BF059B">
        <w:t xml:space="preserve"> </w:t>
      </w:r>
      <w:r>
        <w:t>archaeological</w:t>
      </w:r>
      <w:r w:rsidR="00BF059B">
        <w:t xml:space="preserve"> </w:t>
      </w:r>
      <w:r>
        <w:t>material</w:t>
      </w:r>
      <w:r w:rsidR="00BF059B">
        <w:t xml:space="preserve"> </w:t>
      </w:r>
      <w:r>
        <w:t>in</w:t>
      </w:r>
      <w:r w:rsidR="00BF059B">
        <w:t xml:space="preserve"> </w:t>
      </w:r>
      <w:r>
        <w:t>the</w:t>
      </w:r>
      <w:r w:rsidR="00BF059B">
        <w:t xml:space="preserve"> </w:t>
      </w:r>
      <w:r>
        <w:t>Handling</w:t>
      </w:r>
      <w:r w:rsidR="00BF059B">
        <w:t xml:space="preserve"> </w:t>
      </w:r>
      <w:r>
        <w:t>Collection</w:t>
      </w:r>
      <w:r w:rsidR="00BF059B">
        <w:t xml:space="preserve"> </w:t>
      </w:r>
      <w:r>
        <w:t>and</w:t>
      </w:r>
      <w:r w:rsidR="00BF059B">
        <w:t xml:space="preserve"> </w:t>
      </w:r>
      <w:r>
        <w:t>learning</w:t>
      </w:r>
      <w:r w:rsidR="00BF059B">
        <w:t xml:space="preserve"> </w:t>
      </w:r>
      <w:r>
        <w:t>sessions,</w:t>
      </w:r>
      <w:r w:rsidR="00BF059B">
        <w:t xml:space="preserve"> </w:t>
      </w:r>
      <w:r>
        <w:t>informed</w:t>
      </w:r>
      <w:r w:rsidR="00BF059B">
        <w:t xml:space="preserve"> </w:t>
      </w:r>
      <w:r>
        <w:t>by</w:t>
      </w:r>
      <w:r w:rsidR="00BF059B">
        <w:t xml:space="preserve"> </w:t>
      </w:r>
      <w:r>
        <w:t>work</w:t>
      </w:r>
      <w:r w:rsidR="00BF059B">
        <w:t xml:space="preserve"> </w:t>
      </w:r>
      <w:r>
        <w:t>with</w:t>
      </w:r>
      <w:r w:rsidR="00BF059B">
        <w:t xml:space="preserve"> </w:t>
      </w:r>
      <w:r>
        <w:t>University</w:t>
      </w:r>
      <w:r w:rsidR="00BF059B">
        <w:t xml:space="preserve"> </w:t>
      </w:r>
      <w:r>
        <w:t>College</w:t>
      </w:r>
      <w:r w:rsidR="00BF059B">
        <w:t xml:space="preserve"> </w:t>
      </w:r>
      <w:r>
        <w:t>London</w:t>
      </w:r>
      <w:r w:rsidR="00BF059B">
        <w:t xml:space="preserve"> </w:t>
      </w:r>
      <w:r>
        <w:t>(UCL)</w:t>
      </w:r>
      <w:r w:rsidR="00BF059B">
        <w:t xml:space="preserve"> </w:t>
      </w:r>
      <w:r>
        <w:t>and</w:t>
      </w:r>
      <w:r w:rsidR="00BF059B">
        <w:t xml:space="preserve"> </w:t>
      </w:r>
      <w:r>
        <w:t>the</w:t>
      </w:r>
      <w:r w:rsidR="00BF059B">
        <w:t xml:space="preserve"> </w:t>
      </w:r>
      <w:r>
        <w:t>Egypt’s</w:t>
      </w:r>
      <w:r w:rsidR="00BF059B">
        <w:t xml:space="preserve"> </w:t>
      </w:r>
      <w:r>
        <w:t>Dispersed</w:t>
      </w:r>
      <w:r w:rsidR="00BF059B">
        <w:t xml:space="preserve"> </w:t>
      </w:r>
      <w:r>
        <w:t>Heritage</w:t>
      </w:r>
      <w:r w:rsidR="00BF059B">
        <w:t xml:space="preserve"> </w:t>
      </w:r>
      <w:r>
        <w:t>project.</w:t>
      </w:r>
    </w:p>
    <w:p w14:paraId="415A658A" w14:textId="77777777" w:rsidR="00BE13A8" w:rsidRDefault="00BE13A8">
      <w:pPr>
        <w:jc w:val="both"/>
      </w:pPr>
    </w:p>
    <w:p w14:paraId="43F64928" w14:textId="009B163C" w:rsidR="00BE13A8" w:rsidRDefault="00D70530">
      <w:pPr>
        <w:jc w:val="both"/>
      </w:pPr>
      <w:r>
        <w:t>We</w:t>
      </w:r>
      <w:r w:rsidR="00BF059B">
        <w:t xml:space="preserve"> </w:t>
      </w:r>
      <w:r>
        <w:t>delivered</w:t>
      </w:r>
      <w:r w:rsidR="00BF059B">
        <w:t xml:space="preserve"> </w:t>
      </w:r>
      <w:r>
        <w:t>6</w:t>
      </w:r>
      <w:r w:rsidR="00BF059B">
        <w:t xml:space="preserve"> </w:t>
      </w:r>
      <w:r>
        <w:t>coproduction</w:t>
      </w:r>
      <w:r w:rsidR="00BF059B">
        <w:t xml:space="preserve"> </w:t>
      </w:r>
      <w:r>
        <w:t>projects</w:t>
      </w:r>
      <w:r w:rsidR="00BF059B">
        <w:t xml:space="preserve"> </w:t>
      </w:r>
      <w:r>
        <w:t>for</w:t>
      </w:r>
      <w:r w:rsidR="00BF059B">
        <w:t xml:space="preserve"> </w:t>
      </w:r>
      <w:r>
        <w:t>Nature</w:t>
      </w:r>
      <w:r w:rsidR="00BF059B">
        <w:t xml:space="preserve"> </w:t>
      </w:r>
      <w:r>
        <w:t>+</w:t>
      </w:r>
      <w:r w:rsidR="00BF059B">
        <w:t xml:space="preserve"> </w:t>
      </w:r>
      <w:r>
        <w:t>Love,</w:t>
      </w:r>
      <w:r w:rsidR="00BF059B">
        <w:t xml:space="preserve"> </w:t>
      </w:r>
      <w:r>
        <w:t>Early</w:t>
      </w:r>
      <w:r w:rsidR="00BF059B">
        <w:t xml:space="preserve"> </w:t>
      </w:r>
      <w:r>
        <w:t>Curators,</w:t>
      </w:r>
      <w:r w:rsidR="00BF059B">
        <w:t xml:space="preserve"> </w:t>
      </w:r>
      <w:r>
        <w:t>and</w:t>
      </w:r>
      <w:r w:rsidR="00BF059B">
        <w:t xml:space="preserve"> </w:t>
      </w:r>
      <w:r>
        <w:t>the</w:t>
      </w:r>
      <w:r w:rsidR="00BF059B">
        <w:t xml:space="preserve"> </w:t>
      </w:r>
      <w:r>
        <w:t>Positive</w:t>
      </w:r>
      <w:r w:rsidR="00BF059B">
        <w:t xml:space="preserve"> </w:t>
      </w:r>
      <w:r>
        <w:t>Action</w:t>
      </w:r>
      <w:r w:rsidR="00BF059B">
        <w:t xml:space="preserve"> </w:t>
      </w:r>
      <w:r>
        <w:t>for</w:t>
      </w:r>
      <w:r w:rsidR="00BF059B">
        <w:t xml:space="preserve"> </w:t>
      </w:r>
      <w:r>
        <w:t>Nature,</w:t>
      </w:r>
      <w:r w:rsidR="00BF059B">
        <w:t xml:space="preserve"> </w:t>
      </w:r>
      <w:r>
        <w:t>in</w:t>
      </w:r>
      <w:r w:rsidR="00BF059B">
        <w:t xml:space="preserve"> </w:t>
      </w:r>
      <w:r>
        <w:t>partnership</w:t>
      </w:r>
      <w:r w:rsidR="00BF059B">
        <w:t xml:space="preserve"> </w:t>
      </w:r>
      <w:r>
        <w:t>with</w:t>
      </w:r>
      <w:r w:rsidR="00BF059B">
        <w:t xml:space="preserve"> </w:t>
      </w:r>
      <w:r>
        <w:t>mainstream</w:t>
      </w:r>
      <w:r w:rsidR="00BF059B">
        <w:t xml:space="preserve"> </w:t>
      </w:r>
      <w:r>
        <w:t>and</w:t>
      </w:r>
      <w:r w:rsidR="00BF059B">
        <w:t xml:space="preserve"> </w:t>
      </w:r>
      <w:r>
        <w:t>specialist</w:t>
      </w:r>
      <w:r w:rsidR="00BF059B">
        <w:t xml:space="preserve"> </w:t>
      </w:r>
      <w:r>
        <w:t>learners</w:t>
      </w:r>
      <w:r w:rsidR="00BF059B">
        <w:t xml:space="preserve"> </w:t>
      </w:r>
      <w:r>
        <w:t>and</w:t>
      </w:r>
      <w:r w:rsidR="00BF059B">
        <w:t xml:space="preserve"> </w:t>
      </w:r>
      <w:r>
        <w:t>colleagues</w:t>
      </w:r>
      <w:r w:rsidR="00BF059B">
        <w:t xml:space="preserve"> </w:t>
      </w:r>
      <w:r>
        <w:t>across</w:t>
      </w:r>
      <w:r w:rsidR="00BF059B">
        <w:t xml:space="preserve"> </w:t>
      </w:r>
      <w:r>
        <w:t>the</w:t>
      </w:r>
      <w:r w:rsidR="00BF059B">
        <w:t xml:space="preserve"> </w:t>
      </w:r>
      <w:r>
        <w:t>Museum</w:t>
      </w:r>
      <w:r w:rsidR="00BF059B">
        <w:t xml:space="preserve"> </w:t>
      </w:r>
      <w:r>
        <w:t>and</w:t>
      </w:r>
      <w:r w:rsidR="00BF059B">
        <w:t xml:space="preserve"> </w:t>
      </w:r>
      <w:r>
        <w:t>SCC,</w:t>
      </w:r>
      <w:r w:rsidR="00BF059B">
        <w:t xml:space="preserve"> </w:t>
      </w:r>
      <w:r>
        <w:t>logging</w:t>
      </w:r>
      <w:r w:rsidR="00BF059B">
        <w:t xml:space="preserve"> </w:t>
      </w:r>
      <w:r>
        <w:t>a</w:t>
      </w:r>
      <w:r w:rsidR="00BF059B">
        <w:t xml:space="preserve"> </w:t>
      </w:r>
      <w:r>
        <w:t>total</w:t>
      </w:r>
      <w:r w:rsidR="00BF059B">
        <w:t xml:space="preserve"> </w:t>
      </w:r>
      <w:r>
        <w:t>of</w:t>
      </w:r>
      <w:r w:rsidR="00BF059B">
        <w:t xml:space="preserve"> </w:t>
      </w:r>
      <w:r>
        <w:t>1,268</w:t>
      </w:r>
      <w:r w:rsidR="00BF059B">
        <w:t xml:space="preserve"> </w:t>
      </w:r>
      <w:r>
        <w:t>interactions</w:t>
      </w:r>
      <w:r w:rsidR="00BF059B">
        <w:t xml:space="preserve"> </w:t>
      </w:r>
      <w:r>
        <w:t>across</w:t>
      </w:r>
      <w:r w:rsidR="00BF059B">
        <w:t xml:space="preserve"> </w:t>
      </w:r>
      <w:r>
        <w:t>both</w:t>
      </w:r>
      <w:r w:rsidR="00BF059B">
        <w:t xml:space="preserve"> </w:t>
      </w:r>
      <w:r>
        <w:t>projects.</w:t>
      </w:r>
      <w:r w:rsidR="00BF059B">
        <w:t xml:space="preserve"> </w:t>
      </w:r>
      <w:r>
        <w:t>5</w:t>
      </w:r>
      <w:r w:rsidR="00BF059B">
        <w:t xml:space="preserve"> </w:t>
      </w:r>
      <w:r>
        <w:t>of</w:t>
      </w:r>
      <w:r w:rsidR="00BF059B">
        <w:t xml:space="preserve"> </w:t>
      </w:r>
      <w:r>
        <w:t>these</w:t>
      </w:r>
      <w:r w:rsidR="00BF059B">
        <w:t xml:space="preserve"> </w:t>
      </w:r>
      <w:r>
        <w:t>projects</w:t>
      </w:r>
      <w:r w:rsidR="00BF059B">
        <w:t xml:space="preserve"> </w:t>
      </w:r>
      <w:r>
        <w:t>saw</w:t>
      </w:r>
      <w:r w:rsidR="00BF059B">
        <w:t xml:space="preserve"> </w:t>
      </w:r>
      <w:r>
        <w:t>learners</w:t>
      </w:r>
      <w:r w:rsidR="00BF059B">
        <w:t xml:space="preserve"> </w:t>
      </w:r>
      <w:r>
        <w:t>visit</w:t>
      </w:r>
      <w:r w:rsidR="00BF059B">
        <w:t xml:space="preserve"> </w:t>
      </w:r>
      <w:r>
        <w:t>the</w:t>
      </w:r>
      <w:r w:rsidR="00BF059B">
        <w:t xml:space="preserve"> </w:t>
      </w:r>
      <w:r>
        <w:t>SCC,</w:t>
      </w:r>
      <w:r w:rsidR="00BF059B">
        <w:t xml:space="preserve"> </w:t>
      </w:r>
      <w:r>
        <w:t>with</w:t>
      </w:r>
      <w:r w:rsidR="00BF059B">
        <w:t xml:space="preserve"> </w:t>
      </w:r>
      <w:r>
        <w:t>primary</w:t>
      </w:r>
      <w:r w:rsidR="00BF059B">
        <w:t xml:space="preserve"> </w:t>
      </w:r>
      <w:r>
        <w:t>school,</w:t>
      </w:r>
      <w:r w:rsidR="00BF059B">
        <w:t xml:space="preserve"> </w:t>
      </w:r>
      <w:r>
        <w:t>home</w:t>
      </w:r>
      <w:r w:rsidR="00BF059B">
        <w:t xml:space="preserve"> </w:t>
      </w:r>
      <w:r>
        <w:t>educated,</w:t>
      </w:r>
      <w:r w:rsidR="00BF059B">
        <w:t xml:space="preserve"> </w:t>
      </w:r>
      <w:r>
        <w:t>and</w:t>
      </w:r>
      <w:r w:rsidR="00BF059B">
        <w:t xml:space="preserve"> </w:t>
      </w:r>
      <w:r>
        <w:t>specialist</w:t>
      </w:r>
      <w:r w:rsidR="00BF059B">
        <w:t xml:space="preserve"> </w:t>
      </w:r>
      <w:r>
        <w:t>school</w:t>
      </w:r>
      <w:r w:rsidR="00BF059B">
        <w:t xml:space="preserve"> </w:t>
      </w:r>
      <w:r>
        <w:t>educated</w:t>
      </w:r>
      <w:r w:rsidR="00BF059B">
        <w:t xml:space="preserve"> </w:t>
      </w:r>
      <w:r>
        <w:t>learners</w:t>
      </w:r>
      <w:r w:rsidR="00BF059B">
        <w:t xml:space="preserve"> </w:t>
      </w:r>
      <w:r>
        <w:t>visiting</w:t>
      </w:r>
      <w:r w:rsidR="00BF059B">
        <w:t xml:space="preserve"> </w:t>
      </w:r>
      <w:r>
        <w:t>the</w:t>
      </w:r>
      <w:r w:rsidR="00BF059B">
        <w:t xml:space="preserve"> </w:t>
      </w:r>
      <w:r>
        <w:t>site</w:t>
      </w:r>
      <w:r w:rsidR="00BF059B">
        <w:t xml:space="preserve"> </w:t>
      </w:r>
      <w:r>
        <w:t>for</w:t>
      </w:r>
      <w:r w:rsidR="00BF059B">
        <w:t xml:space="preserve"> </w:t>
      </w:r>
      <w:r>
        <w:t>the</w:t>
      </w:r>
      <w:r w:rsidR="00BF059B">
        <w:t xml:space="preserve"> </w:t>
      </w:r>
      <w:r>
        <w:t>first</w:t>
      </w:r>
      <w:r w:rsidR="00BF059B">
        <w:t xml:space="preserve"> </w:t>
      </w:r>
      <w:r>
        <w:t>time</w:t>
      </w:r>
      <w:r w:rsidR="00BF059B">
        <w:t xml:space="preserve"> </w:t>
      </w:r>
      <w:r>
        <w:t>ever.</w:t>
      </w:r>
      <w:r w:rsidR="00BF059B">
        <w:t xml:space="preserve"> </w:t>
      </w:r>
    </w:p>
    <w:p w14:paraId="5A615E31" w14:textId="77777777" w:rsidR="00BE13A8" w:rsidRDefault="00BE13A8">
      <w:pPr>
        <w:jc w:val="both"/>
      </w:pPr>
    </w:p>
    <w:p w14:paraId="646775C2" w14:textId="3C936F6E" w:rsidR="00BE13A8" w:rsidRDefault="00D70530">
      <w:pPr>
        <w:jc w:val="both"/>
      </w:pPr>
      <w:r>
        <w:t>We</w:t>
      </w:r>
      <w:r w:rsidR="00BF059B">
        <w:t xml:space="preserve"> </w:t>
      </w:r>
      <w:r>
        <w:t>continue</w:t>
      </w:r>
      <w:r w:rsidR="00BF059B">
        <w:t xml:space="preserve"> </w:t>
      </w:r>
      <w:r>
        <w:t>to</w:t>
      </w:r>
      <w:r w:rsidR="00BF059B">
        <w:t xml:space="preserve"> </w:t>
      </w:r>
      <w:r>
        <w:t>share</w:t>
      </w:r>
      <w:r w:rsidR="00BF059B">
        <w:t xml:space="preserve"> </w:t>
      </w:r>
      <w:r>
        <w:t>our</w:t>
      </w:r>
      <w:r w:rsidR="00BF059B">
        <w:t xml:space="preserve"> </w:t>
      </w:r>
      <w:r>
        <w:t>practice</w:t>
      </w:r>
      <w:r w:rsidR="00BF059B">
        <w:t xml:space="preserve"> </w:t>
      </w:r>
      <w:r>
        <w:t>with</w:t>
      </w:r>
      <w:r w:rsidR="00BF059B">
        <w:t xml:space="preserve"> </w:t>
      </w:r>
      <w:r>
        <w:t>the</w:t>
      </w:r>
      <w:r w:rsidR="00BF059B">
        <w:t xml:space="preserve"> </w:t>
      </w:r>
      <w:r>
        <w:t>wider</w:t>
      </w:r>
      <w:r w:rsidR="00BF059B">
        <w:t xml:space="preserve"> </w:t>
      </w:r>
      <w:r>
        <w:t>sector,</w:t>
      </w:r>
      <w:r w:rsidR="00BF059B">
        <w:t xml:space="preserve"> </w:t>
      </w:r>
      <w:r>
        <w:t>presenting</w:t>
      </w:r>
      <w:r w:rsidR="00BF059B">
        <w:t xml:space="preserve"> </w:t>
      </w:r>
      <w:r>
        <w:t>at</w:t>
      </w:r>
      <w:r w:rsidR="00BF059B">
        <w:t xml:space="preserve"> </w:t>
      </w:r>
      <w:r>
        <w:t>the</w:t>
      </w:r>
      <w:r w:rsidR="00BF059B">
        <w:t xml:space="preserve"> </w:t>
      </w:r>
      <w:r>
        <w:t>Group</w:t>
      </w:r>
      <w:r w:rsidR="00BF059B">
        <w:t xml:space="preserve"> </w:t>
      </w:r>
      <w:r>
        <w:t>for</w:t>
      </w:r>
      <w:r w:rsidR="00BF059B">
        <w:t xml:space="preserve"> </w:t>
      </w:r>
      <w:r>
        <w:t>Education</w:t>
      </w:r>
      <w:r w:rsidR="00BF059B">
        <w:t xml:space="preserve"> </w:t>
      </w:r>
      <w:r>
        <w:t>in</w:t>
      </w:r>
      <w:r w:rsidR="00BF059B">
        <w:t xml:space="preserve"> </w:t>
      </w:r>
      <w:r>
        <w:t>Museums</w:t>
      </w:r>
      <w:r w:rsidR="00BF059B">
        <w:t xml:space="preserve"> </w:t>
      </w:r>
      <w:r>
        <w:t>(GEM)</w:t>
      </w:r>
      <w:r w:rsidR="00BF059B">
        <w:t xml:space="preserve"> </w:t>
      </w:r>
      <w:r>
        <w:t>conference</w:t>
      </w:r>
      <w:r w:rsidR="00BF059B">
        <w:t xml:space="preserve"> </w:t>
      </w:r>
      <w:r>
        <w:t>about</w:t>
      </w:r>
      <w:r w:rsidR="00BF059B">
        <w:t xml:space="preserve"> </w:t>
      </w:r>
      <w:r>
        <w:t>the</w:t>
      </w:r>
      <w:r w:rsidR="00BF059B">
        <w:t xml:space="preserve"> </w:t>
      </w:r>
      <w:r>
        <w:t>co-development</w:t>
      </w:r>
      <w:r w:rsidR="00BF059B">
        <w:t xml:space="preserve"> </w:t>
      </w:r>
      <w:r>
        <w:t>of</w:t>
      </w:r>
      <w:r w:rsidR="00BF059B">
        <w:t xml:space="preserve"> </w:t>
      </w:r>
      <w:r>
        <w:t>a</w:t>
      </w:r>
      <w:r w:rsidR="00BF059B">
        <w:t xml:space="preserve"> </w:t>
      </w:r>
      <w:r>
        <w:t>new</w:t>
      </w:r>
      <w:r w:rsidR="00BF059B">
        <w:t xml:space="preserve"> </w:t>
      </w:r>
      <w:r>
        <w:t>learning</w:t>
      </w:r>
      <w:r w:rsidR="00BF059B">
        <w:t xml:space="preserve"> </w:t>
      </w:r>
      <w:r>
        <w:t>session,</w:t>
      </w:r>
      <w:r w:rsidR="00BF059B">
        <w:t xml:space="preserve"> </w:t>
      </w:r>
      <w:r>
        <w:t>African</w:t>
      </w:r>
      <w:r w:rsidR="00BF059B">
        <w:t xml:space="preserve"> </w:t>
      </w:r>
      <w:r>
        <w:t>Kingdoms,</w:t>
      </w:r>
      <w:r w:rsidR="00BF059B">
        <w:t xml:space="preserve"> </w:t>
      </w:r>
      <w:r>
        <w:t>in</w:t>
      </w:r>
      <w:r w:rsidR="00BF059B">
        <w:t xml:space="preserve"> </w:t>
      </w:r>
      <w:r>
        <w:t>partnership</w:t>
      </w:r>
      <w:r w:rsidR="00BF059B">
        <w:t xml:space="preserve"> </w:t>
      </w:r>
      <w:r>
        <w:t>with</w:t>
      </w:r>
      <w:r w:rsidR="00BF059B">
        <w:t xml:space="preserve"> </w:t>
      </w:r>
      <w:r>
        <w:t>Edo</w:t>
      </w:r>
      <w:r w:rsidR="00BF059B">
        <w:t xml:space="preserve"> </w:t>
      </w:r>
      <w:r>
        <w:t>community</w:t>
      </w:r>
      <w:r w:rsidR="00BF059B">
        <w:t xml:space="preserve"> </w:t>
      </w:r>
      <w:r>
        <w:t>members,</w:t>
      </w:r>
      <w:r w:rsidR="00BF059B">
        <w:t xml:space="preserve"> </w:t>
      </w:r>
      <w:r>
        <w:t>and</w:t>
      </w:r>
      <w:r w:rsidR="00BF059B">
        <w:t xml:space="preserve"> </w:t>
      </w:r>
      <w:r>
        <w:t>welcoming</w:t>
      </w:r>
      <w:r w:rsidR="00BF059B">
        <w:t xml:space="preserve"> </w:t>
      </w:r>
      <w:r>
        <w:t>Museum</w:t>
      </w:r>
      <w:r w:rsidR="00BF059B">
        <w:t xml:space="preserve"> </w:t>
      </w:r>
      <w:r>
        <w:t>Learning</w:t>
      </w:r>
      <w:r w:rsidR="00BF059B">
        <w:t xml:space="preserve"> </w:t>
      </w:r>
      <w:r>
        <w:t>teams</w:t>
      </w:r>
      <w:r w:rsidR="00BF059B">
        <w:t xml:space="preserve"> </w:t>
      </w:r>
      <w:r>
        <w:t>from</w:t>
      </w:r>
      <w:r w:rsidR="00BF059B">
        <w:t xml:space="preserve"> </w:t>
      </w:r>
      <w:r>
        <w:t>across</w:t>
      </w:r>
      <w:r w:rsidR="00BF059B">
        <w:t xml:space="preserve"> </w:t>
      </w:r>
      <w:r>
        <w:t>the</w:t>
      </w:r>
      <w:r w:rsidR="00BF059B">
        <w:t xml:space="preserve"> </w:t>
      </w:r>
      <w:r>
        <w:t>country.</w:t>
      </w:r>
      <w:r w:rsidR="00BF059B">
        <w:t xml:space="preserve"> </w:t>
      </w:r>
      <w:r>
        <w:t>We</w:t>
      </w:r>
      <w:r w:rsidR="00BF059B">
        <w:t xml:space="preserve"> </w:t>
      </w:r>
      <w:r>
        <w:t>hosted</w:t>
      </w:r>
      <w:r w:rsidR="00BF059B">
        <w:t xml:space="preserve"> </w:t>
      </w:r>
      <w:r>
        <w:t>4</w:t>
      </w:r>
      <w:r w:rsidR="00BF059B">
        <w:t xml:space="preserve"> </w:t>
      </w:r>
      <w:r>
        <w:t>student</w:t>
      </w:r>
      <w:r w:rsidR="00BF059B">
        <w:t xml:space="preserve"> </w:t>
      </w:r>
      <w:r>
        <w:t>placements</w:t>
      </w:r>
      <w:r w:rsidR="00BF059B">
        <w:t xml:space="preserve"> </w:t>
      </w:r>
      <w:r>
        <w:t>(including</w:t>
      </w:r>
      <w:r w:rsidR="00BF059B">
        <w:t xml:space="preserve"> </w:t>
      </w:r>
      <w:r>
        <w:t>a</w:t>
      </w:r>
      <w:r w:rsidR="00BF059B">
        <w:t xml:space="preserve"> </w:t>
      </w:r>
      <w:r>
        <w:t>'Diversity</w:t>
      </w:r>
      <w:r w:rsidR="00BF059B">
        <w:t xml:space="preserve"> </w:t>
      </w:r>
      <w:r>
        <w:t>of</w:t>
      </w:r>
      <w:r w:rsidR="00BF059B">
        <w:t xml:space="preserve"> </w:t>
      </w:r>
      <w:r>
        <w:t>Thought'</w:t>
      </w:r>
      <w:r w:rsidR="00BF059B">
        <w:t xml:space="preserve"> </w:t>
      </w:r>
      <w:r>
        <w:t>placement</w:t>
      </w:r>
      <w:r w:rsidR="00BF059B">
        <w:t xml:space="preserve"> </w:t>
      </w:r>
      <w:r>
        <w:t>student</w:t>
      </w:r>
      <w:r w:rsidR="00BF059B">
        <w:t xml:space="preserve"> </w:t>
      </w:r>
      <w:r>
        <w:t>in</w:t>
      </w:r>
      <w:r w:rsidR="00BF059B">
        <w:t xml:space="preserve"> </w:t>
      </w:r>
      <w:r>
        <w:t>partnership</w:t>
      </w:r>
      <w:r w:rsidR="00BF059B">
        <w:t xml:space="preserve"> </w:t>
      </w:r>
      <w:r>
        <w:t>with</w:t>
      </w:r>
      <w:r w:rsidR="00BF059B">
        <w:t xml:space="preserve"> </w:t>
      </w:r>
      <w:r>
        <w:t>UEL),</w:t>
      </w:r>
      <w:r w:rsidR="00BF059B">
        <w:t xml:space="preserve"> </w:t>
      </w:r>
      <w:r>
        <w:t>and</w:t>
      </w:r>
      <w:r w:rsidR="00BF059B">
        <w:t xml:space="preserve"> </w:t>
      </w:r>
      <w:r>
        <w:t>8</w:t>
      </w:r>
      <w:r w:rsidR="00BF059B">
        <w:t xml:space="preserve"> </w:t>
      </w:r>
      <w:r>
        <w:t>work</w:t>
      </w:r>
      <w:r w:rsidR="00BF059B">
        <w:t xml:space="preserve"> </w:t>
      </w:r>
      <w:r>
        <w:t>experience</w:t>
      </w:r>
      <w:r w:rsidR="00BF059B">
        <w:t xml:space="preserve"> </w:t>
      </w:r>
      <w:r>
        <w:t>students</w:t>
      </w:r>
      <w:r w:rsidR="00BF059B">
        <w:t xml:space="preserve"> </w:t>
      </w:r>
      <w:r>
        <w:t>across</w:t>
      </w:r>
      <w:r w:rsidR="00BF059B">
        <w:t xml:space="preserve"> </w:t>
      </w:r>
      <w:r>
        <w:t>the</w:t>
      </w:r>
      <w:r w:rsidR="00BF059B">
        <w:t xml:space="preserve"> </w:t>
      </w:r>
      <w:r>
        <w:t>year.</w:t>
      </w:r>
    </w:p>
    <w:p w14:paraId="701D8C42" w14:textId="77777777" w:rsidR="00BE13A8" w:rsidRDefault="00BE13A8">
      <w:pPr>
        <w:jc w:val="both"/>
      </w:pPr>
    </w:p>
    <w:p w14:paraId="389AB8B0" w14:textId="199719A1" w:rsidR="00BE13A8" w:rsidRDefault="00D70530" w:rsidP="008D4835">
      <w:pPr>
        <w:pStyle w:val="Heading5"/>
      </w:pPr>
      <w:r>
        <w:t>1.4.2</w:t>
      </w:r>
      <w:r>
        <w:tab/>
        <w:t>Community,</w:t>
      </w:r>
      <w:r w:rsidR="00BF059B">
        <w:t xml:space="preserve"> </w:t>
      </w:r>
      <w:r>
        <w:t>youth</w:t>
      </w:r>
      <w:r w:rsidR="00BF059B">
        <w:t xml:space="preserve"> </w:t>
      </w:r>
      <w:r>
        <w:t>and</w:t>
      </w:r>
      <w:r w:rsidR="00BF059B">
        <w:t xml:space="preserve"> </w:t>
      </w:r>
      <w:r>
        <w:t>family</w:t>
      </w:r>
      <w:r w:rsidR="00BF059B">
        <w:t xml:space="preserve"> </w:t>
      </w:r>
      <w:r>
        <w:t>engagement</w:t>
      </w:r>
      <w:r w:rsidR="00BF059B">
        <w:t xml:space="preserve"> </w:t>
      </w:r>
    </w:p>
    <w:p w14:paraId="22AC0364" w14:textId="10110EC8" w:rsidR="00BE13A8" w:rsidRDefault="00D70530">
      <w:pPr>
        <w:jc w:val="both"/>
      </w:pPr>
      <w:r>
        <w:t>Nature</w:t>
      </w:r>
      <w:r w:rsidR="00BF059B">
        <w:t xml:space="preserve"> </w:t>
      </w:r>
      <w:r>
        <w:t>+</w:t>
      </w:r>
      <w:r w:rsidR="00BF059B">
        <w:t xml:space="preserve"> </w:t>
      </w:r>
      <w:r>
        <w:t>Love</w:t>
      </w:r>
      <w:r w:rsidR="00BF059B">
        <w:t xml:space="preserve"> </w:t>
      </w:r>
      <w:r>
        <w:t>Activity</w:t>
      </w:r>
      <w:r w:rsidR="00BF059B">
        <w:t xml:space="preserve"> </w:t>
      </w:r>
      <w:r>
        <w:t>Plan</w:t>
      </w:r>
      <w:r w:rsidR="00BF059B">
        <w:t xml:space="preserve"> </w:t>
      </w:r>
      <w:r>
        <w:t>work</w:t>
      </w:r>
      <w:r w:rsidR="00BF059B">
        <w:t xml:space="preserve"> </w:t>
      </w:r>
      <w:r>
        <w:t>was</w:t>
      </w:r>
      <w:r w:rsidR="00BF059B">
        <w:t xml:space="preserve"> </w:t>
      </w:r>
      <w:r>
        <w:t>a</w:t>
      </w:r>
      <w:r w:rsidR="00BF059B">
        <w:t xml:space="preserve"> </w:t>
      </w:r>
      <w:r>
        <w:t>major</w:t>
      </w:r>
      <w:r w:rsidR="00BF059B">
        <w:t xml:space="preserve"> </w:t>
      </w:r>
      <w:r>
        <w:t>focus</w:t>
      </w:r>
      <w:r w:rsidR="00BF059B">
        <w:t xml:space="preserve"> </w:t>
      </w:r>
      <w:r>
        <w:t>for</w:t>
      </w:r>
      <w:r w:rsidR="00BF059B">
        <w:t xml:space="preserve"> </w:t>
      </w:r>
      <w:r>
        <w:t>the</w:t>
      </w:r>
      <w:r w:rsidR="00BF059B">
        <w:t xml:space="preserve"> </w:t>
      </w:r>
      <w:r>
        <w:t>team</w:t>
      </w:r>
      <w:r w:rsidR="00BF059B">
        <w:t xml:space="preserve"> </w:t>
      </w:r>
      <w:r>
        <w:t>this</w:t>
      </w:r>
      <w:r w:rsidR="00BF059B">
        <w:t xml:space="preserve"> </w:t>
      </w:r>
      <w:r>
        <w:t>year.</w:t>
      </w:r>
      <w:r w:rsidR="00BF059B">
        <w:t xml:space="preserve"> </w:t>
      </w:r>
      <w:r>
        <w:t>We</w:t>
      </w:r>
      <w:r w:rsidR="00BF059B">
        <w:t xml:space="preserve"> </w:t>
      </w:r>
      <w:r>
        <w:t>completed</w:t>
      </w:r>
      <w:r w:rsidR="00BF059B">
        <w:t xml:space="preserve"> </w:t>
      </w:r>
      <w:r>
        <w:t>a</w:t>
      </w:r>
      <w:r w:rsidR="00BF059B">
        <w:t xml:space="preserve"> </w:t>
      </w:r>
      <w:r>
        <w:t>project</w:t>
      </w:r>
      <w:r w:rsidR="00BF059B">
        <w:t xml:space="preserve"> </w:t>
      </w:r>
      <w:r>
        <w:t>to</w:t>
      </w:r>
      <w:r w:rsidR="00BF059B">
        <w:t xml:space="preserve"> </w:t>
      </w:r>
      <w:r>
        <w:t>co-produce</w:t>
      </w:r>
      <w:r w:rsidR="00BF059B">
        <w:t xml:space="preserve"> </w:t>
      </w:r>
      <w:r>
        <w:t>wellbeing</w:t>
      </w:r>
      <w:r w:rsidR="00BF059B">
        <w:t xml:space="preserve"> </w:t>
      </w:r>
      <w:r>
        <w:t>labels</w:t>
      </w:r>
      <w:r w:rsidR="00BF059B">
        <w:t xml:space="preserve"> </w:t>
      </w:r>
      <w:r>
        <w:t>for</w:t>
      </w:r>
      <w:r w:rsidR="00BF059B">
        <w:t xml:space="preserve"> </w:t>
      </w:r>
      <w:r>
        <w:t>the</w:t>
      </w:r>
      <w:r w:rsidR="00BF059B">
        <w:t xml:space="preserve"> </w:t>
      </w:r>
      <w:r>
        <w:t>Sustainable</w:t>
      </w:r>
      <w:r w:rsidR="00BF059B">
        <w:t xml:space="preserve"> </w:t>
      </w:r>
      <w:r>
        <w:t>Gardening</w:t>
      </w:r>
      <w:r w:rsidR="00BF059B">
        <w:t xml:space="preserve"> </w:t>
      </w:r>
      <w:r>
        <w:t>Zone,</w:t>
      </w:r>
      <w:r w:rsidR="00BF059B">
        <w:t xml:space="preserve"> </w:t>
      </w:r>
      <w:r>
        <w:t>written</w:t>
      </w:r>
      <w:r w:rsidR="00BF059B">
        <w:t xml:space="preserve"> </w:t>
      </w:r>
      <w:r>
        <w:t>with</w:t>
      </w:r>
      <w:r w:rsidR="00BF059B">
        <w:t xml:space="preserve"> </w:t>
      </w:r>
      <w:r>
        <w:t>a</w:t>
      </w:r>
      <w:r w:rsidR="00BF059B">
        <w:t xml:space="preserve"> </w:t>
      </w:r>
      <w:r>
        <w:t>group</w:t>
      </w:r>
      <w:r w:rsidR="00BF059B">
        <w:t xml:space="preserve"> </w:t>
      </w:r>
      <w:r>
        <w:t>of</w:t>
      </w:r>
      <w:r w:rsidR="00BF059B">
        <w:t xml:space="preserve"> </w:t>
      </w:r>
      <w:r>
        <w:t>adults</w:t>
      </w:r>
      <w:r w:rsidR="00BF059B">
        <w:t xml:space="preserve"> </w:t>
      </w:r>
      <w:r>
        <w:t>who</w:t>
      </w:r>
      <w:r w:rsidR="00BF059B">
        <w:t xml:space="preserve"> </w:t>
      </w:r>
      <w:r>
        <w:t>joined</w:t>
      </w:r>
      <w:r w:rsidR="00BF059B">
        <w:t xml:space="preserve"> </w:t>
      </w:r>
      <w:r>
        <w:t>a</w:t>
      </w:r>
      <w:r w:rsidR="00BF059B">
        <w:t xml:space="preserve"> </w:t>
      </w:r>
      <w:r>
        <w:t>social</w:t>
      </w:r>
      <w:r w:rsidR="00BF059B">
        <w:t xml:space="preserve"> </w:t>
      </w:r>
      <w:r>
        <w:t>prescription</w:t>
      </w:r>
      <w:r w:rsidR="00BF059B">
        <w:t xml:space="preserve"> </w:t>
      </w:r>
      <w:r>
        <w:t>project</w:t>
      </w:r>
      <w:r w:rsidR="00BF059B">
        <w:t xml:space="preserve"> </w:t>
      </w:r>
      <w:r>
        <w:t>to</w:t>
      </w:r>
      <w:r w:rsidR="00BF059B">
        <w:t xml:space="preserve"> </w:t>
      </w:r>
      <w:r>
        <w:t>combat</w:t>
      </w:r>
      <w:r w:rsidR="00BF059B">
        <w:t xml:space="preserve"> </w:t>
      </w:r>
      <w:r>
        <w:t>social</w:t>
      </w:r>
      <w:r w:rsidR="00BF059B">
        <w:t xml:space="preserve"> </w:t>
      </w:r>
      <w:r>
        <w:t>isolation</w:t>
      </w:r>
      <w:r w:rsidR="00BF059B">
        <w:t xml:space="preserve"> </w:t>
      </w:r>
      <w:r>
        <w:t>and</w:t>
      </w:r>
      <w:r w:rsidR="00BF059B">
        <w:t xml:space="preserve"> </w:t>
      </w:r>
      <w:r>
        <w:t>mental</w:t>
      </w:r>
      <w:r w:rsidR="00BF059B">
        <w:t xml:space="preserve"> </w:t>
      </w:r>
      <w:r>
        <w:t>health</w:t>
      </w:r>
      <w:r w:rsidR="00BF059B">
        <w:t xml:space="preserve"> </w:t>
      </w:r>
      <w:r>
        <w:t>issues.</w:t>
      </w:r>
      <w:r w:rsidR="00BF059B">
        <w:t xml:space="preserve"> </w:t>
      </w:r>
      <w:r>
        <w:t>We</w:t>
      </w:r>
      <w:r w:rsidR="00BF059B">
        <w:t xml:space="preserve"> </w:t>
      </w:r>
      <w:r>
        <w:t>developed</w:t>
      </w:r>
      <w:r w:rsidR="00BF059B">
        <w:t xml:space="preserve"> </w:t>
      </w:r>
      <w:r>
        <w:t>the</w:t>
      </w:r>
      <w:r w:rsidR="00BF059B">
        <w:t xml:space="preserve"> </w:t>
      </w:r>
      <w:r>
        <w:t>gallery</w:t>
      </w:r>
      <w:r w:rsidR="00BF059B">
        <w:t xml:space="preserve"> </w:t>
      </w:r>
      <w:r>
        <w:t>text</w:t>
      </w:r>
      <w:r w:rsidR="00BF059B">
        <w:t xml:space="preserve"> </w:t>
      </w:r>
      <w:r>
        <w:t>for</w:t>
      </w:r>
      <w:r w:rsidR="00BF059B">
        <w:t xml:space="preserve"> </w:t>
      </w:r>
      <w:r>
        <w:t>the</w:t>
      </w:r>
      <w:r w:rsidR="00BF059B">
        <w:t xml:space="preserve"> </w:t>
      </w:r>
      <w:r>
        <w:t>Action</w:t>
      </w:r>
      <w:r w:rsidR="00BF059B">
        <w:t xml:space="preserve"> </w:t>
      </w:r>
      <w:r>
        <w:t>Zone,</w:t>
      </w:r>
      <w:r w:rsidR="00BF059B">
        <w:t xml:space="preserve"> </w:t>
      </w:r>
      <w:r>
        <w:t>based</w:t>
      </w:r>
      <w:r w:rsidR="00BF059B">
        <w:t xml:space="preserve"> </w:t>
      </w:r>
      <w:r>
        <w:t>on</w:t>
      </w:r>
      <w:r w:rsidR="00BF059B">
        <w:t xml:space="preserve"> </w:t>
      </w:r>
      <w:r>
        <w:t>the</w:t>
      </w:r>
      <w:r w:rsidR="00BF059B">
        <w:t xml:space="preserve"> </w:t>
      </w:r>
      <w:r>
        <w:t>feedback</w:t>
      </w:r>
      <w:r w:rsidR="00BF059B">
        <w:t xml:space="preserve"> </w:t>
      </w:r>
      <w:r>
        <w:t>from</w:t>
      </w:r>
      <w:r w:rsidR="00BF059B">
        <w:t xml:space="preserve"> </w:t>
      </w:r>
      <w:r>
        <w:t>our</w:t>
      </w:r>
      <w:r w:rsidR="00BF059B">
        <w:t xml:space="preserve"> </w:t>
      </w:r>
      <w:r>
        <w:t>under-5s</w:t>
      </w:r>
      <w:r w:rsidR="00BF059B">
        <w:t xml:space="preserve"> </w:t>
      </w:r>
      <w:r>
        <w:t>coproducers,</w:t>
      </w:r>
      <w:r w:rsidR="00BF059B">
        <w:t xml:space="preserve"> </w:t>
      </w:r>
      <w:r>
        <w:t>and</w:t>
      </w:r>
      <w:r w:rsidR="00BF059B">
        <w:t xml:space="preserve"> </w:t>
      </w:r>
      <w:r>
        <w:t>tested</w:t>
      </w:r>
      <w:r w:rsidR="00BF059B">
        <w:t xml:space="preserve"> </w:t>
      </w:r>
      <w:r>
        <w:t>it</w:t>
      </w:r>
      <w:r w:rsidR="00BF059B">
        <w:t xml:space="preserve"> </w:t>
      </w:r>
      <w:r>
        <w:t>for</w:t>
      </w:r>
      <w:r w:rsidR="00BF059B">
        <w:t xml:space="preserve"> </w:t>
      </w:r>
      <w:r>
        <w:t>understanding</w:t>
      </w:r>
      <w:r w:rsidR="00BF059B">
        <w:t xml:space="preserve"> </w:t>
      </w:r>
      <w:r>
        <w:t>and</w:t>
      </w:r>
      <w:r w:rsidR="00BF059B">
        <w:t xml:space="preserve"> </w:t>
      </w:r>
      <w:r>
        <w:t>relevance</w:t>
      </w:r>
      <w:r w:rsidR="00BF059B">
        <w:t xml:space="preserve"> </w:t>
      </w:r>
      <w:r>
        <w:t>with</w:t>
      </w:r>
      <w:r w:rsidR="00BF059B">
        <w:t xml:space="preserve"> </w:t>
      </w:r>
      <w:r>
        <w:t>families</w:t>
      </w:r>
      <w:r w:rsidR="00BF059B">
        <w:t xml:space="preserve"> </w:t>
      </w:r>
      <w:r>
        <w:t>from</w:t>
      </w:r>
      <w:r w:rsidR="00BF059B">
        <w:t xml:space="preserve"> </w:t>
      </w:r>
      <w:r>
        <w:t>groups</w:t>
      </w:r>
      <w:r w:rsidR="00BF059B">
        <w:t xml:space="preserve"> </w:t>
      </w:r>
      <w:r>
        <w:t>who</w:t>
      </w:r>
      <w:r w:rsidR="00BF059B">
        <w:t xml:space="preserve"> </w:t>
      </w:r>
      <w:r>
        <w:t>co-curated</w:t>
      </w:r>
      <w:r w:rsidR="00BF059B">
        <w:t xml:space="preserve"> </w:t>
      </w:r>
      <w:r>
        <w:t>the</w:t>
      </w:r>
      <w:r w:rsidR="00BF059B">
        <w:t xml:space="preserve"> </w:t>
      </w:r>
      <w:r>
        <w:t>space.</w:t>
      </w:r>
      <w:r w:rsidR="00BF059B">
        <w:t xml:space="preserve"> </w:t>
      </w:r>
      <w:r>
        <w:t>Twelve</w:t>
      </w:r>
      <w:r w:rsidR="00BF059B">
        <w:t xml:space="preserve"> </w:t>
      </w:r>
      <w:r>
        <w:t>community</w:t>
      </w:r>
      <w:r w:rsidR="00BF059B">
        <w:t xml:space="preserve"> </w:t>
      </w:r>
      <w:r>
        <w:t>partners</w:t>
      </w:r>
      <w:r w:rsidR="00BF059B">
        <w:t xml:space="preserve"> </w:t>
      </w:r>
      <w:r>
        <w:t>have</w:t>
      </w:r>
      <w:r w:rsidR="00BF059B">
        <w:t xml:space="preserve"> </w:t>
      </w:r>
      <w:r>
        <w:t>written</w:t>
      </w:r>
      <w:r w:rsidR="00BF059B">
        <w:t xml:space="preserve"> </w:t>
      </w:r>
      <w:r>
        <w:t>labels</w:t>
      </w:r>
      <w:r w:rsidR="00BF059B">
        <w:t xml:space="preserve"> </w:t>
      </w:r>
      <w:r>
        <w:t>about</w:t>
      </w:r>
      <w:r w:rsidR="00BF059B">
        <w:t xml:space="preserve"> </w:t>
      </w:r>
      <w:r>
        <w:t>animals</w:t>
      </w:r>
      <w:r w:rsidR="00BF059B">
        <w:t xml:space="preserve"> </w:t>
      </w:r>
      <w:r>
        <w:t>they</w:t>
      </w:r>
      <w:r w:rsidR="00BF059B">
        <w:t xml:space="preserve"> </w:t>
      </w:r>
      <w:r>
        <w:t>love</w:t>
      </w:r>
      <w:r w:rsidR="00BF059B">
        <w:t xml:space="preserve"> </w:t>
      </w:r>
      <w:r>
        <w:t>for</w:t>
      </w:r>
      <w:r w:rsidR="00BF059B">
        <w:t xml:space="preserve"> </w:t>
      </w:r>
      <w:r>
        <w:t>the</w:t>
      </w:r>
      <w:r w:rsidR="00BF059B">
        <w:t xml:space="preserve"> </w:t>
      </w:r>
      <w:r>
        <w:t>Favourite</w:t>
      </w:r>
      <w:r w:rsidR="00BF059B">
        <w:t xml:space="preserve"> </w:t>
      </w:r>
      <w:r>
        <w:t>Nature</w:t>
      </w:r>
      <w:r w:rsidR="00BF059B">
        <w:t xml:space="preserve"> </w:t>
      </w:r>
      <w:r>
        <w:t>case</w:t>
      </w:r>
      <w:r w:rsidR="00BF059B">
        <w:t xml:space="preserve"> </w:t>
      </w:r>
      <w:r>
        <w:t>at</w:t>
      </w:r>
      <w:r w:rsidR="00BF059B">
        <w:t xml:space="preserve"> </w:t>
      </w:r>
      <w:r>
        <w:t>the</w:t>
      </w:r>
      <w:r w:rsidR="00BF059B">
        <w:t xml:space="preserve"> </w:t>
      </w:r>
      <w:r>
        <w:t>entrance</w:t>
      </w:r>
      <w:r w:rsidR="00BF059B">
        <w:t xml:space="preserve"> </w:t>
      </w:r>
      <w:r>
        <w:t>to</w:t>
      </w:r>
      <w:r w:rsidR="00BF059B">
        <w:t xml:space="preserve"> </w:t>
      </w:r>
      <w:r>
        <w:t>the</w:t>
      </w:r>
      <w:r w:rsidR="00BF059B">
        <w:t xml:space="preserve"> </w:t>
      </w:r>
      <w:r>
        <w:t>Natural</w:t>
      </w:r>
      <w:r w:rsidR="00BF059B">
        <w:t xml:space="preserve"> </w:t>
      </w:r>
      <w:r>
        <w:t>History</w:t>
      </w:r>
      <w:r w:rsidR="00BF059B">
        <w:t xml:space="preserve"> </w:t>
      </w:r>
      <w:r>
        <w:t>Gallery.</w:t>
      </w:r>
      <w:r w:rsidR="00BF059B">
        <w:t xml:space="preserve"> </w:t>
      </w:r>
      <w:r>
        <w:lastRenderedPageBreak/>
        <w:t>Many</w:t>
      </w:r>
      <w:r w:rsidR="00BF059B">
        <w:t xml:space="preserve"> </w:t>
      </w:r>
      <w:r>
        <w:t>of</w:t>
      </w:r>
      <w:r w:rsidR="00BF059B">
        <w:t xml:space="preserve"> </w:t>
      </w:r>
      <w:r>
        <w:t>our</w:t>
      </w:r>
      <w:r w:rsidR="00BF059B">
        <w:t xml:space="preserve"> </w:t>
      </w:r>
      <w:r>
        <w:t>groups</w:t>
      </w:r>
      <w:r w:rsidR="00BF059B">
        <w:t xml:space="preserve"> </w:t>
      </w:r>
      <w:r>
        <w:t>have</w:t>
      </w:r>
      <w:r w:rsidR="00BF059B">
        <w:t xml:space="preserve"> </w:t>
      </w:r>
      <w:r>
        <w:t>been</w:t>
      </w:r>
      <w:r w:rsidR="00BF059B">
        <w:t xml:space="preserve"> </w:t>
      </w:r>
      <w:r>
        <w:t>involved</w:t>
      </w:r>
      <w:r w:rsidR="00BF059B">
        <w:t xml:space="preserve"> </w:t>
      </w:r>
      <w:r>
        <w:t>in</w:t>
      </w:r>
      <w:r w:rsidR="00BF059B">
        <w:t xml:space="preserve"> </w:t>
      </w:r>
      <w:r>
        <w:t>consultation</w:t>
      </w:r>
      <w:r w:rsidR="00BF059B">
        <w:t xml:space="preserve"> </w:t>
      </w:r>
      <w:r>
        <w:t>and</w:t>
      </w:r>
      <w:r w:rsidR="00BF059B">
        <w:t xml:space="preserve"> </w:t>
      </w:r>
      <w:r>
        <w:t>testing</w:t>
      </w:r>
      <w:r w:rsidR="00BF059B">
        <w:t xml:space="preserve"> </w:t>
      </w:r>
      <w:r>
        <w:t>for</w:t>
      </w:r>
      <w:r w:rsidR="00BF059B">
        <w:t xml:space="preserve"> </w:t>
      </w:r>
      <w:r>
        <w:t>the</w:t>
      </w:r>
      <w:r w:rsidR="00BF059B">
        <w:t xml:space="preserve"> </w:t>
      </w:r>
      <w:r>
        <w:t>new</w:t>
      </w:r>
      <w:r w:rsidR="00BF059B">
        <w:t xml:space="preserve"> </w:t>
      </w:r>
      <w:r>
        <w:t>gallery,</w:t>
      </w:r>
      <w:r w:rsidR="00BF059B">
        <w:t xml:space="preserve"> </w:t>
      </w:r>
      <w:r>
        <w:t>including</w:t>
      </w:r>
      <w:r w:rsidR="00BF059B">
        <w:t xml:space="preserve"> </w:t>
      </w:r>
      <w:r>
        <w:t>early</w:t>
      </w:r>
      <w:r w:rsidR="00BF059B">
        <w:t xml:space="preserve"> </w:t>
      </w:r>
      <w:r>
        <w:t>ideas</w:t>
      </w:r>
      <w:r w:rsidR="00BF059B">
        <w:t xml:space="preserve"> </w:t>
      </w:r>
      <w:r>
        <w:t>for</w:t>
      </w:r>
      <w:r w:rsidR="00BF059B">
        <w:t xml:space="preserve"> </w:t>
      </w:r>
      <w:r>
        <w:t>interactives,</w:t>
      </w:r>
      <w:r w:rsidR="00BF059B">
        <w:t xml:space="preserve"> </w:t>
      </w:r>
      <w:r>
        <w:t>a</w:t>
      </w:r>
      <w:r w:rsidR="00BF059B">
        <w:t xml:space="preserve"> </w:t>
      </w:r>
      <w:r>
        <w:t>new</w:t>
      </w:r>
      <w:r w:rsidR="00BF059B">
        <w:t xml:space="preserve"> </w:t>
      </w:r>
      <w:r>
        <w:t>AR</w:t>
      </w:r>
      <w:r w:rsidR="00BF059B">
        <w:t xml:space="preserve"> </w:t>
      </w:r>
      <w:r>
        <w:t>trail</w:t>
      </w:r>
      <w:r w:rsidR="00BF059B">
        <w:t xml:space="preserve"> </w:t>
      </w:r>
      <w:r>
        <w:t>in</w:t>
      </w:r>
      <w:r w:rsidR="00BF059B">
        <w:t xml:space="preserve"> </w:t>
      </w:r>
      <w:r>
        <w:t>the</w:t>
      </w:r>
      <w:r w:rsidR="00BF059B">
        <w:t xml:space="preserve"> </w:t>
      </w:r>
      <w:r>
        <w:t>gardens.</w:t>
      </w:r>
    </w:p>
    <w:p w14:paraId="3C0AE9CC" w14:textId="77777777" w:rsidR="00BE13A8" w:rsidRDefault="00BE13A8">
      <w:pPr>
        <w:jc w:val="both"/>
      </w:pPr>
    </w:p>
    <w:p w14:paraId="09B8021E" w14:textId="7B0744AA" w:rsidR="00BE13A8" w:rsidRDefault="00D70530">
      <w:pPr>
        <w:jc w:val="both"/>
      </w:pPr>
      <w:r>
        <w:t>Nature</w:t>
      </w:r>
      <w:r w:rsidR="00BF059B">
        <w:t xml:space="preserve"> </w:t>
      </w:r>
      <w:r>
        <w:t>+</w:t>
      </w:r>
      <w:r w:rsidR="00BF059B">
        <w:t xml:space="preserve"> </w:t>
      </w:r>
      <w:r>
        <w:t>Love</w:t>
      </w:r>
      <w:r w:rsidR="00BF059B">
        <w:t xml:space="preserve"> </w:t>
      </w:r>
      <w:r>
        <w:t>outreach,</w:t>
      </w:r>
      <w:r w:rsidR="00BF059B">
        <w:t xml:space="preserve"> </w:t>
      </w:r>
      <w:r>
        <w:t>through</w:t>
      </w:r>
      <w:r w:rsidR="00BF059B">
        <w:t xml:space="preserve"> </w:t>
      </w:r>
      <w:r>
        <w:t>our</w:t>
      </w:r>
      <w:r w:rsidR="00BF059B">
        <w:t xml:space="preserve"> </w:t>
      </w:r>
      <w:r>
        <w:t>Environmental</w:t>
      </w:r>
      <w:r w:rsidR="00BF059B">
        <w:t xml:space="preserve"> </w:t>
      </w:r>
      <w:r>
        <w:t>Champions</w:t>
      </w:r>
      <w:r w:rsidR="00BF059B">
        <w:t xml:space="preserve"> </w:t>
      </w:r>
      <w:r>
        <w:t>Community,</w:t>
      </w:r>
      <w:r w:rsidR="00BF059B">
        <w:t xml:space="preserve"> </w:t>
      </w:r>
      <w:r>
        <w:t>focused</w:t>
      </w:r>
      <w:r w:rsidR="00BF059B">
        <w:t xml:space="preserve"> </w:t>
      </w:r>
      <w:r>
        <w:t>on</w:t>
      </w:r>
      <w:r w:rsidR="00BF059B">
        <w:t xml:space="preserve"> </w:t>
      </w:r>
      <w:r>
        <w:t>young</w:t>
      </w:r>
      <w:r w:rsidR="00BF059B">
        <w:t xml:space="preserve"> </w:t>
      </w:r>
      <w:r>
        <w:t>people,</w:t>
      </w:r>
      <w:r w:rsidR="00BF059B">
        <w:t xml:space="preserve"> </w:t>
      </w:r>
      <w:r>
        <w:t>including</w:t>
      </w:r>
      <w:r w:rsidR="00BF059B">
        <w:t xml:space="preserve"> </w:t>
      </w:r>
      <w:r>
        <w:t>partnering</w:t>
      </w:r>
      <w:r w:rsidR="00BF059B">
        <w:t xml:space="preserve"> </w:t>
      </w:r>
      <w:r>
        <w:t>with</w:t>
      </w:r>
      <w:r w:rsidR="00BF059B">
        <w:t xml:space="preserve"> </w:t>
      </w:r>
      <w:r>
        <w:t>Barnardo’s</w:t>
      </w:r>
      <w:r w:rsidR="00BF059B">
        <w:t xml:space="preserve"> </w:t>
      </w:r>
      <w:r>
        <w:t>to</w:t>
      </w:r>
      <w:r w:rsidR="00BF059B">
        <w:t xml:space="preserve"> </w:t>
      </w:r>
      <w:r>
        <w:t>pilot</w:t>
      </w:r>
      <w:r w:rsidR="00BF059B">
        <w:t xml:space="preserve"> </w:t>
      </w:r>
      <w:r>
        <w:t>a</w:t>
      </w:r>
      <w:r w:rsidR="00BF059B">
        <w:t xml:space="preserve"> </w:t>
      </w:r>
      <w:r>
        <w:t>mindfulness</w:t>
      </w:r>
      <w:r w:rsidR="00BF059B">
        <w:t xml:space="preserve"> </w:t>
      </w:r>
      <w:r>
        <w:t>and</w:t>
      </w:r>
      <w:r w:rsidR="00BF059B">
        <w:t xml:space="preserve"> </w:t>
      </w:r>
      <w:r>
        <w:t>photography</w:t>
      </w:r>
      <w:r w:rsidR="00BF059B">
        <w:t xml:space="preserve"> </w:t>
      </w:r>
      <w:r>
        <w:t>project</w:t>
      </w:r>
      <w:r w:rsidR="00BF059B">
        <w:t xml:space="preserve"> </w:t>
      </w:r>
      <w:r>
        <w:t>in</w:t>
      </w:r>
      <w:r w:rsidR="00BF059B">
        <w:t xml:space="preserve"> </w:t>
      </w:r>
      <w:r>
        <w:t>the</w:t>
      </w:r>
      <w:r w:rsidR="00BF059B">
        <w:t xml:space="preserve"> </w:t>
      </w:r>
      <w:r>
        <w:t>Horniman</w:t>
      </w:r>
      <w:r w:rsidR="00BF059B">
        <w:t xml:space="preserve"> </w:t>
      </w:r>
      <w:r>
        <w:t>Gardens.</w:t>
      </w:r>
      <w:r w:rsidR="00BF059B">
        <w:t xml:space="preserve"> </w:t>
      </w:r>
      <w:r>
        <w:t>We</w:t>
      </w:r>
      <w:r w:rsidR="00BF059B">
        <w:t xml:space="preserve"> </w:t>
      </w:r>
      <w:r>
        <w:t>partnered</w:t>
      </w:r>
      <w:r w:rsidR="00BF059B">
        <w:t xml:space="preserve"> </w:t>
      </w:r>
      <w:r>
        <w:t>with</w:t>
      </w:r>
      <w:r w:rsidR="00BF059B">
        <w:t xml:space="preserve"> </w:t>
      </w:r>
      <w:r>
        <w:t>Goldfinch</w:t>
      </w:r>
      <w:r w:rsidR="00BF059B">
        <w:t xml:space="preserve"> </w:t>
      </w:r>
      <w:r>
        <w:t>Furniture</w:t>
      </w:r>
      <w:r w:rsidR="00BF059B">
        <w:t xml:space="preserve"> </w:t>
      </w:r>
      <w:r>
        <w:t>to</w:t>
      </w:r>
      <w:r w:rsidR="00BF059B">
        <w:t xml:space="preserve"> </w:t>
      </w:r>
      <w:r>
        <w:t>create</w:t>
      </w:r>
      <w:r w:rsidR="00BF059B">
        <w:t xml:space="preserve"> </w:t>
      </w:r>
      <w:r>
        <w:t>16</w:t>
      </w:r>
      <w:r w:rsidR="00BF059B">
        <w:t xml:space="preserve"> </w:t>
      </w:r>
      <w:r>
        <w:t>beautiful</w:t>
      </w:r>
      <w:r w:rsidR="00BF059B">
        <w:t xml:space="preserve"> </w:t>
      </w:r>
      <w:r>
        <w:t>birdboxes</w:t>
      </w:r>
      <w:r w:rsidR="00BF059B">
        <w:t xml:space="preserve"> </w:t>
      </w:r>
      <w:r>
        <w:t>with</w:t>
      </w:r>
      <w:r w:rsidR="00BF059B">
        <w:t xml:space="preserve"> </w:t>
      </w:r>
      <w:r>
        <w:t>young</w:t>
      </w:r>
      <w:r w:rsidR="00BF059B">
        <w:t xml:space="preserve"> </w:t>
      </w:r>
      <w:r>
        <w:t>people</w:t>
      </w:r>
      <w:r w:rsidR="00BF059B">
        <w:t xml:space="preserve"> </w:t>
      </w:r>
      <w:r>
        <w:t>at</w:t>
      </w:r>
      <w:r w:rsidR="00BF059B">
        <w:t xml:space="preserve"> </w:t>
      </w:r>
      <w:r>
        <w:t>Deptford</w:t>
      </w:r>
      <w:r w:rsidR="00BF059B">
        <w:t xml:space="preserve"> </w:t>
      </w:r>
      <w:r>
        <w:t>Adventure</w:t>
      </w:r>
      <w:r w:rsidR="00BF059B">
        <w:t xml:space="preserve"> </w:t>
      </w:r>
      <w:r>
        <w:t>Playground</w:t>
      </w:r>
      <w:r w:rsidR="00BF059B">
        <w:t xml:space="preserve"> </w:t>
      </w:r>
      <w:r>
        <w:t>for</w:t>
      </w:r>
      <w:r w:rsidR="00BF059B">
        <w:t xml:space="preserve"> </w:t>
      </w:r>
      <w:r>
        <w:t>black</w:t>
      </w:r>
      <w:r w:rsidR="00BF059B">
        <w:t xml:space="preserve"> </w:t>
      </w:r>
      <w:r>
        <w:t>redstarts,</w:t>
      </w:r>
      <w:r w:rsidR="00BF059B">
        <w:t xml:space="preserve"> </w:t>
      </w:r>
      <w:r>
        <w:t>song</w:t>
      </w:r>
      <w:r w:rsidR="00BF059B">
        <w:t xml:space="preserve"> </w:t>
      </w:r>
      <w:r>
        <w:t>thrushes</w:t>
      </w:r>
      <w:r w:rsidR="00BF059B">
        <w:t xml:space="preserve"> </w:t>
      </w:r>
      <w:r>
        <w:t>and</w:t>
      </w:r>
      <w:r w:rsidR="00BF059B">
        <w:t xml:space="preserve"> </w:t>
      </w:r>
      <w:r>
        <w:t>house</w:t>
      </w:r>
      <w:r w:rsidR="00BF059B">
        <w:t xml:space="preserve"> </w:t>
      </w:r>
      <w:r>
        <w:t>sparrows.</w:t>
      </w:r>
      <w:r w:rsidR="00BF059B">
        <w:t xml:space="preserve"> </w:t>
      </w:r>
      <w:r>
        <w:t>This</w:t>
      </w:r>
      <w:r w:rsidR="00BF059B">
        <w:t xml:space="preserve"> </w:t>
      </w:r>
      <w:r>
        <w:t>is</w:t>
      </w:r>
      <w:r w:rsidR="00BF059B">
        <w:t xml:space="preserve"> </w:t>
      </w:r>
      <w:r>
        <w:t>to</w:t>
      </w:r>
      <w:r w:rsidR="00BF059B">
        <w:t xml:space="preserve"> </w:t>
      </w:r>
      <w:r>
        <w:t>be</w:t>
      </w:r>
      <w:r w:rsidR="00BF059B">
        <w:t xml:space="preserve"> </w:t>
      </w:r>
      <w:r>
        <w:t>installed</w:t>
      </w:r>
      <w:r w:rsidR="00BF059B">
        <w:t xml:space="preserve"> </w:t>
      </w:r>
      <w:r>
        <w:t>at</w:t>
      </w:r>
      <w:r w:rsidR="00BF059B">
        <w:t xml:space="preserve"> </w:t>
      </w:r>
      <w:r>
        <w:t>adventure</w:t>
      </w:r>
      <w:r w:rsidR="00BF059B">
        <w:t xml:space="preserve"> </w:t>
      </w:r>
      <w:r>
        <w:t>playgrounds</w:t>
      </w:r>
      <w:r w:rsidR="00BF059B">
        <w:t xml:space="preserve"> </w:t>
      </w:r>
      <w:r>
        <w:t>across</w:t>
      </w:r>
      <w:r w:rsidR="00BF059B">
        <w:t xml:space="preserve"> </w:t>
      </w:r>
      <w:r>
        <w:t>Lewisham,</w:t>
      </w:r>
      <w:r w:rsidR="00BF059B">
        <w:t xml:space="preserve"> </w:t>
      </w:r>
      <w:r>
        <w:t>and</w:t>
      </w:r>
      <w:r w:rsidR="00BF059B">
        <w:t xml:space="preserve"> </w:t>
      </w:r>
      <w:r>
        <w:t>start</w:t>
      </w:r>
      <w:r w:rsidR="00BF059B">
        <w:t xml:space="preserve"> </w:t>
      </w:r>
      <w:r>
        <w:t>an</w:t>
      </w:r>
      <w:r w:rsidR="00BF059B">
        <w:t xml:space="preserve"> </w:t>
      </w:r>
      <w:r>
        <w:t>exciting</w:t>
      </w:r>
      <w:r w:rsidR="00BF059B">
        <w:t xml:space="preserve"> </w:t>
      </w:r>
      <w:r>
        <w:t>project</w:t>
      </w:r>
      <w:r w:rsidR="00BF059B">
        <w:t xml:space="preserve"> </w:t>
      </w:r>
      <w:r>
        <w:t>with</w:t>
      </w:r>
      <w:r w:rsidR="00BF059B">
        <w:t xml:space="preserve"> </w:t>
      </w:r>
      <w:r>
        <w:t>local</w:t>
      </w:r>
      <w:r w:rsidR="00BF059B">
        <w:t xml:space="preserve"> </w:t>
      </w:r>
      <w:r>
        <w:t>youth</w:t>
      </w:r>
      <w:r w:rsidR="00BF059B">
        <w:t xml:space="preserve"> </w:t>
      </w:r>
      <w:r>
        <w:t>centre:</w:t>
      </w:r>
      <w:r w:rsidR="00BF059B">
        <w:t xml:space="preserve"> </w:t>
      </w:r>
      <w:r>
        <w:t>Young</w:t>
      </w:r>
      <w:r w:rsidR="00BF059B">
        <w:t xml:space="preserve"> </w:t>
      </w:r>
      <w:r>
        <w:t>Lewisham</w:t>
      </w:r>
      <w:r w:rsidR="00BF059B">
        <w:t xml:space="preserve"> </w:t>
      </w:r>
      <w:r>
        <w:t>Project,</w:t>
      </w:r>
      <w:r w:rsidR="00BF059B">
        <w:t xml:space="preserve"> </w:t>
      </w:r>
      <w:r>
        <w:t>to</w:t>
      </w:r>
      <w:r w:rsidR="00BF059B">
        <w:t xml:space="preserve"> </w:t>
      </w:r>
      <w:r>
        <w:t>transform</w:t>
      </w:r>
      <w:r w:rsidR="00BF059B">
        <w:t xml:space="preserve"> </w:t>
      </w:r>
      <w:r>
        <w:t>their</w:t>
      </w:r>
      <w:r w:rsidR="00BF059B">
        <w:t xml:space="preserve"> </w:t>
      </w:r>
      <w:r>
        <w:t>garden</w:t>
      </w:r>
      <w:r w:rsidR="00BF059B">
        <w:t xml:space="preserve"> </w:t>
      </w:r>
      <w:r>
        <w:t>space</w:t>
      </w:r>
      <w:r w:rsidR="00BF059B">
        <w:t xml:space="preserve"> </w:t>
      </w:r>
      <w:r>
        <w:t>into</w:t>
      </w:r>
      <w:r w:rsidR="00BF059B">
        <w:t xml:space="preserve"> </w:t>
      </w:r>
      <w:r>
        <w:t>an</w:t>
      </w:r>
      <w:r w:rsidR="00BF059B">
        <w:t xml:space="preserve"> </w:t>
      </w:r>
      <w:r>
        <w:t>edible</w:t>
      </w:r>
      <w:r w:rsidR="00BF059B">
        <w:t xml:space="preserve"> </w:t>
      </w:r>
      <w:r>
        <w:t>haven,</w:t>
      </w:r>
      <w:r w:rsidR="00BF059B">
        <w:t xml:space="preserve"> </w:t>
      </w:r>
      <w:r>
        <w:t>using</w:t>
      </w:r>
      <w:r w:rsidR="00BF059B">
        <w:t xml:space="preserve"> </w:t>
      </w:r>
      <w:r>
        <w:t>approaches</w:t>
      </w:r>
      <w:r w:rsidR="00BF059B">
        <w:t xml:space="preserve"> </w:t>
      </w:r>
      <w:r>
        <w:t>that</w:t>
      </w:r>
      <w:r w:rsidR="00BF059B">
        <w:t xml:space="preserve"> </w:t>
      </w:r>
      <w:r>
        <w:t>regenerate</w:t>
      </w:r>
      <w:r w:rsidR="00BF059B">
        <w:t xml:space="preserve"> </w:t>
      </w:r>
      <w:r>
        <w:t>soil</w:t>
      </w:r>
      <w:r w:rsidR="00BF059B">
        <w:t xml:space="preserve"> </w:t>
      </w:r>
      <w:r>
        <w:t>health</w:t>
      </w:r>
      <w:r w:rsidR="00BF059B">
        <w:t xml:space="preserve"> </w:t>
      </w:r>
      <w:r>
        <w:t>and</w:t>
      </w:r>
      <w:r w:rsidR="00BF059B">
        <w:t xml:space="preserve"> </w:t>
      </w:r>
      <w:r>
        <w:t>benefit</w:t>
      </w:r>
      <w:r w:rsidR="00BF059B">
        <w:t xml:space="preserve"> </w:t>
      </w:r>
      <w:r>
        <w:t>biodiversity.</w:t>
      </w:r>
    </w:p>
    <w:p w14:paraId="7335E58E" w14:textId="77777777" w:rsidR="00BE13A8" w:rsidRDefault="00BE13A8">
      <w:pPr>
        <w:jc w:val="both"/>
      </w:pPr>
    </w:p>
    <w:p w14:paraId="75B45C50" w14:textId="3B805698" w:rsidR="00BE13A8" w:rsidRDefault="00D70530">
      <w:pPr>
        <w:jc w:val="both"/>
        <w:rPr>
          <w:color w:val="000000"/>
        </w:rPr>
      </w:pPr>
      <w:r>
        <w:rPr>
          <w:color w:val="000000"/>
        </w:rPr>
        <w:t>We</w:t>
      </w:r>
      <w:r w:rsidR="00BF059B">
        <w:rPr>
          <w:color w:val="000000"/>
        </w:rPr>
        <w:t xml:space="preserve"> </w:t>
      </w:r>
      <w:r>
        <w:rPr>
          <w:color w:val="000000"/>
        </w:rPr>
        <w:t>recruited</w:t>
      </w:r>
      <w:r w:rsidR="00BF059B">
        <w:rPr>
          <w:color w:val="000000"/>
        </w:rPr>
        <w:t xml:space="preserve"> </w:t>
      </w:r>
      <w:r>
        <w:rPr>
          <w:color w:val="000000"/>
        </w:rPr>
        <w:t>our</w:t>
      </w:r>
      <w:r w:rsidR="00BF059B">
        <w:rPr>
          <w:color w:val="000000"/>
        </w:rPr>
        <w:t xml:space="preserve"> </w:t>
      </w:r>
      <w:r>
        <w:rPr>
          <w:color w:val="000000"/>
        </w:rPr>
        <w:t>second</w:t>
      </w:r>
      <w:r w:rsidR="00BF059B">
        <w:rPr>
          <w:color w:val="000000"/>
        </w:rPr>
        <w:t xml:space="preserve"> </w:t>
      </w:r>
      <w:r>
        <w:rPr>
          <w:color w:val="000000"/>
        </w:rPr>
        <w:t>cohort</w:t>
      </w:r>
      <w:r w:rsidR="00BF059B">
        <w:rPr>
          <w:color w:val="000000"/>
        </w:rPr>
        <w:t xml:space="preserve"> </w:t>
      </w:r>
      <w:r>
        <w:rPr>
          <w:color w:val="000000"/>
        </w:rPr>
        <w:t>of</w:t>
      </w:r>
      <w:r w:rsidR="00BF059B">
        <w:rPr>
          <w:color w:val="000000"/>
        </w:rPr>
        <w:t xml:space="preserve"> </w:t>
      </w:r>
      <w:r>
        <w:rPr>
          <w:color w:val="000000"/>
        </w:rPr>
        <w:t>Musicians</w:t>
      </w:r>
      <w:r w:rsidR="00BF059B">
        <w:rPr>
          <w:color w:val="000000"/>
        </w:rPr>
        <w:t xml:space="preserve"> </w:t>
      </w:r>
      <w:r>
        <w:rPr>
          <w:color w:val="000000"/>
        </w:rPr>
        <w:t>in</w:t>
      </w:r>
      <w:r w:rsidR="00BF059B">
        <w:rPr>
          <w:color w:val="000000"/>
        </w:rPr>
        <w:t xml:space="preserve"> </w:t>
      </w:r>
      <w:r>
        <w:rPr>
          <w:color w:val="000000"/>
        </w:rPr>
        <w:t>Residence,</w:t>
      </w:r>
      <w:r w:rsidR="00BF059B">
        <w:rPr>
          <w:color w:val="000000"/>
        </w:rPr>
        <w:t xml:space="preserve"> </w:t>
      </w:r>
      <w:r>
        <w:rPr>
          <w:color w:val="000000"/>
        </w:rPr>
        <w:t>who</w:t>
      </w:r>
      <w:r w:rsidR="00BF059B">
        <w:rPr>
          <w:color w:val="000000"/>
        </w:rPr>
        <w:t xml:space="preserve"> </w:t>
      </w:r>
      <w:r>
        <w:rPr>
          <w:color w:val="000000"/>
        </w:rPr>
        <w:t>created</w:t>
      </w:r>
      <w:r w:rsidR="00BF059B">
        <w:rPr>
          <w:color w:val="000000"/>
        </w:rPr>
        <w:t xml:space="preserve"> </w:t>
      </w:r>
      <w:r>
        <w:rPr>
          <w:color w:val="000000"/>
        </w:rPr>
        <w:t>and</w:t>
      </w:r>
      <w:r w:rsidR="00BF059B">
        <w:rPr>
          <w:color w:val="000000"/>
        </w:rPr>
        <w:t xml:space="preserve"> </w:t>
      </w:r>
      <w:r>
        <w:rPr>
          <w:color w:val="000000"/>
        </w:rPr>
        <w:t>performed</w:t>
      </w:r>
      <w:r w:rsidR="00BF059B">
        <w:rPr>
          <w:color w:val="000000"/>
        </w:rPr>
        <w:t xml:space="preserve"> </w:t>
      </w:r>
      <w:r>
        <w:rPr>
          <w:color w:val="000000"/>
        </w:rPr>
        <w:t>new</w:t>
      </w:r>
      <w:r w:rsidR="00BF059B">
        <w:rPr>
          <w:color w:val="000000"/>
        </w:rPr>
        <w:t xml:space="preserve"> </w:t>
      </w:r>
      <w:r>
        <w:rPr>
          <w:color w:val="000000"/>
        </w:rPr>
        <w:t>music</w:t>
      </w:r>
      <w:r w:rsidR="00BF059B">
        <w:rPr>
          <w:color w:val="000000"/>
        </w:rPr>
        <w:t xml:space="preserve"> </w:t>
      </w:r>
      <w:r>
        <w:rPr>
          <w:color w:val="000000"/>
        </w:rPr>
        <w:t>in</w:t>
      </w:r>
      <w:r w:rsidR="00BF059B">
        <w:rPr>
          <w:color w:val="000000"/>
        </w:rPr>
        <w:t xml:space="preserve"> </w:t>
      </w:r>
      <w:r>
        <w:rPr>
          <w:color w:val="000000"/>
        </w:rPr>
        <w:t>response</w:t>
      </w:r>
      <w:r w:rsidR="00BF059B">
        <w:rPr>
          <w:color w:val="000000"/>
        </w:rPr>
        <w:t xml:space="preserve"> </w:t>
      </w:r>
      <w:r>
        <w:rPr>
          <w:color w:val="000000"/>
        </w:rPr>
        <w:t>to</w:t>
      </w:r>
      <w:r w:rsidR="00BF059B">
        <w:rPr>
          <w:color w:val="000000"/>
        </w:rPr>
        <w:t xml:space="preserve"> </w:t>
      </w:r>
      <w:r>
        <w:rPr>
          <w:color w:val="000000"/>
        </w:rPr>
        <w:t>our</w:t>
      </w:r>
      <w:r w:rsidR="00BF059B">
        <w:rPr>
          <w:color w:val="000000"/>
        </w:rPr>
        <w:t xml:space="preserve"> </w:t>
      </w:r>
      <w:r>
        <w:rPr>
          <w:color w:val="000000"/>
        </w:rPr>
        <w:t>collections:</w:t>
      </w:r>
      <w:r w:rsidR="00BF059B">
        <w:rPr>
          <w:color w:val="000000"/>
        </w:rPr>
        <w:t xml:space="preserve"> </w:t>
      </w:r>
      <w:r>
        <w:rPr>
          <w:color w:val="000000"/>
        </w:rPr>
        <w:t>Gabriel</w:t>
      </w:r>
      <w:r w:rsidR="00BF059B">
        <w:rPr>
          <w:color w:val="000000"/>
        </w:rPr>
        <w:t xml:space="preserve"> </w:t>
      </w:r>
      <w:r>
        <w:rPr>
          <w:color w:val="000000"/>
        </w:rPr>
        <w:t>Makamanzi,</w:t>
      </w:r>
      <w:r w:rsidR="00BF059B">
        <w:rPr>
          <w:color w:val="000000"/>
        </w:rPr>
        <w:t xml:space="preserve"> </w:t>
      </w:r>
      <w:r>
        <w:rPr>
          <w:color w:val="000000"/>
        </w:rPr>
        <w:t>a</w:t>
      </w:r>
      <w:r w:rsidR="00BF059B">
        <w:rPr>
          <w:color w:val="000000"/>
        </w:rPr>
        <w:t xml:space="preserve"> </w:t>
      </w:r>
      <w:r>
        <w:rPr>
          <w:color w:val="000000"/>
        </w:rPr>
        <w:t>Zimbabwean</w:t>
      </w:r>
      <w:r w:rsidR="00BF059B">
        <w:rPr>
          <w:color w:val="000000"/>
        </w:rPr>
        <w:t xml:space="preserve"> </w:t>
      </w:r>
      <w:r>
        <w:rPr>
          <w:color w:val="000000"/>
        </w:rPr>
        <w:t>mbira</w:t>
      </w:r>
      <w:r w:rsidR="00BF059B">
        <w:rPr>
          <w:color w:val="000000"/>
        </w:rPr>
        <w:t xml:space="preserve"> </w:t>
      </w:r>
      <w:r>
        <w:rPr>
          <w:color w:val="000000"/>
        </w:rPr>
        <w:t>player,</w:t>
      </w:r>
      <w:r w:rsidR="00BF059B">
        <w:rPr>
          <w:color w:val="000000"/>
        </w:rPr>
        <w:t xml:space="preserve"> </w:t>
      </w:r>
      <w:r>
        <w:rPr>
          <w:color w:val="000000"/>
        </w:rPr>
        <w:t>Anti.net,</w:t>
      </w:r>
      <w:r w:rsidR="00BF059B">
        <w:rPr>
          <w:color w:val="000000"/>
        </w:rPr>
        <w:t xml:space="preserve"> </w:t>
      </w:r>
      <w:r>
        <w:rPr>
          <w:color w:val="000000"/>
        </w:rPr>
        <w:t>a</w:t>
      </w:r>
      <w:r w:rsidR="00BF059B">
        <w:rPr>
          <w:color w:val="000000"/>
        </w:rPr>
        <w:t xml:space="preserve"> </w:t>
      </w:r>
      <w:r>
        <w:rPr>
          <w:color w:val="000000"/>
        </w:rPr>
        <w:t>young</w:t>
      </w:r>
      <w:r w:rsidR="00BF059B">
        <w:rPr>
          <w:color w:val="000000"/>
        </w:rPr>
        <w:t xml:space="preserve"> </w:t>
      </w:r>
      <w:r>
        <w:rPr>
          <w:color w:val="000000"/>
        </w:rPr>
        <w:t>punk-rap</w:t>
      </w:r>
      <w:r w:rsidR="00BF059B">
        <w:rPr>
          <w:color w:val="000000"/>
        </w:rPr>
        <w:t xml:space="preserve"> </w:t>
      </w:r>
      <w:r>
        <w:rPr>
          <w:color w:val="000000"/>
        </w:rPr>
        <w:t>and</w:t>
      </w:r>
      <w:r w:rsidR="00BF059B">
        <w:rPr>
          <w:color w:val="000000"/>
        </w:rPr>
        <w:t xml:space="preserve"> </w:t>
      </w:r>
      <w:r>
        <w:rPr>
          <w:color w:val="000000"/>
        </w:rPr>
        <w:t>DIY</w:t>
      </w:r>
      <w:r w:rsidR="00BF059B">
        <w:rPr>
          <w:color w:val="000000"/>
        </w:rPr>
        <w:t xml:space="preserve"> </w:t>
      </w:r>
      <w:r>
        <w:rPr>
          <w:color w:val="000000"/>
        </w:rPr>
        <w:t>art</w:t>
      </w:r>
      <w:r w:rsidR="00BF059B">
        <w:rPr>
          <w:color w:val="000000"/>
        </w:rPr>
        <w:t xml:space="preserve"> </w:t>
      </w:r>
      <w:r>
        <w:rPr>
          <w:color w:val="000000"/>
        </w:rPr>
        <w:t>collective,</w:t>
      </w:r>
      <w:r w:rsidR="00BF059B">
        <w:rPr>
          <w:color w:val="000000"/>
        </w:rPr>
        <w:t xml:space="preserve"> </w:t>
      </w:r>
      <w:r>
        <w:rPr>
          <w:color w:val="000000"/>
        </w:rPr>
        <w:t>and</w:t>
      </w:r>
      <w:r w:rsidR="00BF059B">
        <w:rPr>
          <w:color w:val="000000"/>
        </w:rPr>
        <w:t xml:space="preserve"> </w:t>
      </w:r>
      <w:r>
        <w:rPr>
          <w:color w:val="000000"/>
        </w:rPr>
        <w:t>Daniel</w:t>
      </w:r>
      <w:r w:rsidR="00BF059B">
        <w:rPr>
          <w:color w:val="000000"/>
        </w:rPr>
        <w:t xml:space="preserve"> </w:t>
      </w:r>
      <w:r>
        <w:rPr>
          <w:color w:val="000000"/>
        </w:rPr>
        <w:t>Tsz-Shing</w:t>
      </w:r>
      <w:r w:rsidR="00BF059B">
        <w:rPr>
          <w:color w:val="000000"/>
        </w:rPr>
        <w:t xml:space="preserve"> </w:t>
      </w:r>
      <w:r>
        <w:rPr>
          <w:color w:val="000000"/>
        </w:rPr>
        <w:t>Lei,</w:t>
      </w:r>
      <w:r w:rsidR="00BF059B">
        <w:rPr>
          <w:color w:val="000000"/>
        </w:rPr>
        <w:t xml:space="preserve"> </w:t>
      </w:r>
      <w:r>
        <w:rPr>
          <w:color w:val="000000"/>
        </w:rPr>
        <w:t>a</w:t>
      </w:r>
      <w:r w:rsidR="00BF059B">
        <w:rPr>
          <w:color w:val="000000"/>
        </w:rPr>
        <w:t xml:space="preserve"> </w:t>
      </w:r>
      <w:r>
        <w:rPr>
          <w:color w:val="000000"/>
        </w:rPr>
        <w:t>Chinese</w:t>
      </w:r>
      <w:r w:rsidR="00BF059B">
        <w:rPr>
          <w:color w:val="000000"/>
        </w:rPr>
        <w:t xml:space="preserve"> </w:t>
      </w:r>
      <w:r>
        <w:rPr>
          <w:color w:val="000000"/>
        </w:rPr>
        <w:t>dizi</w:t>
      </w:r>
      <w:r w:rsidR="00BF059B">
        <w:rPr>
          <w:color w:val="000000"/>
        </w:rPr>
        <w:t xml:space="preserve"> </w:t>
      </w:r>
      <w:r>
        <w:rPr>
          <w:color w:val="000000"/>
        </w:rPr>
        <w:t>flautist.</w:t>
      </w:r>
    </w:p>
    <w:p w14:paraId="23466047" w14:textId="77777777" w:rsidR="00BE13A8" w:rsidRDefault="00BE13A8">
      <w:pPr>
        <w:jc w:val="both"/>
        <w:rPr>
          <w:color w:val="000000"/>
        </w:rPr>
      </w:pPr>
    </w:p>
    <w:p w14:paraId="5DE836F8" w14:textId="2C312762" w:rsidR="00BE13A8" w:rsidRDefault="00D70530">
      <w:pPr>
        <w:jc w:val="both"/>
      </w:pPr>
      <w:r>
        <w:t>Our</w:t>
      </w:r>
      <w:r w:rsidR="00BF059B">
        <w:t xml:space="preserve"> </w:t>
      </w:r>
      <w:r>
        <w:t>Welcome</w:t>
      </w:r>
      <w:r w:rsidR="00BF059B">
        <w:t xml:space="preserve"> </w:t>
      </w:r>
      <w:r>
        <w:t>to</w:t>
      </w:r>
      <w:r w:rsidR="00BF059B">
        <w:t xml:space="preserve"> </w:t>
      </w:r>
      <w:r>
        <w:t>the</w:t>
      </w:r>
      <w:r w:rsidR="00BF059B">
        <w:t xml:space="preserve"> </w:t>
      </w:r>
      <w:r>
        <w:t>Horniman</w:t>
      </w:r>
      <w:r w:rsidR="00BF059B">
        <w:t xml:space="preserve"> </w:t>
      </w:r>
      <w:r>
        <w:t>sessions</w:t>
      </w:r>
      <w:r w:rsidR="00BF059B">
        <w:t xml:space="preserve"> </w:t>
      </w:r>
      <w:r>
        <w:t>enabled</w:t>
      </w:r>
      <w:r w:rsidR="00BF059B">
        <w:t xml:space="preserve"> </w:t>
      </w:r>
      <w:r>
        <w:t>us</w:t>
      </w:r>
      <w:r w:rsidR="00BF059B">
        <w:t xml:space="preserve"> </w:t>
      </w:r>
      <w:r>
        <w:t>to</w:t>
      </w:r>
      <w:r w:rsidR="00BF059B">
        <w:t xml:space="preserve"> </w:t>
      </w:r>
      <w:r>
        <w:t>train</w:t>
      </w:r>
      <w:r w:rsidR="00BF059B">
        <w:t xml:space="preserve"> </w:t>
      </w:r>
      <w:r>
        <w:t>7</w:t>
      </w:r>
      <w:r w:rsidR="00BF059B">
        <w:t xml:space="preserve"> </w:t>
      </w:r>
      <w:r>
        <w:t>new</w:t>
      </w:r>
      <w:r w:rsidR="00BF059B">
        <w:t xml:space="preserve"> </w:t>
      </w:r>
      <w:r>
        <w:t>community</w:t>
      </w:r>
      <w:r w:rsidR="00BF059B">
        <w:t xml:space="preserve"> </w:t>
      </w:r>
      <w:r>
        <w:t>partners</w:t>
      </w:r>
      <w:r w:rsidR="00BF059B">
        <w:t xml:space="preserve"> </w:t>
      </w:r>
      <w:r>
        <w:t>from</w:t>
      </w:r>
      <w:r w:rsidR="00BF059B">
        <w:t xml:space="preserve"> </w:t>
      </w:r>
      <w:r>
        <w:t>Refugee</w:t>
      </w:r>
      <w:r w:rsidR="00BF059B">
        <w:t xml:space="preserve"> </w:t>
      </w:r>
      <w:r>
        <w:t>Council,</w:t>
      </w:r>
      <w:r w:rsidR="00BF059B">
        <w:t xml:space="preserve"> </w:t>
      </w:r>
      <w:r>
        <w:t>Croydon</w:t>
      </w:r>
      <w:r w:rsidR="00BF059B">
        <w:t xml:space="preserve"> </w:t>
      </w:r>
      <w:r>
        <w:t>Refugee</w:t>
      </w:r>
      <w:r w:rsidR="00BF059B">
        <w:t xml:space="preserve"> </w:t>
      </w:r>
      <w:r>
        <w:t>Day</w:t>
      </w:r>
      <w:r w:rsidR="00BF059B">
        <w:t xml:space="preserve"> </w:t>
      </w:r>
      <w:r>
        <w:t>Centre,</w:t>
      </w:r>
      <w:r w:rsidR="00BF059B">
        <w:t xml:space="preserve"> </w:t>
      </w:r>
      <w:r>
        <w:t>Refuge,</w:t>
      </w:r>
      <w:r w:rsidR="00BF059B">
        <w:t xml:space="preserve"> </w:t>
      </w:r>
      <w:r>
        <w:t>Branching</w:t>
      </w:r>
      <w:r w:rsidR="00BF059B">
        <w:t xml:space="preserve"> </w:t>
      </w:r>
      <w:r>
        <w:t>Out</w:t>
      </w:r>
      <w:r w:rsidR="00BF059B">
        <w:t xml:space="preserve"> </w:t>
      </w:r>
      <w:r>
        <w:t>at</w:t>
      </w:r>
      <w:r w:rsidR="00BF059B">
        <w:t xml:space="preserve"> </w:t>
      </w:r>
      <w:r>
        <w:t>the</w:t>
      </w:r>
      <w:r w:rsidR="00BF059B">
        <w:t xml:space="preserve"> </w:t>
      </w:r>
      <w:r>
        <w:t>Telegraph</w:t>
      </w:r>
      <w:r w:rsidR="00BF059B">
        <w:t xml:space="preserve"> </w:t>
      </w:r>
      <w:r>
        <w:t>Hill</w:t>
      </w:r>
      <w:r w:rsidR="00BF059B">
        <w:t xml:space="preserve"> </w:t>
      </w:r>
      <w:r>
        <w:t>Centre,</w:t>
      </w:r>
      <w:r w:rsidR="00BF059B">
        <w:t xml:space="preserve"> </w:t>
      </w:r>
      <w:r>
        <w:t>Lewisham</w:t>
      </w:r>
      <w:r w:rsidR="00BF059B">
        <w:t xml:space="preserve"> </w:t>
      </w:r>
      <w:r>
        <w:t>Healthy</w:t>
      </w:r>
      <w:r w:rsidR="00BF059B">
        <w:t xml:space="preserve"> </w:t>
      </w:r>
      <w:r>
        <w:t>Walks,</w:t>
      </w:r>
      <w:r w:rsidR="00BF059B">
        <w:t xml:space="preserve"> </w:t>
      </w:r>
      <w:r>
        <w:t>and</w:t>
      </w:r>
      <w:r w:rsidR="00BF059B">
        <w:t xml:space="preserve"> </w:t>
      </w:r>
      <w:r>
        <w:t>independent</w:t>
      </w:r>
      <w:r w:rsidR="00BF059B">
        <w:t xml:space="preserve"> </w:t>
      </w:r>
      <w:r>
        <w:t>groups</w:t>
      </w:r>
      <w:r w:rsidR="00BF059B">
        <w:rPr>
          <w:color w:val="FF0000"/>
        </w:rPr>
        <w:t xml:space="preserve"> </w:t>
      </w:r>
      <w:r>
        <w:t>to</w:t>
      </w:r>
      <w:r w:rsidR="00BF059B">
        <w:t xml:space="preserve"> </w:t>
      </w:r>
      <w:r>
        <w:t>lead</w:t>
      </w:r>
      <w:r w:rsidR="00BF059B">
        <w:t xml:space="preserve"> </w:t>
      </w:r>
      <w:r>
        <w:t>visits</w:t>
      </w:r>
      <w:r w:rsidR="00BF059B">
        <w:t xml:space="preserve"> </w:t>
      </w:r>
      <w:r>
        <w:t>with</w:t>
      </w:r>
      <w:r w:rsidR="00BF059B">
        <w:t xml:space="preserve"> </w:t>
      </w:r>
      <w:r>
        <w:t>their</w:t>
      </w:r>
      <w:r w:rsidR="00BF059B">
        <w:t xml:space="preserve"> </w:t>
      </w:r>
      <w:r>
        <w:t>groups</w:t>
      </w:r>
      <w:r w:rsidR="00BF059B">
        <w:t xml:space="preserve"> </w:t>
      </w:r>
      <w:r>
        <w:t>to</w:t>
      </w:r>
      <w:r w:rsidR="00BF059B">
        <w:t xml:space="preserve"> </w:t>
      </w:r>
      <w:r>
        <w:t>the</w:t>
      </w:r>
      <w:r w:rsidR="00BF059B">
        <w:t xml:space="preserve"> </w:t>
      </w:r>
      <w:r>
        <w:t>Horniman</w:t>
      </w:r>
      <w:r w:rsidR="00BF059B">
        <w:t xml:space="preserve"> </w:t>
      </w:r>
      <w:r>
        <w:t>as</w:t>
      </w:r>
      <w:r w:rsidR="00BF059B">
        <w:t xml:space="preserve"> </w:t>
      </w:r>
      <w:r>
        <w:t>a</w:t>
      </w:r>
      <w:r w:rsidR="00BF059B">
        <w:t xml:space="preserve"> </w:t>
      </w:r>
      <w:r>
        <w:t>start</w:t>
      </w:r>
      <w:r w:rsidR="00BF059B">
        <w:t xml:space="preserve"> </w:t>
      </w:r>
      <w:r>
        <w:t>to</w:t>
      </w:r>
      <w:r w:rsidR="00BF059B">
        <w:t xml:space="preserve"> </w:t>
      </w:r>
      <w:r>
        <w:t>potential</w:t>
      </w:r>
      <w:r w:rsidR="00BF059B">
        <w:t xml:space="preserve"> </w:t>
      </w:r>
      <w:r>
        <w:t>project</w:t>
      </w:r>
      <w:r w:rsidR="00BF059B">
        <w:t xml:space="preserve"> </w:t>
      </w:r>
      <w:r>
        <w:t>work</w:t>
      </w:r>
      <w:r w:rsidR="00BF059B">
        <w:t xml:space="preserve"> </w:t>
      </w:r>
      <w:r>
        <w:t>together</w:t>
      </w:r>
    </w:p>
    <w:p w14:paraId="3091A442" w14:textId="77777777" w:rsidR="00BE13A8" w:rsidRDefault="00BE13A8">
      <w:pPr>
        <w:jc w:val="both"/>
      </w:pPr>
    </w:p>
    <w:p w14:paraId="5E573B7C" w14:textId="28F9FDA9" w:rsidR="00BE13A8" w:rsidRDefault="00D70530">
      <w:pPr>
        <w:spacing w:line="259" w:lineRule="auto"/>
        <w:jc w:val="both"/>
      </w:pPr>
      <w:r>
        <w:t>In</w:t>
      </w:r>
      <w:r w:rsidR="00BF059B">
        <w:t xml:space="preserve"> </w:t>
      </w:r>
      <w:r>
        <w:t>addition</w:t>
      </w:r>
      <w:r w:rsidR="00BF059B">
        <w:t xml:space="preserve"> </w:t>
      </w:r>
      <w:r>
        <w:t>to</w:t>
      </w:r>
      <w:r w:rsidR="00BF059B">
        <w:t xml:space="preserve"> </w:t>
      </w:r>
      <w:r>
        <w:t>our</w:t>
      </w:r>
      <w:r w:rsidR="00BF059B">
        <w:t xml:space="preserve"> </w:t>
      </w:r>
      <w:r>
        <w:t>targeted,</w:t>
      </w:r>
      <w:r w:rsidR="00BF059B">
        <w:t xml:space="preserve"> </w:t>
      </w:r>
      <w:r>
        <w:t>closed-group</w:t>
      </w:r>
      <w:r w:rsidR="00BF059B">
        <w:t xml:space="preserve"> </w:t>
      </w:r>
      <w:r>
        <w:t>offer,</w:t>
      </w:r>
      <w:r w:rsidR="00BF059B">
        <w:t xml:space="preserve"> </w:t>
      </w:r>
      <w:r>
        <w:t>we</w:t>
      </w:r>
      <w:r w:rsidR="00BF059B">
        <w:t xml:space="preserve"> </w:t>
      </w:r>
      <w:r>
        <w:t>delivered</w:t>
      </w:r>
      <w:r w:rsidR="00BF059B">
        <w:t xml:space="preserve"> </w:t>
      </w:r>
      <w:r>
        <w:t>public-facing</w:t>
      </w:r>
      <w:r w:rsidR="00BF059B">
        <w:t xml:space="preserve"> </w:t>
      </w:r>
      <w:r>
        <w:t>activities</w:t>
      </w:r>
      <w:r w:rsidR="00BF059B">
        <w:t xml:space="preserve"> </w:t>
      </w:r>
      <w:r>
        <w:t>and</w:t>
      </w:r>
      <w:r w:rsidR="00BF059B">
        <w:t xml:space="preserve"> </w:t>
      </w:r>
      <w:r>
        <w:t>events</w:t>
      </w:r>
      <w:r w:rsidR="00BF059B">
        <w:t xml:space="preserve"> </w:t>
      </w:r>
      <w:r>
        <w:t>including:</w:t>
      </w:r>
      <w:r w:rsidR="00BF059B">
        <w:t xml:space="preserve"> </w:t>
      </w:r>
      <w:r>
        <w:t>our</w:t>
      </w:r>
      <w:r w:rsidR="00BF059B">
        <w:t xml:space="preserve"> </w:t>
      </w:r>
      <w:r>
        <w:t>annual</w:t>
      </w:r>
      <w:r w:rsidR="00BF059B">
        <w:t xml:space="preserve"> </w:t>
      </w:r>
      <w:r>
        <w:t>Crossing</w:t>
      </w:r>
      <w:r w:rsidR="00BF059B">
        <w:t xml:space="preserve"> </w:t>
      </w:r>
      <w:r>
        <w:t>Borders</w:t>
      </w:r>
      <w:r w:rsidR="00BF059B">
        <w:t xml:space="preserve"> </w:t>
      </w:r>
      <w:r>
        <w:t>event</w:t>
      </w:r>
      <w:r w:rsidR="00BF059B">
        <w:t xml:space="preserve"> </w:t>
      </w:r>
      <w:r>
        <w:t>with</w:t>
      </w:r>
      <w:r w:rsidR="00BF059B">
        <w:t xml:space="preserve"> </w:t>
      </w:r>
      <w:r>
        <w:t>22</w:t>
      </w:r>
      <w:r w:rsidR="00BF059B">
        <w:t xml:space="preserve"> </w:t>
      </w:r>
      <w:r>
        <w:t>facilitators</w:t>
      </w:r>
      <w:r w:rsidR="00BF059B">
        <w:t xml:space="preserve"> </w:t>
      </w:r>
      <w:r>
        <w:t>who</w:t>
      </w:r>
      <w:r w:rsidR="00BF059B">
        <w:t xml:space="preserve"> </w:t>
      </w:r>
      <w:r>
        <w:t>have</w:t>
      </w:r>
      <w:r w:rsidR="00BF059B">
        <w:t xml:space="preserve"> </w:t>
      </w:r>
      <w:r>
        <w:t>recent</w:t>
      </w:r>
      <w:r w:rsidR="00BF059B">
        <w:t xml:space="preserve"> </w:t>
      </w:r>
      <w:r>
        <w:t>lived</w:t>
      </w:r>
      <w:r w:rsidR="00BF059B">
        <w:t xml:space="preserve"> </w:t>
      </w:r>
      <w:r>
        <w:t>experience</w:t>
      </w:r>
      <w:r w:rsidR="00BF059B">
        <w:t xml:space="preserve"> </w:t>
      </w:r>
      <w:r>
        <w:t>of</w:t>
      </w:r>
      <w:r w:rsidR="00BF059B">
        <w:t xml:space="preserve"> </w:t>
      </w:r>
      <w:r>
        <w:t>migration,</w:t>
      </w:r>
      <w:r w:rsidR="00BF059B">
        <w:t xml:space="preserve"> </w:t>
      </w:r>
      <w:r>
        <w:t>supported</w:t>
      </w:r>
      <w:r w:rsidR="00BF059B">
        <w:t xml:space="preserve"> </w:t>
      </w:r>
      <w:r>
        <w:t>by</w:t>
      </w:r>
      <w:r w:rsidR="00BF059B">
        <w:t xml:space="preserve"> </w:t>
      </w:r>
      <w:r>
        <w:t>7</w:t>
      </w:r>
      <w:r w:rsidR="00BF059B">
        <w:t xml:space="preserve"> </w:t>
      </w:r>
      <w:r>
        <w:t>partner</w:t>
      </w:r>
      <w:r w:rsidR="00BF059B">
        <w:t xml:space="preserve"> </w:t>
      </w:r>
      <w:r>
        <w:t>organisations</w:t>
      </w:r>
      <w:r w:rsidR="00BF059B">
        <w:t xml:space="preserve"> </w:t>
      </w:r>
      <w:r>
        <w:t>and</w:t>
      </w:r>
      <w:r w:rsidR="00BF059B">
        <w:t xml:space="preserve"> </w:t>
      </w:r>
      <w:r>
        <w:t>attracting</w:t>
      </w:r>
      <w:r w:rsidR="00BF059B">
        <w:t xml:space="preserve"> </w:t>
      </w:r>
      <w:r>
        <w:t>42%</w:t>
      </w:r>
      <w:r w:rsidR="00BF059B">
        <w:t xml:space="preserve"> </w:t>
      </w:r>
      <w:r>
        <w:t>first</w:t>
      </w:r>
      <w:r w:rsidR="00BF059B">
        <w:t xml:space="preserve"> </w:t>
      </w:r>
      <w:r>
        <w:t>time</w:t>
      </w:r>
      <w:r w:rsidR="00BF059B">
        <w:t xml:space="preserve"> </w:t>
      </w:r>
      <w:r>
        <w:t>visitors,</w:t>
      </w:r>
      <w:r w:rsidR="00BF059B">
        <w:t xml:space="preserve"> </w:t>
      </w:r>
      <w:r>
        <w:t>all</w:t>
      </w:r>
      <w:r w:rsidR="00BF059B">
        <w:t xml:space="preserve"> </w:t>
      </w:r>
      <w:r>
        <w:t>of</w:t>
      </w:r>
      <w:r w:rsidR="00BF059B">
        <w:t xml:space="preserve"> </w:t>
      </w:r>
      <w:r>
        <w:t>whom</w:t>
      </w:r>
      <w:r w:rsidR="00BF059B">
        <w:t xml:space="preserve"> </w:t>
      </w:r>
      <w:r>
        <w:t>felt</w:t>
      </w:r>
      <w:r w:rsidR="00BF059B">
        <w:t xml:space="preserve"> </w:t>
      </w:r>
      <w:r>
        <w:t>welcome</w:t>
      </w:r>
      <w:r w:rsidR="00BF059B">
        <w:t xml:space="preserve"> </w:t>
      </w:r>
      <w:r>
        <w:t>and</w:t>
      </w:r>
      <w:r w:rsidR="00BF059B">
        <w:t xml:space="preserve"> </w:t>
      </w:r>
      <w:r>
        <w:t>keen</w:t>
      </w:r>
      <w:r w:rsidR="00BF059B">
        <w:t xml:space="preserve"> </w:t>
      </w:r>
      <w:r>
        <w:t>to</w:t>
      </w:r>
      <w:r w:rsidR="00BF059B">
        <w:t xml:space="preserve"> </w:t>
      </w:r>
      <w:r>
        <w:t>visit</w:t>
      </w:r>
      <w:r w:rsidR="00BF059B">
        <w:t xml:space="preserve"> </w:t>
      </w:r>
      <w:r>
        <w:t>again;</w:t>
      </w:r>
      <w:r w:rsidR="00BF059B">
        <w:t xml:space="preserve"> </w:t>
      </w:r>
      <w:r>
        <w:t>performances</w:t>
      </w:r>
      <w:r w:rsidR="00BF059B">
        <w:t xml:space="preserve"> </w:t>
      </w:r>
      <w:r>
        <w:t>by</w:t>
      </w:r>
      <w:r w:rsidR="00BF059B">
        <w:t xml:space="preserve"> </w:t>
      </w:r>
      <w:r>
        <w:t>our</w:t>
      </w:r>
      <w:r w:rsidR="00BF059B">
        <w:t xml:space="preserve"> </w:t>
      </w:r>
      <w:r>
        <w:t>Resident</w:t>
      </w:r>
      <w:r w:rsidR="00BF059B">
        <w:t xml:space="preserve"> </w:t>
      </w:r>
      <w:r>
        <w:t>Musicians</w:t>
      </w:r>
      <w:r w:rsidR="00BF059B">
        <w:t xml:space="preserve"> </w:t>
      </w:r>
      <w:r>
        <w:t>at</w:t>
      </w:r>
      <w:r w:rsidR="00BF059B">
        <w:t xml:space="preserve"> </w:t>
      </w:r>
      <w:r>
        <w:t>November’s</w:t>
      </w:r>
      <w:r w:rsidR="00BF059B">
        <w:t xml:space="preserve"> </w:t>
      </w:r>
      <w:r>
        <w:t>Hear</w:t>
      </w:r>
      <w:r w:rsidR="00BF059B">
        <w:t xml:space="preserve"> </w:t>
      </w:r>
      <w:r>
        <w:t>it</w:t>
      </w:r>
      <w:r w:rsidR="00BF059B">
        <w:t xml:space="preserve"> </w:t>
      </w:r>
      <w:r>
        <w:t>Live!,</w:t>
      </w:r>
      <w:r w:rsidR="00BF059B">
        <w:t xml:space="preserve"> </w:t>
      </w:r>
      <w:r>
        <w:t>piloting</w:t>
      </w:r>
      <w:r w:rsidR="00BF059B">
        <w:t xml:space="preserve"> </w:t>
      </w:r>
      <w:r>
        <w:t>our</w:t>
      </w:r>
      <w:r w:rsidR="00BF059B">
        <w:t xml:space="preserve"> </w:t>
      </w:r>
      <w:r>
        <w:t>Community</w:t>
      </w:r>
      <w:r w:rsidR="00BF059B">
        <w:t xml:space="preserve"> </w:t>
      </w:r>
      <w:r>
        <w:t>Thursdays</w:t>
      </w:r>
      <w:r w:rsidR="00BF059B">
        <w:t xml:space="preserve"> </w:t>
      </w:r>
      <w:r>
        <w:t>continuing</w:t>
      </w:r>
      <w:r w:rsidR="00BF059B">
        <w:t xml:space="preserve"> </w:t>
      </w:r>
      <w:r>
        <w:t>into</w:t>
      </w:r>
      <w:r w:rsidR="00BF059B">
        <w:t xml:space="preserve"> </w:t>
      </w:r>
      <w:r>
        <w:t>Late</w:t>
      </w:r>
      <w:r w:rsidR="00BF059B">
        <w:t xml:space="preserve"> </w:t>
      </w:r>
      <w:r>
        <w:t>events;</w:t>
      </w:r>
      <w:r w:rsidR="00BF059B">
        <w:t xml:space="preserve"> </w:t>
      </w:r>
      <w:r>
        <w:t>a</w:t>
      </w:r>
      <w:r w:rsidR="00BF059B">
        <w:t xml:space="preserve"> </w:t>
      </w:r>
      <w:r>
        <w:t>public</w:t>
      </w:r>
      <w:r w:rsidR="00BF059B">
        <w:t xml:space="preserve"> </w:t>
      </w:r>
      <w:r>
        <w:t>object</w:t>
      </w:r>
      <w:r w:rsidR="00BF059B">
        <w:t xml:space="preserve"> </w:t>
      </w:r>
      <w:r>
        <w:t>handling</w:t>
      </w:r>
      <w:r w:rsidR="00BF059B">
        <w:t xml:space="preserve"> </w:t>
      </w:r>
      <w:r>
        <w:t>session</w:t>
      </w:r>
      <w:r w:rsidR="00BF059B">
        <w:t xml:space="preserve"> </w:t>
      </w:r>
      <w:r>
        <w:t>with</w:t>
      </w:r>
      <w:r w:rsidR="00BF059B">
        <w:t xml:space="preserve"> </w:t>
      </w:r>
      <w:r>
        <w:t>neurodiverse</w:t>
      </w:r>
      <w:r w:rsidR="00BF059B">
        <w:t xml:space="preserve"> </w:t>
      </w:r>
      <w:r>
        <w:t>students</w:t>
      </w:r>
      <w:r w:rsidR="00BF059B">
        <w:t xml:space="preserve"> </w:t>
      </w:r>
      <w:r>
        <w:t>from</w:t>
      </w:r>
      <w:r w:rsidR="00BF059B">
        <w:t xml:space="preserve"> </w:t>
      </w:r>
      <w:r>
        <w:t>Southwark</w:t>
      </w:r>
      <w:r w:rsidR="00BF059B">
        <w:t xml:space="preserve"> </w:t>
      </w:r>
      <w:r>
        <w:t>College;</w:t>
      </w:r>
      <w:r w:rsidR="00BF059B">
        <w:t xml:space="preserve"> </w:t>
      </w:r>
      <w:r>
        <w:t>and</w:t>
      </w:r>
      <w:r w:rsidR="00BF059B">
        <w:t xml:space="preserve"> </w:t>
      </w:r>
      <w:r>
        <w:t>supporting</w:t>
      </w:r>
      <w:r w:rsidR="00BF059B">
        <w:t xml:space="preserve"> </w:t>
      </w:r>
      <w:r>
        <w:t>one</w:t>
      </w:r>
      <w:r w:rsidR="00BF059B">
        <w:t xml:space="preserve"> </w:t>
      </w:r>
      <w:r>
        <w:t>of</w:t>
      </w:r>
      <w:r w:rsidR="00BF059B">
        <w:t xml:space="preserve"> </w:t>
      </w:r>
      <w:r>
        <w:t>the</w:t>
      </w:r>
      <w:r w:rsidR="00BF059B">
        <w:t xml:space="preserve"> </w:t>
      </w:r>
      <w:r>
        <w:t>Community</w:t>
      </w:r>
      <w:r w:rsidR="00BF059B">
        <w:t xml:space="preserve"> </w:t>
      </w:r>
      <w:r>
        <w:t>Action</w:t>
      </w:r>
      <w:r w:rsidR="00BF059B">
        <w:t xml:space="preserve"> </w:t>
      </w:r>
      <w:r>
        <w:t>Researchers</w:t>
      </w:r>
      <w:r w:rsidR="00BF059B">
        <w:t xml:space="preserve"> </w:t>
      </w:r>
      <w:r>
        <w:t>to</w:t>
      </w:r>
      <w:r w:rsidR="00BF059B">
        <w:t xml:space="preserve"> </w:t>
      </w:r>
      <w:r>
        <w:t>deliver</w:t>
      </w:r>
      <w:r w:rsidR="00BF059B">
        <w:t xml:space="preserve"> </w:t>
      </w:r>
      <w:r>
        <w:t>a</w:t>
      </w:r>
      <w:r w:rsidR="00BF059B">
        <w:t xml:space="preserve"> </w:t>
      </w:r>
      <w:r>
        <w:t>Community</w:t>
      </w:r>
      <w:r w:rsidR="00BF059B">
        <w:t xml:space="preserve"> </w:t>
      </w:r>
      <w:r>
        <w:t>Thursday</w:t>
      </w:r>
      <w:r w:rsidR="00BF059B">
        <w:t xml:space="preserve"> </w:t>
      </w:r>
      <w:r>
        <w:t>session</w:t>
      </w:r>
      <w:r w:rsidR="00BF059B">
        <w:t xml:space="preserve"> </w:t>
      </w:r>
      <w:r>
        <w:t>about</w:t>
      </w:r>
      <w:r w:rsidR="00BF059B">
        <w:t xml:space="preserve"> </w:t>
      </w:r>
      <w:r>
        <w:t>Caribbean</w:t>
      </w:r>
      <w:r w:rsidR="00BF059B">
        <w:t xml:space="preserve"> </w:t>
      </w:r>
      <w:r>
        <w:t>objects.</w:t>
      </w:r>
      <w:r w:rsidR="00BF059B">
        <w:t xml:space="preserve"> </w:t>
      </w:r>
      <w:r>
        <w:t>We</w:t>
      </w:r>
      <w:r w:rsidR="00BF059B">
        <w:t xml:space="preserve"> </w:t>
      </w:r>
      <w:r>
        <w:t>also</w:t>
      </w:r>
      <w:r w:rsidR="00BF059B">
        <w:t xml:space="preserve"> </w:t>
      </w:r>
      <w:r>
        <w:t>piloted</w:t>
      </w:r>
      <w:r w:rsidR="00BF059B">
        <w:t xml:space="preserve"> </w:t>
      </w:r>
      <w:r>
        <w:t>our</w:t>
      </w:r>
      <w:r w:rsidR="00BF059B">
        <w:t xml:space="preserve"> </w:t>
      </w:r>
      <w:r>
        <w:t>first</w:t>
      </w:r>
      <w:r w:rsidR="00BF059B">
        <w:t xml:space="preserve"> </w:t>
      </w:r>
      <w:r>
        <w:t>ever</w:t>
      </w:r>
      <w:r w:rsidR="00BF059B">
        <w:t xml:space="preserve"> </w:t>
      </w:r>
      <w:r>
        <w:t>in-house</w:t>
      </w:r>
      <w:r w:rsidR="00BF059B">
        <w:t xml:space="preserve"> </w:t>
      </w:r>
      <w:r>
        <w:t>art</w:t>
      </w:r>
      <w:r w:rsidR="00BF059B">
        <w:t xml:space="preserve"> </w:t>
      </w:r>
      <w:r>
        <w:t>therapy</w:t>
      </w:r>
      <w:r w:rsidR="00BF059B">
        <w:t xml:space="preserve"> </w:t>
      </w:r>
      <w:r>
        <w:t>session</w:t>
      </w:r>
      <w:r w:rsidR="00BF059B">
        <w:t xml:space="preserve"> </w:t>
      </w:r>
      <w:r>
        <w:t>for</w:t>
      </w:r>
      <w:r w:rsidR="00BF059B">
        <w:t xml:space="preserve"> </w:t>
      </w:r>
      <w:r>
        <w:t>socially</w:t>
      </w:r>
      <w:r w:rsidR="00BF059B">
        <w:t xml:space="preserve"> </w:t>
      </w:r>
      <w:r>
        <w:t>prescribed</w:t>
      </w:r>
      <w:r w:rsidR="00BF059B">
        <w:t xml:space="preserve"> </w:t>
      </w:r>
      <w:r>
        <w:t>participants,</w:t>
      </w:r>
      <w:r w:rsidR="00BF059B">
        <w:t xml:space="preserve"> </w:t>
      </w:r>
      <w:r>
        <w:t>exploring</w:t>
      </w:r>
      <w:r w:rsidR="00BF059B">
        <w:t xml:space="preserve"> </w:t>
      </w:r>
      <w:r>
        <w:t>the</w:t>
      </w:r>
      <w:r w:rsidR="00BF059B">
        <w:t xml:space="preserve"> </w:t>
      </w:r>
      <w:r>
        <w:t>potential</w:t>
      </w:r>
      <w:r w:rsidR="00BF059B">
        <w:t xml:space="preserve"> </w:t>
      </w:r>
      <w:r>
        <w:t>of</w:t>
      </w:r>
      <w:r w:rsidR="00BF059B">
        <w:t xml:space="preserve"> </w:t>
      </w:r>
      <w:r>
        <w:t>the</w:t>
      </w:r>
      <w:r w:rsidR="00BF059B">
        <w:t xml:space="preserve"> </w:t>
      </w:r>
      <w:r>
        <w:t>handling</w:t>
      </w:r>
      <w:r w:rsidR="00BF059B">
        <w:t xml:space="preserve"> </w:t>
      </w:r>
      <w:r>
        <w:t>collection</w:t>
      </w:r>
      <w:r w:rsidR="00BF059B">
        <w:t xml:space="preserve"> </w:t>
      </w:r>
      <w:r>
        <w:t>as</w:t>
      </w:r>
      <w:r w:rsidR="00BF059B">
        <w:t xml:space="preserve"> </w:t>
      </w:r>
      <w:r>
        <w:t>a</w:t>
      </w:r>
      <w:r w:rsidR="00BF059B">
        <w:t xml:space="preserve"> </w:t>
      </w:r>
      <w:r>
        <w:t>therapeutic</w:t>
      </w:r>
      <w:r w:rsidR="00BF059B">
        <w:t xml:space="preserve"> </w:t>
      </w:r>
      <w:r>
        <w:t>resource.</w:t>
      </w:r>
      <w:r w:rsidR="00BF059B">
        <w:t xml:space="preserve"> </w:t>
      </w:r>
      <w:r>
        <w:t>And</w:t>
      </w:r>
      <w:r w:rsidR="00BF059B">
        <w:t xml:space="preserve"> </w:t>
      </w:r>
      <w:r>
        <w:t>we</w:t>
      </w:r>
      <w:r w:rsidR="00BF059B">
        <w:t xml:space="preserve"> </w:t>
      </w:r>
      <w:r>
        <w:t>created</w:t>
      </w:r>
      <w:r w:rsidR="00BF059B">
        <w:t xml:space="preserve"> </w:t>
      </w:r>
      <w:r>
        <w:t>2</w:t>
      </w:r>
      <w:r w:rsidR="00BF059B">
        <w:t xml:space="preserve"> </w:t>
      </w:r>
      <w:r>
        <w:t>interactive</w:t>
      </w:r>
      <w:r w:rsidR="00BF059B">
        <w:t xml:space="preserve"> </w:t>
      </w:r>
      <w:r>
        <w:t>murals</w:t>
      </w:r>
      <w:r w:rsidR="00BF059B">
        <w:t xml:space="preserve"> </w:t>
      </w:r>
      <w:r>
        <w:t>for</w:t>
      </w:r>
      <w:r w:rsidR="00BF059B">
        <w:t xml:space="preserve"> </w:t>
      </w:r>
      <w:r>
        <w:t>the</w:t>
      </w:r>
      <w:r w:rsidR="00BF059B">
        <w:t xml:space="preserve"> </w:t>
      </w:r>
      <w:r>
        <w:t>Robot</w:t>
      </w:r>
      <w:r w:rsidR="00BF059B">
        <w:t xml:space="preserve"> </w:t>
      </w:r>
      <w:r>
        <w:t>Zoo</w:t>
      </w:r>
      <w:r w:rsidR="00BF059B">
        <w:t xml:space="preserve"> </w:t>
      </w:r>
      <w:r>
        <w:t>for</w:t>
      </w:r>
      <w:r w:rsidR="00BF059B">
        <w:t xml:space="preserve"> </w:t>
      </w:r>
      <w:r>
        <w:t>families</w:t>
      </w:r>
      <w:r w:rsidR="00BF059B">
        <w:t xml:space="preserve"> </w:t>
      </w:r>
      <w:r>
        <w:t>with</w:t>
      </w:r>
      <w:r w:rsidR="00BF059B">
        <w:t xml:space="preserve"> </w:t>
      </w:r>
      <w:r>
        <w:t>under</w:t>
      </w:r>
      <w:r w:rsidR="00BF059B">
        <w:t xml:space="preserve"> </w:t>
      </w:r>
      <w:r>
        <w:t>5s,</w:t>
      </w:r>
      <w:r w:rsidR="00BF059B">
        <w:t xml:space="preserve"> </w:t>
      </w:r>
      <w:r>
        <w:t>based</w:t>
      </w:r>
      <w:r w:rsidR="00BF059B">
        <w:t xml:space="preserve"> </w:t>
      </w:r>
      <w:r>
        <w:t>on</w:t>
      </w:r>
      <w:r w:rsidR="00BF059B">
        <w:t xml:space="preserve"> </w:t>
      </w:r>
      <w:r>
        <w:t>a</w:t>
      </w:r>
      <w:r w:rsidR="00BF059B">
        <w:t xml:space="preserve"> </w:t>
      </w:r>
      <w:r>
        <w:t>picture</w:t>
      </w:r>
      <w:r w:rsidR="00BF059B">
        <w:t xml:space="preserve"> </w:t>
      </w:r>
      <w:r>
        <w:t>with</w:t>
      </w:r>
      <w:r w:rsidR="00BF059B">
        <w:t xml:space="preserve"> </w:t>
      </w:r>
      <w:r>
        <w:t>lots</w:t>
      </w:r>
      <w:r w:rsidR="00BF059B">
        <w:t xml:space="preserve"> </w:t>
      </w:r>
      <w:r>
        <w:t>of</w:t>
      </w:r>
      <w:r w:rsidR="00BF059B">
        <w:t xml:space="preserve"> </w:t>
      </w:r>
      <w:r>
        <w:t>hiding</w:t>
      </w:r>
      <w:r w:rsidR="00BF059B">
        <w:t xml:space="preserve"> </w:t>
      </w:r>
      <w:r>
        <w:t>chameleons</w:t>
      </w:r>
      <w:r w:rsidR="00BF059B">
        <w:t xml:space="preserve"> </w:t>
      </w:r>
      <w:r>
        <w:t>made</w:t>
      </w:r>
      <w:r w:rsidR="00BF059B">
        <w:t xml:space="preserve"> </w:t>
      </w:r>
      <w:r>
        <w:t>by</w:t>
      </w:r>
      <w:r w:rsidR="00BF059B">
        <w:t xml:space="preserve"> </w:t>
      </w:r>
      <w:r>
        <w:t>a</w:t>
      </w:r>
      <w:r w:rsidR="00BF059B">
        <w:t xml:space="preserve"> </w:t>
      </w:r>
      <w:r>
        <w:t>local</w:t>
      </w:r>
      <w:r w:rsidR="00BF059B">
        <w:t xml:space="preserve"> </w:t>
      </w:r>
      <w:r>
        <w:t>Polish</w:t>
      </w:r>
      <w:r w:rsidR="00BF059B">
        <w:t xml:space="preserve"> </w:t>
      </w:r>
      <w:r>
        <w:t>children’s</w:t>
      </w:r>
      <w:r w:rsidR="00BF059B">
        <w:t xml:space="preserve"> </w:t>
      </w:r>
      <w:r>
        <w:t>singing</w:t>
      </w:r>
      <w:r w:rsidR="00BF059B">
        <w:t xml:space="preserve"> </w:t>
      </w:r>
      <w:r>
        <w:t>group</w:t>
      </w:r>
      <w:r w:rsidR="00BF059B">
        <w:t xml:space="preserve"> </w:t>
      </w:r>
      <w:r>
        <w:t>during</w:t>
      </w:r>
      <w:r w:rsidR="00BF059B">
        <w:t xml:space="preserve"> </w:t>
      </w:r>
      <w:r>
        <w:t>an</w:t>
      </w:r>
      <w:r w:rsidR="00BF059B">
        <w:t xml:space="preserve"> </w:t>
      </w:r>
      <w:r>
        <w:t>engagement</w:t>
      </w:r>
      <w:r w:rsidR="00BF059B">
        <w:t xml:space="preserve"> </w:t>
      </w:r>
      <w:r>
        <w:t>session.</w:t>
      </w:r>
    </w:p>
    <w:p w14:paraId="5391F723" w14:textId="77777777" w:rsidR="00BE13A8" w:rsidRDefault="00BE13A8">
      <w:pPr>
        <w:jc w:val="both"/>
      </w:pPr>
    </w:p>
    <w:p w14:paraId="21C2D38E" w14:textId="5174A12E" w:rsidR="00BE13A8" w:rsidRDefault="00D70530">
      <w:pPr>
        <w:jc w:val="both"/>
      </w:pPr>
      <w:r>
        <w:t>We</w:t>
      </w:r>
      <w:r w:rsidR="00BF059B">
        <w:t xml:space="preserve"> </w:t>
      </w:r>
      <w:r>
        <w:t>ran</w:t>
      </w:r>
      <w:r w:rsidR="00BF059B">
        <w:t xml:space="preserve"> </w:t>
      </w:r>
      <w:r>
        <w:t>our</w:t>
      </w:r>
      <w:r w:rsidR="00BF059B">
        <w:t xml:space="preserve"> </w:t>
      </w:r>
      <w:r>
        <w:t>second</w:t>
      </w:r>
      <w:r w:rsidR="00BF059B">
        <w:t xml:space="preserve"> </w:t>
      </w:r>
      <w:hyperlink r:id="rId9">
        <w:r>
          <w:rPr>
            <w:color w:val="0000FF"/>
            <w:u w:val="single"/>
          </w:rPr>
          <w:t>Twilight</w:t>
        </w:r>
        <w:r w:rsidR="00BF059B">
          <w:rPr>
            <w:color w:val="0000FF"/>
            <w:u w:val="single"/>
          </w:rPr>
          <w:t xml:space="preserve"> </w:t>
        </w:r>
        <w:r>
          <w:rPr>
            <w:color w:val="0000FF"/>
            <w:u w:val="single"/>
          </w:rPr>
          <w:t>relaxed</w:t>
        </w:r>
        <w:r w:rsidR="00BF059B">
          <w:rPr>
            <w:color w:val="0000FF"/>
            <w:u w:val="single"/>
          </w:rPr>
          <w:t xml:space="preserve"> </w:t>
        </w:r>
        <w:r>
          <w:rPr>
            <w:color w:val="0000FF"/>
            <w:u w:val="single"/>
          </w:rPr>
          <w:t>opening</w:t>
        </w:r>
      </w:hyperlink>
      <w:r w:rsidR="00BF059B">
        <w:t xml:space="preserve"> </w:t>
      </w:r>
      <w:r>
        <w:t>of</w:t>
      </w:r>
      <w:r w:rsidR="00BF059B">
        <w:t xml:space="preserve"> </w:t>
      </w:r>
      <w:r>
        <w:t>the</w:t>
      </w:r>
      <w:r w:rsidR="00BF059B">
        <w:t xml:space="preserve"> </w:t>
      </w:r>
      <w:r>
        <w:t>Museum</w:t>
      </w:r>
      <w:r w:rsidR="00BF059B">
        <w:t xml:space="preserve"> </w:t>
      </w:r>
      <w:r>
        <w:t>for</w:t>
      </w:r>
      <w:r w:rsidR="00BF059B">
        <w:t xml:space="preserve"> </w:t>
      </w:r>
      <w:r>
        <w:t>families</w:t>
      </w:r>
      <w:r w:rsidR="00BF059B">
        <w:t xml:space="preserve"> </w:t>
      </w:r>
      <w:r>
        <w:t>less</w:t>
      </w:r>
      <w:r w:rsidR="00BF059B">
        <w:t xml:space="preserve"> </w:t>
      </w:r>
      <w:r>
        <w:t>able</w:t>
      </w:r>
      <w:r w:rsidR="00BF059B">
        <w:t xml:space="preserve"> </w:t>
      </w:r>
      <w:r>
        <w:t>to</w:t>
      </w:r>
      <w:r w:rsidR="00BF059B">
        <w:t xml:space="preserve"> </w:t>
      </w:r>
      <w:r>
        <w:t>visit</w:t>
      </w:r>
      <w:r w:rsidR="00BF059B">
        <w:t xml:space="preserve"> </w:t>
      </w:r>
      <w:r>
        <w:t>when</w:t>
      </w:r>
      <w:r w:rsidR="00BF059B">
        <w:t xml:space="preserve"> </w:t>
      </w:r>
      <w:r>
        <w:t>the</w:t>
      </w:r>
      <w:r w:rsidR="00BF059B">
        <w:t xml:space="preserve"> </w:t>
      </w:r>
      <w:r>
        <w:t>Museum</w:t>
      </w:r>
      <w:r w:rsidR="00BF059B">
        <w:t xml:space="preserve"> </w:t>
      </w:r>
      <w:r>
        <w:t>is</w:t>
      </w:r>
      <w:r w:rsidR="00BF059B">
        <w:t xml:space="preserve"> </w:t>
      </w:r>
      <w:r>
        <w:t>crowded.</w:t>
      </w:r>
      <w:r w:rsidR="00BF059B">
        <w:t xml:space="preserve"> </w:t>
      </w:r>
      <w:r>
        <w:t>Our</w:t>
      </w:r>
      <w:r w:rsidR="00BF059B">
        <w:t xml:space="preserve"> </w:t>
      </w:r>
      <w:r>
        <w:t>Access</w:t>
      </w:r>
      <w:r w:rsidR="00BF059B">
        <w:t xml:space="preserve"> </w:t>
      </w:r>
      <w:r>
        <w:t>Advisory</w:t>
      </w:r>
      <w:r w:rsidR="00BF059B">
        <w:t xml:space="preserve"> </w:t>
      </w:r>
      <w:r>
        <w:t>Group</w:t>
      </w:r>
      <w:r w:rsidR="00BF059B">
        <w:t xml:space="preserve"> </w:t>
      </w:r>
      <w:r>
        <w:t>are</w:t>
      </w:r>
      <w:r w:rsidR="00BF059B">
        <w:t xml:space="preserve"> </w:t>
      </w:r>
      <w:r>
        <w:t>helping</w:t>
      </w:r>
      <w:r w:rsidR="00BF059B">
        <w:t xml:space="preserve"> </w:t>
      </w:r>
      <w:r>
        <w:t>us</w:t>
      </w:r>
      <w:r w:rsidR="00BF059B">
        <w:t xml:space="preserve"> </w:t>
      </w:r>
      <w:r>
        <w:t>develop</w:t>
      </w:r>
      <w:r w:rsidR="00BF059B">
        <w:t xml:space="preserve"> </w:t>
      </w:r>
      <w:r>
        <w:t>a</w:t>
      </w:r>
      <w:r w:rsidR="00BF059B">
        <w:t xml:space="preserve"> </w:t>
      </w:r>
      <w:r>
        <w:t>new</w:t>
      </w:r>
      <w:r w:rsidR="00BF059B">
        <w:t xml:space="preserve"> </w:t>
      </w:r>
      <w:r>
        <w:t>Event</w:t>
      </w:r>
      <w:r w:rsidR="00BF059B">
        <w:t xml:space="preserve"> </w:t>
      </w:r>
      <w:r>
        <w:t>Access</w:t>
      </w:r>
      <w:r w:rsidR="00BF059B">
        <w:t xml:space="preserve"> </w:t>
      </w:r>
      <w:r>
        <w:t>Staff</w:t>
      </w:r>
      <w:r w:rsidR="00BF059B">
        <w:t xml:space="preserve"> </w:t>
      </w:r>
      <w:r>
        <w:t>role</w:t>
      </w:r>
      <w:r w:rsidR="00BF059B">
        <w:t xml:space="preserve"> </w:t>
      </w:r>
      <w:r>
        <w:t>and</w:t>
      </w:r>
      <w:r w:rsidR="00BF059B">
        <w:t xml:space="preserve"> </w:t>
      </w:r>
      <w:r>
        <w:t>social</w:t>
      </w:r>
      <w:r w:rsidR="00BF059B">
        <w:t xml:space="preserve"> </w:t>
      </w:r>
      <w:r>
        <w:t>story</w:t>
      </w:r>
      <w:r w:rsidR="00BF059B">
        <w:t xml:space="preserve"> </w:t>
      </w:r>
      <w:r>
        <w:t>to</w:t>
      </w:r>
      <w:r w:rsidR="00BF059B">
        <w:t xml:space="preserve"> </w:t>
      </w:r>
      <w:r>
        <w:t>make</w:t>
      </w:r>
      <w:r w:rsidR="00BF059B">
        <w:t xml:space="preserve"> </w:t>
      </w:r>
      <w:r>
        <w:t>large</w:t>
      </w:r>
      <w:r w:rsidR="00BF059B">
        <w:t xml:space="preserve"> </w:t>
      </w:r>
      <w:r>
        <w:t>events</w:t>
      </w:r>
      <w:r w:rsidR="00BF059B">
        <w:t xml:space="preserve"> </w:t>
      </w:r>
      <w:r>
        <w:t>more</w:t>
      </w:r>
      <w:r w:rsidR="00BF059B">
        <w:t xml:space="preserve"> </w:t>
      </w:r>
      <w:r>
        <w:t>accessible.</w:t>
      </w:r>
      <w:r w:rsidR="00BF059B">
        <w:t xml:space="preserve"> </w:t>
      </w:r>
    </w:p>
    <w:p w14:paraId="4A3AC042" w14:textId="77777777" w:rsidR="00BE13A8" w:rsidRDefault="00BE13A8">
      <w:pPr>
        <w:jc w:val="both"/>
        <w:rPr>
          <w:i/>
          <w:color w:val="FF0000"/>
        </w:rPr>
      </w:pPr>
    </w:p>
    <w:p w14:paraId="4AEE7D5E" w14:textId="46ECEB46" w:rsidR="00BE13A8" w:rsidRDefault="00D70530" w:rsidP="008D4835">
      <w:pPr>
        <w:pStyle w:val="Heading4"/>
      </w:pPr>
      <w:bookmarkStart w:id="2" w:name="_heading=h.i520rc4i8qj9" w:colFirst="0" w:colLast="0"/>
      <w:bookmarkEnd w:id="2"/>
      <w:r>
        <w:t>1.5</w:t>
      </w:r>
      <w:r w:rsidR="008D4835">
        <w:t xml:space="preserve"> </w:t>
      </w:r>
      <w:r>
        <w:t>Public</w:t>
      </w:r>
      <w:r w:rsidR="00BF059B">
        <w:t xml:space="preserve"> </w:t>
      </w:r>
      <w:r>
        <w:t>Relations</w:t>
      </w:r>
      <w:r w:rsidR="00BF059B">
        <w:t xml:space="preserve"> </w:t>
      </w:r>
      <w:r>
        <w:t>(PR)</w:t>
      </w:r>
    </w:p>
    <w:p w14:paraId="3A4C4D60" w14:textId="58014773" w:rsidR="00BE13A8" w:rsidRDefault="00D70530">
      <w:pPr>
        <w:jc w:val="both"/>
      </w:pPr>
      <w:r>
        <w:t>Over</w:t>
      </w:r>
      <w:r w:rsidR="00BF059B">
        <w:t xml:space="preserve"> </w:t>
      </w:r>
      <w:r>
        <w:t>the</w:t>
      </w:r>
      <w:r w:rsidR="00BF059B">
        <w:t xml:space="preserve"> </w:t>
      </w:r>
      <w:r>
        <w:t>course</w:t>
      </w:r>
      <w:r w:rsidR="00BF059B">
        <w:t xml:space="preserve"> </w:t>
      </w:r>
      <w:r>
        <w:t>of</w:t>
      </w:r>
      <w:r w:rsidR="00BF059B">
        <w:t xml:space="preserve"> </w:t>
      </w:r>
      <w:r>
        <w:t>the</w:t>
      </w:r>
      <w:r w:rsidR="00BF059B">
        <w:t xml:space="preserve"> </w:t>
      </w:r>
      <w:r>
        <w:t>year,</w:t>
      </w:r>
      <w:r w:rsidR="00BF059B">
        <w:t xml:space="preserve"> </w:t>
      </w:r>
      <w:r>
        <w:t>the</w:t>
      </w:r>
      <w:r w:rsidR="00BF059B">
        <w:t xml:space="preserve"> </w:t>
      </w:r>
      <w:r>
        <w:t>Horniman</w:t>
      </w:r>
      <w:r w:rsidR="00BF059B">
        <w:t xml:space="preserve"> </w:t>
      </w:r>
      <w:r>
        <w:t>secured</w:t>
      </w:r>
      <w:r w:rsidR="00BF059B">
        <w:t xml:space="preserve"> </w:t>
      </w:r>
      <w:r>
        <w:t>783</w:t>
      </w:r>
      <w:r w:rsidR="00BF059B">
        <w:t xml:space="preserve"> </w:t>
      </w:r>
      <w:r>
        <w:t>items</w:t>
      </w:r>
      <w:r w:rsidR="00BF059B">
        <w:t xml:space="preserve"> </w:t>
      </w:r>
      <w:r>
        <w:t>of</w:t>
      </w:r>
      <w:r w:rsidR="00BF059B">
        <w:t xml:space="preserve"> </w:t>
      </w:r>
      <w:r>
        <w:t>print</w:t>
      </w:r>
      <w:r w:rsidR="00BF059B">
        <w:t xml:space="preserve"> </w:t>
      </w:r>
      <w:r>
        <w:t>and</w:t>
      </w:r>
      <w:r w:rsidR="00BF059B">
        <w:t xml:space="preserve"> </w:t>
      </w:r>
      <w:r>
        <w:t>online</w:t>
      </w:r>
      <w:r w:rsidR="00BF059B">
        <w:t xml:space="preserve"> </w:t>
      </w:r>
      <w:r>
        <w:t>coverage,</w:t>
      </w:r>
      <w:r w:rsidR="00BF059B">
        <w:t xml:space="preserve"> </w:t>
      </w:r>
      <w:r>
        <w:t>and</w:t>
      </w:r>
      <w:r w:rsidR="00BF059B">
        <w:t xml:space="preserve"> </w:t>
      </w:r>
      <w:r>
        <w:t>88</w:t>
      </w:r>
      <w:r w:rsidR="00BF059B">
        <w:t xml:space="preserve"> </w:t>
      </w:r>
      <w:r>
        <w:t>broadcast</w:t>
      </w:r>
      <w:r w:rsidR="00BF059B">
        <w:t xml:space="preserve"> </w:t>
      </w:r>
      <w:r>
        <w:t>items,</w:t>
      </w:r>
      <w:r w:rsidR="00BF059B">
        <w:t xml:space="preserve"> </w:t>
      </w:r>
      <w:r>
        <w:t>with</w:t>
      </w:r>
      <w:r w:rsidR="00BF059B">
        <w:t xml:space="preserve"> </w:t>
      </w:r>
      <w:r>
        <w:t>a</w:t>
      </w:r>
      <w:r w:rsidR="00BF059B">
        <w:t xml:space="preserve"> </w:t>
      </w:r>
      <w:r>
        <w:t>total</w:t>
      </w:r>
      <w:r w:rsidR="00BF059B">
        <w:t xml:space="preserve"> </w:t>
      </w:r>
      <w:r>
        <w:t>Advertising</w:t>
      </w:r>
      <w:r w:rsidR="00BF059B">
        <w:t xml:space="preserve"> </w:t>
      </w:r>
      <w:r>
        <w:t>Value</w:t>
      </w:r>
      <w:r w:rsidR="00BF059B">
        <w:t xml:space="preserve"> </w:t>
      </w:r>
      <w:r>
        <w:t>Equivalence</w:t>
      </w:r>
      <w:r w:rsidR="00BF059B">
        <w:t xml:space="preserve"> </w:t>
      </w:r>
      <w:r>
        <w:t>(AVE)</w:t>
      </w:r>
      <w:r w:rsidR="00BF059B">
        <w:t xml:space="preserve"> </w:t>
      </w:r>
      <w:r>
        <w:t>of</w:t>
      </w:r>
      <w:r w:rsidR="00BF059B">
        <w:t xml:space="preserve"> </w:t>
      </w:r>
      <w:r>
        <w:t>£28,299,444</w:t>
      </w:r>
      <w:r w:rsidR="00BF059B">
        <w:t xml:space="preserve"> </w:t>
      </w:r>
      <w:r>
        <w:t>and</w:t>
      </w:r>
      <w:r w:rsidR="00BF059B">
        <w:t xml:space="preserve"> </w:t>
      </w:r>
      <w:r>
        <w:t>Potential</w:t>
      </w:r>
      <w:r w:rsidR="00BF059B">
        <w:t xml:space="preserve"> </w:t>
      </w:r>
      <w:r>
        <w:t>Audience</w:t>
      </w:r>
      <w:r w:rsidR="00BF059B">
        <w:t xml:space="preserve"> </w:t>
      </w:r>
      <w:r>
        <w:t>Reach</w:t>
      </w:r>
      <w:r w:rsidR="00BF059B">
        <w:t xml:space="preserve"> </w:t>
      </w:r>
      <w:r>
        <w:t>of</w:t>
      </w:r>
      <w:r w:rsidR="00BF059B">
        <w:t xml:space="preserve"> </w:t>
      </w:r>
      <w:r>
        <w:t>4.3</w:t>
      </w:r>
      <w:r w:rsidR="00BF059B">
        <w:t xml:space="preserve"> </w:t>
      </w:r>
      <w:r>
        <w:t>billion.</w:t>
      </w:r>
      <w:r w:rsidR="00BF059B">
        <w:t xml:space="preserve">  </w:t>
      </w:r>
    </w:p>
    <w:p w14:paraId="1C4127A1" w14:textId="31BA4298" w:rsidR="00BE13A8" w:rsidRDefault="00BE13A8">
      <w:pPr>
        <w:jc w:val="both"/>
      </w:pPr>
    </w:p>
    <w:p w14:paraId="0A9A1778" w14:textId="491F3E89" w:rsidR="00BE13A8" w:rsidRDefault="00D70530">
      <w:pPr>
        <w:jc w:val="both"/>
      </w:pPr>
      <w:r>
        <w:t>In</w:t>
      </w:r>
      <w:r w:rsidR="00BF059B">
        <w:t xml:space="preserve"> </w:t>
      </w:r>
      <w:r>
        <w:t>addition</w:t>
      </w:r>
      <w:r w:rsidR="00BF059B">
        <w:t xml:space="preserve"> </w:t>
      </w:r>
      <w:r>
        <w:t>to</w:t>
      </w:r>
      <w:r w:rsidR="00BF059B">
        <w:t xml:space="preserve"> </w:t>
      </w:r>
      <w:r>
        <w:t>proactive</w:t>
      </w:r>
      <w:r w:rsidR="00BF059B">
        <w:t xml:space="preserve"> </w:t>
      </w:r>
      <w:r>
        <w:t>activity,</w:t>
      </w:r>
      <w:r w:rsidR="00BF059B">
        <w:t xml:space="preserve"> </w:t>
      </w:r>
      <w:r>
        <w:t>the</w:t>
      </w:r>
      <w:r w:rsidR="00BF059B">
        <w:t xml:space="preserve"> </w:t>
      </w:r>
      <w:r>
        <w:t>Press</w:t>
      </w:r>
      <w:r w:rsidR="00BF059B">
        <w:t xml:space="preserve"> </w:t>
      </w:r>
      <w:r>
        <w:t>Office</w:t>
      </w:r>
      <w:r w:rsidR="00BF059B">
        <w:t xml:space="preserve"> </w:t>
      </w:r>
      <w:r>
        <w:t>responded</w:t>
      </w:r>
      <w:r w:rsidR="00BF059B">
        <w:t xml:space="preserve"> </w:t>
      </w:r>
      <w:r>
        <w:t>to</w:t>
      </w:r>
      <w:r w:rsidR="00BF059B">
        <w:t xml:space="preserve"> </w:t>
      </w:r>
      <w:r>
        <w:t>163</w:t>
      </w:r>
      <w:r w:rsidR="00BF059B">
        <w:t xml:space="preserve"> </w:t>
      </w:r>
      <w:r>
        <w:t>media</w:t>
      </w:r>
      <w:r w:rsidR="00BF059B">
        <w:t xml:space="preserve"> </w:t>
      </w:r>
      <w:r>
        <w:t>enquiries</w:t>
      </w:r>
      <w:r w:rsidR="00BF059B">
        <w:t xml:space="preserve"> </w:t>
      </w:r>
      <w:r>
        <w:t>and</w:t>
      </w:r>
      <w:r w:rsidR="00BF059B">
        <w:t xml:space="preserve"> </w:t>
      </w:r>
      <w:r>
        <w:t>33</w:t>
      </w:r>
      <w:r w:rsidR="00BF059B">
        <w:t xml:space="preserve"> </w:t>
      </w:r>
      <w:r>
        <w:t>editorial</w:t>
      </w:r>
      <w:r w:rsidR="00BF059B">
        <w:t xml:space="preserve"> </w:t>
      </w:r>
      <w:r>
        <w:t>filming</w:t>
      </w:r>
      <w:r w:rsidR="00BF059B">
        <w:t xml:space="preserve"> </w:t>
      </w:r>
      <w:r>
        <w:t>and</w:t>
      </w:r>
      <w:r w:rsidR="00BF059B">
        <w:t xml:space="preserve"> </w:t>
      </w:r>
      <w:r>
        <w:t>photography</w:t>
      </w:r>
      <w:r w:rsidR="00BF059B">
        <w:t xml:space="preserve"> </w:t>
      </w:r>
      <w:r>
        <w:t>enquiries.</w:t>
      </w:r>
      <w:r w:rsidR="00BF059B">
        <w:t xml:space="preserve"> </w:t>
      </w:r>
    </w:p>
    <w:p w14:paraId="5483111D" w14:textId="0C546655" w:rsidR="00BE13A8" w:rsidRDefault="00BE13A8">
      <w:pPr>
        <w:jc w:val="both"/>
      </w:pPr>
    </w:p>
    <w:p w14:paraId="43345A0E" w14:textId="380A1D5C" w:rsidR="00BE13A8" w:rsidRDefault="00D70530">
      <w:pPr>
        <w:jc w:val="both"/>
      </w:pPr>
      <w:r>
        <w:t>Since</w:t>
      </w:r>
      <w:r w:rsidR="00BF059B">
        <w:t xml:space="preserve"> </w:t>
      </w:r>
      <w:r>
        <w:t>1</w:t>
      </w:r>
      <w:r w:rsidR="00BF059B">
        <w:t xml:space="preserve"> </w:t>
      </w:r>
      <w:r>
        <w:t>January</w:t>
      </w:r>
      <w:r w:rsidR="00BF059B">
        <w:t xml:space="preserve"> </w:t>
      </w:r>
      <w:r>
        <w:t>2025,</w:t>
      </w:r>
      <w:r w:rsidR="00BF059B">
        <w:t xml:space="preserve"> </w:t>
      </w:r>
      <w:r>
        <w:t>the</w:t>
      </w:r>
      <w:r w:rsidR="00BF059B">
        <w:t xml:space="preserve"> </w:t>
      </w:r>
      <w:r>
        <w:t>press</w:t>
      </w:r>
      <w:r w:rsidR="00BF059B">
        <w:t xml:space="preserve"> </w:t>
      </w:r>
      <w:r>
        <w:t>office</w:t>
      </w:r>
      <w:r w:rsidR="00BF059B">
        <w:t xml:space="preserve"> </w:t>
      </w:r>
      <w:r>
        <w:t>has</w:t>
      </w:r>
      <w:r w:rsidR="00BF059B">
        <w:t xml:space="preserve"> </w:t>
      </w:r>
      <w:r>
        <w:t>been</w:t>
      </w:r>
      <w:r w:rsidR="00BF059B">
        <w:t xml:space="preserve"> </w:t>
      </w:r>
      <w:r>
        <w:t>using</w:t>
      </w:r>
      <w:r w:rsidR="00BF059B">
        <w:t xml:space="preserve"> </w:t>
      </w:r>
      <w:r>
        <w:t>a</w:t>
      </w:r>
      <w:r w:rsidR="00BF059B">
        <w:t xml:space="preserve"> </w:t>
      </w:r>
      <w:r>
        <w:t>new</w:t>
      </w:r>
      <w:r w:rsidR="00BF059B">
        <w:t xml:space="preserve"> </w:t>
      </w:r>
      <w:r>
        <w:t>platform</w:t>
      </w:r>
      <w:r w:rsidR="00BF059B">
        <w:t xml:space="preserve"> </w:t>
      </w:r>
      <w:r>
        <w:t>–</w:t>
      </w:r>
      <w:r w:rsidR="00BF059B">
        <w:t xml:space="preserve"> </w:t>
      </w:r>
      <w:r>
        <w:t>Meltwater</w:t>
      </w:r>
      <w:r w:rsidR="00BF059B">
        <w:t xml:space="preserve"> </w:t>
      </w:r>
      <w:r>
        <w:t>–</w:t>
      </w:r>
      <w:r w:rsidR="00BF059B">
        <w:t xml:space="preserve"> </w:t>
      </w:r>
      <w:r>
        <w:t>for</w:t>
      </w:r>
      <w:r w:rsidR="00BF059B">
        <w:t xml:space="preserve"> </w:t>
      </w:r>
      <w:r>
        <w:t>media</w:t>
      </w:r>
      <w:r w:rsidR="00BF059B">
        <w:rPr>
          <w:b/>
        </w:rPr>
        <w:t xml:space="preserve"> </w:t>
      </w:r>
      <w:r>
        <w:t>monitoring,</w:t>
      </w:r>
      <w:r w:rsidR="00BF059B">
        <w:t xml:space="preserve"> </w:t>
      </w:r>
      <w:r>
        <w:t>contact</w:t>
      </w:r>
      <w:r w:rsidR="00BF059B">
        <w:t xml:space="preserve"> </w:t>
      </w:r>
      <w:r>
        <w:t>database</w:t>
      </w:r>
      <w:r w:rsidR="00BF059B">
        <w:t xml:space="preserve"> </w:t>
      </w:r>
      <w:r>
        <w:t>and</w:t>
      </w:r>
      <w:r w:rsidR="00BF059B">
        <w:t xml:space="preserve"> </w:t>
      </w:r>
      <w:r>
        <w:t>media</w:t>
      </w:r>
      <w:r w:rsidR="00BF059B">
        <w:t xml:space="preserve"> </w:t>
      </w:r>
      <w:r>
        <w:t>distribution,</w:t>
      </w:r>
      <w:r w:rsidR="00BF059B">
        <w:t xml:space="preserve"> </w:t>
      </w:r>
      <w:r>
        <w:t>a</w:t>
      </w:r>
      <w:r w:rsidR="00BF059B">
        <w:t xml:space="preserve"> </w:t>
      </w:r>
      <w:r>
        <w:t>move</w:t>
      </w:r>
      <w:r w:rsidR="00BF059B">
        <w:t xml:space="preserve"> </w:t>
      </w:r>
      <w:r>
        <w:t>driven</w:t>
      </w:r>
      <w:r w:rsidR="00BF059B">
        <w:t xml:space="preserve"> </w:t>
      </w:r>
      <w:r>
        <w:t>by</w:t>
      </w:r>
      <w:r w:rsidR="00BF059B">
        <w:t xml:space="preserve"> </w:t>
      </w:r>
      <w:r>
        <w:t>dissatisfaction</w:t>
      </w:r>
      <w:r w:rsidR="00BF059B">
        <w:t xml:space="preserve"> </w:t>
      </w:r>
      <w:r>
        <w:t>with</w:t>
      </w:r>
      <w:r w:rsidR="00BF059B">
        <w:t xml:space="preserve"> </w:t>
      </w:r>
      <w:r>
        <w:t>the</w:t>
      </w:r>
      <w:r w:rsidR="00BF059B">
        <w:t xml:space="preserve"> </w:t>
      </w:r>
      <w:r>
        <w:t>previous</w:t>
      </w:r>
      <w:r w:rsidR="00BF059B">
        <w:t xml:space="preserve"> </w:t>
      </w:r>
      <w:r>
        <w:t>provider</w:t>
      </w:r>
      <w:r w:rsidR="00BF059B">
        <w:t xml:space="preserve"> </w:t>
      </w:r>
      <w:r>
        <w:t>and</w:t>
      </w:r>
      <w:r w:rsidR="00BF059B">
        <w:t xml:space="preserve"> </w:t>
      </w:r>
      <w:r>
        <w:t>following</w:t>
      </w:r>
      <w:r w:rsidR="00BF059B">
        <w:t xml:space="preserve"> </w:t>
      </w:r>
      <w:r>
        <w:t>a</w:t>
      </w:r>
      <w:r w:rsidR="00BF059B">
        <w:t xml:space="preserve"> </w:t>
      </w:r>
      <w:r>
        <w:t>service</w:t>
      </w:r>
      <w:r w:rsidR="00BF059B">
        <w:t xml:space="preserve"> </w:t>
      </w:r>
      <w:r>
        <w:t>and</w:t>
      </w:r>
      <w:r w:rsidR="00BF059B">
        <w:t xml:space="preserve"> </w:t>
      </w:r>
      <w:r>
        <w:t>price</w:t>
      </w:r>
      <w:r w:rsidR="00BF059B">
        <w:t xml:space="preserve"> </w:t>
      </w:r>
      <w:r>
        <w:t>review</w:t>
      </w:r>
      <w:r w:rsidR="00BF059B">
        <w:t xml:space="preserve"> </w:t>
      </w:r>
      <w:r>
        <w:t>of</w:t>
      </w:r>
      <w:r w:rsidR="00BF059B">
        <w:t xml:space="preserve"> </w:t>
      </w:r>
      <w:r>
        <w:t>competitors.</w:t>
      </w:r>
      <w:r w:rsidR="00BF059B">
        <w:t xml:space="preserve"> </w:t>
      </w:r>
      <w:r>
        <w:t>Early</w:t>
      </w:r>
      <w:r w:rsidR="00BF059B">
        <w:t xml:space="preserve"> </w:t>
      </w:r>
      <w:r>
        <w:lastRenderedPageBreak/>
        <w:t>indications</w:t>
      </w:r>
      <w:r w:rsidR="00BF059B">
        <w:t xml:space="preserve"> </w:t>
      </w:r>
      <w:r>
        <w:t>are</w:t>
      </w:r>
      <w:r w:rsidR="00BF059B">
        <w:t xml:space="preserve"> </w:t>
      </w:r>
      <w:r>
        <w:t>that</w:t>
      </w:r>
      <w:r w:rsidR="00BF059B">
        <w:t xml:space="preserve"> </w:t>
      </w:r>
      <w:r>
        <w:t>Meltwater</w:t>
      </w:r>
      <w:r w:rsidR="00BF059B">
        <w:t xml:space="preserve"> </w:t>
      </w:r>
      <w:r>
        <w:t>is</w:t>
      </w:r>
      <w:r w:rsidR="00BF059B">
        <w:t xml:space="preserve"> </w:t>
      </w:r>
      <w:r>
        <w:t>reporting</w:t>
      </w:r>
      <w:r w:rsidR="00BF059B">
        <w:t xml:space="preserve"> </w:t>
      </w:r>
      <w:r>
        <w:t>more</w:t>
      </w:r>
      <w:r w:rsidR="00BF059B">
        <w:t xml:space="preserve"> </w:t>
      </w:r>
      <w:r>
        <w:t>coverage</w:t>
      </w:r>
      <w:r w:rsidR="00BF059B">
        <w:t xml:space="preserve"> </w:t>
      </w:r>
      <w:r>
        <w:t>than</w:t>
      </w:r>
      <w:r w:rsidR="00BF059B">
        <w:t xml:space="preserve"> </w:t>
      </w:r>
      <w:r>
        <w:t>the</w:t>
      </w:r>
      <w:r w:rsidR="00BF059B">
        <w:t xml:space="preserve"> </w:t>
      </w:r>
      <w:r>
        <w:t>previous</w:t>
      </w:r>
      <w:r w:rsidR="00BF059B">
        <w:t xml:space="preserve"> </w:t>
      </w:r>
      <w:r>
        <w:t>provider</w:t>
      </w:r>
      <w:r w:rsidR="00BF059B">
        <w:t xml:space="preserve"> </w:t>
      </w:r>
      <w:r>
        <w:t>and</w:t>
      </w:r>
      <w:r w:rsidR="00BF059B">
        <w:t xml:space="preserve"> </w:t>
      </w:r>
      <w:r>
        <w:t>that</w:t>
      </w:r>
      <w:r w:rsidR="00BF059B">
        <w:t xml:space="preserve"> </w:t>
      </w:r>
      <w:r>
        <w:t>some</w:t>
      </w:r>
      <w:r w:rsidR="00BF059B">
        <w:t xml:space="preserve"> </w:t>
      </w:r>
      <w:r>
        <w:t>metrics</w:t>
      </w:r>
      <w:r w:rsidR="00BF059B">
        <w:t xml:space="preserve"> </w:t>
      </w:r>
      <w:r>
        <w:t>are</w:t>
      </w:r>
      <w:r w:rsidR="00BF059B">
        <w:t xml:space="preserve"> </w:t>
      </w:r>
      <w:r>
        <w:t>measured</w:t>
      </w:r>
      <w:r w:rsidR="00BF059B">
        <w:t xml:space="preserve"> </w:t>
      </w:r>
      <w:r>
        <w:t>differently,</w:t>
      </w:r>
      <w:r w:rsidR="00BF059B">
        <w:t xml:space="preserve"> </w:t>
      </w:r>
      <w:r>
        <w:t>making</w:t>
      </w:r>
      <w:r w:rsidR="00BF059B">
        <w:t xml:space="preserve"> </w:t>
      </w:r>
      <w:r>
        <w:t>it</w:t>
      </w:r>
      <w:r w:rsidR="00BF059B">
        <w:t xml:space="preserve"> </w:t>
      </w:r>
      <w:r>
        <w:t>hard</w:t>
      </w:r>
      <w:r w:rsidR="00BF059B">
        <w:t xml:space="preserve"> </w:t>
      </w:r>
      <w:r>
        <w:t>to</w:t>
      </w:r>
      <w:r w:rsidR="00BF059B">
        <w:t xml:space="preserve"> </w:t>
      </w:r>
      <w:r>
        <w:t>precisely</w:t>
      </w:r>
      <w:r w:rsidR="00BF059B">
        <w:t xml:space="preserve"> </w:t>
      </w:r>
      <w:r>
        <w:t>compare</w:t>
      </w:r>
      <w:r w:rsidR="00BF059B">
        <w:t xml:space="preserve"> </w:t>
      </w:r>
      <w:r>
        <w:t>with</w:t>
      </w:r>
      <w:r w:rsidR="00BF059B">
        <w:t xml:space="preserve"> </w:t>
      </w:r>
      <w:r>
        <w:t>previous</w:t>
      </w:r>
      <w:r w:rsidR="00BF059B">
        <w:t xml:space="preserve"> </w:t>
      </w:r>
      <w:r>
        <w:t>years.</w:t>
      </w:r>
      <w:r w:rsidR="00BF059B">
        <w:t xml:space="preserve"> </w:t>
      </w:r>
    </w:p>
    <w:p w14:paraId="4A6FA0BB" w14:textId="525EF129" w:rsidR="00BE13A8" w:rsidRDefault="00BE13A8">
      <w:pPr>
        <w:jc w:val="both"/>
      </w:pPr>
    </w:p>
    <w:p w14:paraId="3775F103" w14:textId="3CE9EDD2" w:rsidR="00BE13A8" w:rsidRDefault="00D70530">
      <w:pPr>
        <w:jc w:val="both"/>
      </w:pPr>
      <w:r>
        <w:t>The</w:t>
      </w:r>
      <w:r w:rsidR="00BF059B">
        <w:t xml:space="preserve"> </w:t>
      </w:r>
      <w:r>
        <w:t>new</w:t>
      </w:r>
      <w:r w:rsidR="00BF059B">
        <w:t xml:space="preserve"> </w:t>
      </w:r>
      <w:r>
        <w:t>platform</w:t>
      </w:r>
      <w:r w:rsidR="00BF059B">
        <w:t xml:space="preserve"> </w:t>
      </w:r>
      <w:r>
        <w:t>also</w:t>
      </w:r>
      <w:r w:rsidR="00BF059B">
        <w:t xml:space="preserve"> </w:t>
      </w:r>
      <w:r>
        <w:t>provides</w:t>
      </w:r>
      <w:r w:rsidR="00BF059B">
        <w:t xml:space="preserve"> </w:t>
      </w:r>
      <w:r>
        <w:t>additional</w:t>
      </w:r>
      <w:r w:rsidR="00BF059B">
        <w:t xml:space="preserve"> </w:t>
      </w:r>
      <w:r>
        <w:t>functionality</w:t>
      </w:r>
      <w:r w:rsidR="00BF059B">
        <w:t xml:space="preserve"> </w:t>
      </w:r>
      <w:r>
        <w:t>in</w:t>
      </w:r>
      <w:r w:rsidR="00BF059B">
        <w:t xml:space="preserve"> </w:t>
      </w:r>
      <w:r>
        <w:t>monitoring</w:t>
      </w:r>
      <w:r w:rsidR="00BF059B">
        <w:t xml:space="preserve"> </w:t>
      </w:r>
      <w:r>
        <w:t>and</w:t>
      </w:r>
      <w:r w:rsidR="00BF059B">
        <w:t xml:space="preserve"> </w:t>
      </w:r>
      <w:r>
        <w:t>reporting</w:t>
      </w:r>
      <w:r w:rsidR="00BF059B">
        <w:t xml:space="preserve"> </w:t>
      </w:r>
      <w:r>
        <w:t>and</w:t>
      </w:r>
      <w:r w:rsidR="00BF059B">
        <w:t xml:space="preserve"> </w:t>
      </w:r>
      <w:r>
        <w:t>the</w:t>
      </w:r>
      <w:r w:rsidR="00BF059B">
        <w:t xml:space="preserve"> </w:t>
      </w:r>
      <w:r>
        <w:t>Press</w:t>
      </w:r>
      <w:r w:rsidR="00BF059B">
        <w:t xml:space="preserve"> </w:t>
      </w:r>
      <w:r>
        <w:t>Office</w:t>
      </w:r>
      <w:r w:rsidR="00BF059B">
        <w:t xml:space="preserve"> </w:t>
      </w:r>
      <w:r>
        <w:t>is</w:t>
      </w:r>
      <w:r w:rsidR="00BF059B">
        <w:t xml:space="preserve"> </w:t>
      </w:r>
      <w:r>
        <w:t>working</w:t>
      </w:r>
      <w:r w:rsidR="00BF059B">
        <w:t xml:space="preserve"> </w:t>
      </w:r>
      <w:r>
        <w:t>with</w:t>
      </w:r>
      <w:r w:rsidR="00BF059B">
        <w:t xml:space="preserve"> </w:t>
      </w:r>
      <w:r>
        <w:t>other</w:t>
      </w:r>
      <w:r w:rsidR="00BF059B">
        <w:t xml:space="preserve"> </w:t>
      </w:r>
      <w:r>
        <w:t>teams</w:t>
      </w:r>
      <w:r w:rsidR="00BF059B">
        <w:t xml:space="preserve"> </w:t>
      </w:r>
      <w:r>
        <w:t>to</w:t>
      </w:r>
      <w:r w:rsidR="00BF059B">
        <w:t xml:space="preserve"> </w:t>
      </w:r>
      <w:r>
        <w:t>explore</w:t>
      </w:r>
      <w:r w:rsidR="00BF059B">
        <w:t xml:space="preserve"> </w:t>
      </w:r>
      <w:r>
        <w:t>potential</w:t>
      </w:r>
      <w:r w:rsidR="00BF059B">
        <w:t xml:space="preserve"> </w:t>
      </w:r>
      <w:r>
        <w:t>wider</w:t>
      </w:r>
      <w:r w:rsidR="00BF059B">
        <w:t xml:space="preserve"> </w:t>
      </w:r>
      <w:r>
        <w:t>use</w:t>
      </w:r>
      <w:r w:rsidR="00BF059B">
        <w:t xml:space="preserve"> </w:t>
      </w:r>
      <w:r>
        <w:t>of</w:t>
      </w:r>
      <w:r w:rsidR="00BF059B">
        <w:t xml:space="preserve"> </w:t>
      </w:r>
      <w:r>
        <w:t>the</w:t>
      </w:r>
      <w:r w:rsidR="00BF059B">
        <w:t xml:space="preserve"> </w:t>
      </w:r>
      <w:r>
        <w:t>platform</w:t>
      </w:r>
      <w:r w:rsidR="00BF059B">
        <w:t xml:space="preserve"> </w:t>
      </w:r>
      <w:r>
        <w:t>across</w:t>
      </w:r>
      <w:r w:rsidR="00BF059B">
        <w:t xml:space="preserve"> </w:t>
      </w:r>
      <w:r>
        <w:t>digital</w:t>
      </w:r>
      <w:r w:rsidR="00BF059B">
        <w:t xml:space="preserve"> </w:t>
      </w:r>
      <w:r>
        <w:t>and</w:t>
      </w:r>
      <w:r w:rsidR="00BF059B">
        <w:t xml:space="preserve"> </w:t>
      </w:r>
      <w:r>
        <w:t>fundraising.</w:t>
      </w:r>
      <w:r w:rsidR="00BF059B">
        <w:t xml:space="preserve">  </w:t>
      </w:r>
    </w:p>
    <w:p w14:paraId="42ABDA14" w14:textId="35603306" w:rsidR="00BE13A8" w:rsidRDefault="00BF059B">
      <w:pPr>
        <w:jc w:val="both"/>
      </w:pPr>
      <w:r>
        <w:t xml:space="preserve">  </w:t>
      </w:r>
    </w:p>
    <w:p w14:paraId="55DA10E0" w14:textId="3DF2F122" w:rsidR="00BE13A8" w:rsidRDefault="00D70530">
      <w:pPr>
        <w:jc w:val="both"/>
      </w:pPr>
      <w:r>
        <w:t>Media</w:t>
      </w:r>
      <w:r w:rsidR="00BF059B">
        <w:t xml:space="preserve"> </w:t>
      </w:r>
      <w:r>
        <w:t>interest</w:t>
      </w:r>
      <w:r w:rsidR="00BF059B">
        <w:t xml:space="preserve"> </w:t>
      </w:r>
      <w:r>
        <w:t>in</w:t>
      </w:r>
      <w:r w:rsidR="00BF059B">
        <w:t xml:space="preserve"> </w:t>
      </w:r>
      <w:r>
        <w:t>repatriation</w:t>
      </w:r>
      <w:r w:rsidR="00BF059B">
        <w:t xml:space="preserve"> </w:t>
      </w:r>
      <w:r>
        <w:t>across</w:t>
      </w:r>
      <w:r w:rsidR="00BF059B">
        <w:t xml:space="preserve"> </w:t>
      </w:r>
      <w:r>
        <w:t>the</w:t>
      </w:r>
      <w:r w:rsidR="00BF059B">
        <w:t xml:space="preserve"> </w:t>
      </w:r>
      <w:r>
        <w:t>sector</w:t>
      </w:r>
      <w:r w:rsidR="00BF059B">
        <w:t xml:space="preserve"> </w:t>
      </w:r>
      <w:r>
        <w:t>remained</w:t>
      </w:r>
      <w:r w:rsidR="00BF059B">
        <w:t xml:space="preserve"> </w:t>
      </w:r>
      <w:r>
        <w:t>high,</w:t>
      </w:r>
      <w:r w:rsidR="00BF059B">
        <w:t xml:space="preserve"> </w:t>
      </w:r>
      <w:r>
        <w:t>resulting</w:t>
      </w:r>
      <w:r w:rsidR="00BF059B">
        <w:t xml:space="preserve"> </w:t>
      </w:r>
      <w:r>
        <w:t>in</w:t>
      </w:r>
      <w:r w:rsidR="00BF059B">
        <w:t xml:space="preserve"> </w:t>
      </w:r>
      <w:r>
        <w:t>continued</w:t>
      </w:r>
      <w:r w:rsidR="00BF059B">
        <w:t xml:space="preserve"> </w:t>
      </w:r>
      <w:r>
        <w:t>interest</w:t>
      </w:r>
      <w:r w:rsidR="00BF059B">
        <w:t xml:space="preserve"> </w:t>
      </w:r>
      <w:r>
        <w:t>in,</w:t>
      </w:r>
      <w:r w:rsidR="00BF059B">
        <w:t xml:space="preserve"> </w:t>
      </w:r>
      <w:r>
        <w:t>and</w:t>
      </w:r>
      <w:r w:rsidR="00BF059B">
        <w:t xml:space="preserve"> </w:t>
      </w:r>
      <w:r>
        <w:t>mentions</w:t>
      </w:r>
      <w:r w:rsidR="00BF059B">
        <w:t xml:space="preserve"> </w:t>
      </w:r>
      <w:r>
        <w:t>of,</w:t>
      </w:r>
      <w:r w:rsidR="00BF059B">
        <w:t xml:space="preserve"> </w:t>
      </w:r>
      <w:r>
        <w:t>the</w:t>
      </w:r>
      <w:r w:rsidR="00BF059B">
        <w:t xml:space="preserve"> </w:t>
      </w:r>
      <w:r>
        <w:t>Benin</w:t>
      </w:r>
      <w:r w:rsidR="00BF059B">
        <w:t xml:space="preserve"> </w:t>
      </w:r>
      <w:r>
        <w:t>transfer</w:t>
      </w:r>
      <w:r w:rsidR="00BF059B">
        <w:t xml:space="preserve"> </w:t>
      </w:r>
      <w:r>
        <w:t>of</w:t>
      </w:r>
      <w:r w:rsidR="00BF059B">
        <w:t xml:space="preserve"> </w:t>
      </w:r>
      <w:r>
        <w:t>ownership,</w:t>
      </w:r>
      <w:r w:rsidR="00BF059B">
        <w:t xml:space="preserve"> </w:t>
      </w:r>
      <w:r>
        <w:t>with</w:t>
      </w:r>
      <w:r w:rsidR="00BF059B">
        <w:t xml:space="preserve"> </w:t>
      </w:r>
      <w:r>
        <w:t>references</w:t>
      </w:r>
      <w:r w:rsidR="00BF059B">
        <w:t xml:space="preserve"> </w:t>
      </w:r>
      <w:r>
        <w:t>to</w:t>
      </w:r>
      <w:r w:rsidR="00BF059B">
        <w:t xml:space="preserve"> </w:t>
      </w:r>
      <w:r>
        <w:t>the</w:t>
      </w:r>
      <w:r w:rsidR="00BF059B">
        <w:t xml:space="preserve"> </w:t>
      </w:r>
      <w:r>
        <w:t>Horniman</w:t>
      </w:r>
      <w:r w:rsidR="00BF059B">
        <w:t xml:space="preserve"> </w:t>
      </w:r>
      <w:r>
        <w:t>in</w:t>
      </w:r>
      <w:r w:rsidR="00BF059B">
        <w:t xml:space="preserve"> </w:t>
      </w:r>
      <w:r>
        <w:t>broader</w:t>
      </w:r>
      <w:r w:rsidR="00BF059B">
        <w:t xml:space="preserve"> </w:t>
      </w:r>
      <w:r>
        <w:t>pieces</w:t>
      </w:r>
      <w:r w:rsidR="00BF059B">
        <w:t xml:space="preserve"> </w:t>
      </w:r>
      <w:r>
        <w:t>about</w:t>
      </w:r>
      <w:r w:rsidR="00BF059B">
        <w:t xml:space="preserve"> </w:t>
      </w:r>
      <w:r>
        <w:t>repatriation</w:t>
      </w:r>
      <w:r w:rsidR="00BF059B">
        <w:t xml:space="preserve"> </w:t>
      </w:r>
      <w:r>
        <w:t>including</w:t>
      </w:r>
      <w:r w:rsidR="00BF059B">
        <w:t xml:space="preserve"> </w:t>
      </w:r>
      <w:r>
        <w:t>The</w:t>
      </w:r>
      <w:r w:rsidR="00BF059B">
        <w:t xml:space="preserve"> </w:t>
      </w:r>
      <w:r>
        <w:t>Sunday</w:t>
      </w:r>
      <w:r w:rsidR="00BF059B">
        <w:t xml:space="preserve"> </w:t>
      </w:r>
      <w:r>
        <w:t>Telegraph,</w:t>
      </w:r>
      <w:r w:rsidR="00BF059B">
        <w:t xml:space="preserve"> </w:t>
      </w:r>
      <w:r>
        <w:t>The</w:t>
      </w:r>
      <w:r w:rsidR="00BF059B">
        <w:t xml:space="preserve"> </w:t>
      </w:r>
      <w:r>
        <w:t>Observer,</w:t>
      </w:r>
      <w:r w:rsidR="00BF059B">
        <w:t xml:space="preserve"> </w:t>
      </w:r>
      <w:r>
        <w:t>The</w:t>
      </w:r>
      <w:r w:rsidR="00BF059B">
        <w:t xml:space="preserve"> </w:t>
      </w:r>
      <w:r>
        <w:t>Art</w:t>
      </w:r>
      <w:r w:rsidR="00BF059B">
        <w:t xml:space="preserve"> </w:t>
      </w:r>
      <w:r>
        <w:t>Newspaper,</w:t>
      </w:r>
      <w:r w:rsidR="00BF059B">
        <w:t xml:space="preserve"> </w:t>
      </w:r>
      <w:r>
        <w:t>The</w:t>
      </w:r>
      <w:r w:rsidR="00BF059B">
        <w:t xml:space="preserve"> </w:t>
      </w:r>
      <w:r>
        <w:t>Daily</w:t>
      </w:r>
      <w:r w:rsidR="00BF059B">
        <w:t xml:space="preserve"> </w:t>
      </w:r>
      <w:r>
        <w:t>Mail</w:t>
      </w:r>
      <w:r w:rsidR="00BF059B">
        <w:t xml:space="preserve"> </w:t>
      </w:r>
      <w:r>
        <w:t>and</w:t>
      </w:r>
      <w:r w:rsidR="00BF059B">
        <w:t xml:space="preserve"> </w:t>
      </w:r>
      <w:r>
        <w:t>LBC</w:t>
      </w:r>
      <w:r w:rsidR="00BF059B">
        <w:t xml:space="preserve"> </w:t>
      </w:r>
      <w:r>
        <w:t>Radio.</w:t>
      </w:r>
    </w:p>
    <w:p w14:paraId="29C63286" w14:textId="5674FA62" w:rsidR="00BE13A8" w:rsidRDefault="00BE13A8">
      <w:pPr>
        <w:jc w:val="both"/>
      </w:pPr>
    </w:p>
    <w:p w14:paraId="338D0DA8" w14:textId="6C6FB1E9" w:rsidR="00BE13A8" w:rsidRDefault="00D70530">
      <w:pPr>
        <w:jc w:val="both"/>
      </w:pPr>
      <w:r>
        <w:t>Preparation</w:t>
      </w:r>
      <w:r w:rsidR="00BF059B">
        <w:t xml:space="preserve"> </w:t>
      </w:r>
      <w:r>
        <w:t>of</w:t>
      </w:r>
      <w:r w:rsidR="00BF059B">
        <w:t xml:space="preserve"> </w:t>
      </w:r>
      <w:r>
        <w:t>the</w:t>
      </w:r>
      <w:r w:rsidR="00BF059B">
        <w:t xml:space="preserve"> </w:t>
      </w:r>
      <w:r>
        <w:t>Warumungu</w:t>
      </w:r>
      <w:r w:rsidR="00BF059B">
        <w:t xml:space="preserve"> </w:t>
      </w:r>
      <w:r>
        <w:t>return</w:t>
      </w:r>
      <w:r w:rsidR="00BF059B">
        <w:t xml:space="preserve"> </w:t>
      </w:r>
      <w:r>
        <w:t>announcement</w:t>
      </w:r>
      <w:r w:rsidR="00BF059B">
        <w:t xml:space="preserve"> </w:t>
      </w:r>
      <w:r>
        <w:t>and</w:t>
      </w:r>
      <w:r w:rsidR="00BF059B">
        <w:t xml:space="preserve"> </w:t>
      </w:r>
      <w:r>
        <w:t>ceremony</w:t>
      </w:r>
      <w:r w:rsidR="00BF059B">
        <w:t xml:space="preserve"> </w:t>
      </w:r>
      <w:r>
        <w:t>was</w:t>
      </w:r>
      <w:r w:rsidR="00BF059B">
        <w:t xml:space="preserve"> </w:t>
      </w:r>
      <w:r>
        <w:t>undertaken</w:t>
      </w:r>
      <w:r w:rsidR="00BF059B">
        <w:t xml:space="preserve"> </w:t>
      </w:r>
      <w:r>
        <w:t>by</w:t>
      </w:r>
      <w:r w:rsidR="00BF059B">
        <w:t xml:space="preserve"> </w:t>
      </w:r>
      <w:r>
        <w:t>the</w:t>
      </w:r>
      <w:r w:rsidR="00BF059B">
        <w:t xml:space="preserve"> </w:t>
      </w:r>
      <w:r>
        <w:t>Press</w:t>
      </w:r>
      <w:r w:rsidR="00BF059B">
        <w:t xml:space="preserve"> </w:t>
      </w:r>
      <w:r>
        <w:t>Office</w:t>
      </w:r>
      <w:r w:rsidR="00BF059B">
        <w:t xml:space="preserve"> </w:t>
      </w:r>
      <w:r>
        <w:t>in</w:t>
      </w:r>
      <w:r w:rsidR="00BF059B">
        <w:t xml:space="preserve"> </w:t>
      </w:r>
      <w:r>
        <w:t>Q2.</w:t>
      </w:r>
      <w:r w:rsidR="00BF059B">
        <w:t xml:space="preserve"> </w:t>
      </w:r>
      <w:r>
        <w:t>Subsequent</w:t>
      </w:r>
      <w:r w:rsidR="00BF059B">
        <w:t xml:space="preserve"> </w:t>
      </w:r>
      <w:r>
        <w:t>coverage</w:t>
      </w:r>
      <w:r w:rsidR="00BF059B">
        <w:t xml:space="preserve"> </w:t>
      </w:r>
      <w:r>
        <w:t>included</w:t>
      </w:r>
      <w:r w:rsidR="00BF059B">
        <w:t xml:space="preserve"> </w:t>
      </w:r>
      <w:r>
        <w:t>an</w:t>
      </w:r>
      <w:r w:rsidR="00BF059B">
        <w:t xml:space="preserve"> </w:t>
      </w:r>
      <w:r>
        <w:t>article</w:t>
      </w:r>
      <w:r w:rsidR="00BF059B">
        <w:t xml:space="preserve"> </w:t>
      </w:r>
      <w:r>
        <w:t>in</w:t>
      </w:r>
      <w:r w:rsidR="00BF059B">
        <w:t xml:space="preserve"> </w:t>
      </w:r>
      <w:r>
        <w:t>Australian</w:t>
      </w:r>
      <w:r w:rsidR="00BF059B">
        <w:t xml:space="preserve"> </w:t>
      </w:r>
      <w:r>
        <w:t>Associated</w:t>
      </w:r>
      <w:r w:rsidR="00BF059B">
        <w:t xml:space="preserve"> </w:t>
      </w:r>
      <w:r>
        <w:t>Press</w:t>
      </w:r>
      <w:r w:rsidR="00BF059B">
        <w:t xml:space="preserve"> </w:t>
      </w:r>
      <w:r>
        <w:t>which</w:t>
      </w:r>
      <w:r w:rsidR="00BF059B">
        <w:t xml:space="preserve"> </w:t>
      </w:r>
      <w:r>
        <w:t>was</w:t>
      </w:r>
      <w:r w:rsidR="00BF059B">
        <w:t xml:space="preserve"> </w:t>
      </w:r>
      <w:r>
        <w:t>syndicated</w:t>
      </w:r>
      <w:r w:rsidR="00BF059B">
        <w:t xml:space="preserve"> </w:t>
      </w:r>
      <w:r>
        <w:t>in</w:t>
      </w:r>
      <w:r w:rsidR="00BF059B">
        <w:t xml:space="preserve"> </w:t>
      </w:r>
      <w:r>
        <w:t>The</w:t>
      </w:r>
      <w:r w:rsidR="00BF059B">
        <w:t xml:space="preserve"> </w:t>
      </w:r>
      <w:r>
        <w:t>Daily</w:t>
      </w:r>
      <w:r w:rsidR="00BF059B">
        <w:t xml:space="preserve"> </w:t>
      </w:r>
      <w:r>
        <w:t>Mail</w:t>
      </w:r>
      <w:r w:rsidR="00BF059B">
        <w:t xml:space="preserve"> </w:t>
      </w:r>
      <w:r>
        <w:t>Online</w:t>
      </w:r>
      <w:r w:rsidR="00BF059B">
        <w:t xml:space="preserve"> </w:t>
      </w:r>
      <w:r>
        <w:t>plus</w:t>
      </w:r>
      <w:r w:rsidR="00BF059B">
        <w:t xml:space="preserve"> </w:t>
      </w:r>
      <w:r>
        <w:t>numerous</w:t>
      </w:r>
      <w:r w:rsidR="00BF059B">
        <w:t xml:space="preserve"> </w:t>
      </w:r>
      <w:r>
        <w:t>regional</w:t>
      </w:r>
      <w:r w:rsidR="00BF059B">
        <w:t xml:space="preserve"> </w:t>
      </w:r>
      <w:r>
        <w:t>Australian</w:t>
      </w:r>
      <w:r w:rsidR="00BF059B">
        <w:t xml:space="preserve"> </w:t>
      </w:r>
      <w:r>
        <w:t>publications,</w:t>
      </w:r>
      <w:r w:rsidR="00BF059B">
        <w:t xml:space="preserve"> </w:t>
      </w:r>
      <w:r>
        <w:t>with</w:t>
      </w:r>
      <w:r w:rsidR="00BF059B">
        <w:t xml:space="preserve"> </w:t>
      </w:r>
      <w:r>
        <w:t>news</w:t>
      </w:r>
      <w:r w:rsidR="00BF059B">
        <w:t xml:space="preserve"> </w:t>
      </w:r>
      <w:r>
        <w:t>stories</w:t>
      </w:r>
      <w:r w:rsidR="00BF059B">
        <w:t xml:space="preserve"> </w:t>
      </w:r>
      <w:r>
        <w:t>also</w:t>
      </w:r>
      <w:r w:rsidR="00BF059B">
        <w:t xml:space="preserve"> </w:t>
      </w:r>
      <w:r>
        <w:t>in</w:t>
      </w:r>
      <w:r w:rsidR="00BF059B">
        <w:t xml:space="preserve"> </w:t>
      </w:r>
      <w:r>
        <w:t>Museums</w:t>
      </w:r>
      <w:r w:rsidR="00BF059B">
        <w:t xml:space="preserve"> </w:t>
      </w:r>
      <w:r>
        <w:t>Journal,</w:t>
      </w:r>
      <w:r w:rsidR="00BF059B">
        <w:t xml:space="preserve"> </w:t>
      </w:r>
      <w:r>
        <w:t>M</w:t>
      </w:r>
      <w:r w:rsidR="00BF059B">
        <w:t xml:space="preserve"> </w:t>
      </w:r>
      <w:r>
        <w:t>+</w:t>
      </w:r>
      <w:r w:rsidR="00BF059B">
        <w:t xml:space="preserve"> </w:t>
      </w:r>
      <w:r>
        <w:t>H</w:t>
      </w:r>
      <w:r w:rsidR="00BF059B">
        <w:t xml:space="preserve"> </w:t>
      </w:r>
      <w:r>
        <w:t>Advisor</w:t>
      </w:r>
      <w:r w:rsidR="00BF059B">
        <w:t xml:space="preserve"> </w:t>
      </w:r>
      <w:r>
        <w:t>and</w:t>
      </w:r>
      <w:r w:rsidR="00BF059B">
        <w:t xml:space="preserve"> </w:t>
      </w:r>
      <w:r>
        <w:t>Arts</w:t>
      </w:r>
      <w:r w:rsidR="00BF059B">
        <w:t xml:space="preserve"> </w:t>
      </w:r>
      <w:r>
        <w:t>Professional.</w:t>
      </w:r>
      <w:r w:rsidR="00BF059B">
        <w:t xml:space="preserve"> </w:t>
      </w:r>
      <w:r>
        <w:t>Coverage</w:t>
      </w:r>
      <w:r w:rsidR="00BF059B">
        <w:t xml:space="preserve"> </w:t>
      </w:r>
      <w:r>
        <w:t>had</w:t>
      </w:r>
      <w:r w:rsidR="00BF059B">
        <w:t xml:space="preserve"> </w:t>
      </w:r>
      <w:r>
        <w:t>a</w:t>
      </w:r>
      <w:r w:rsidR="00BF059B">
        <w:t xml:space="preserve"> </w:t>
      </w:r>
      <w:r>
        <w:t>potential</w:t>
      </w:r>
      <w:r w:rsidR="00BF059B">
        <w:t xml:space="preserve"> </w:t>
      </w:r>
      <w:r>
        <w:t>audience</w:t>
      </w:r>
      <w:r w:rsidR="00BF059B">
        <w:t xml:space="preserve"> </w:t>
      </w:r>
      <w:r>
        <w:t>reach</w:t>
      </w:r>
      <w:r w:rsidR="00BF059B">
        <w:t xml:space="preserve"> </w:t>
      </w:r>
      <w:r>
        <w:t>of</w:t>
      </w:r>
      <w:r w:rsidR="00BF059B">
        <w:t xml:space="preserve"> </w:t>
      </w:r>
      <w:r>
        <w:t>278,857,190</w:t>
      </w:r>
      <w:r w:rsidR="00BF059B">
        <w:t xml:space="preserve"> </w:t>
      </w:r>
      <w:r>
        <w:t>and</w:t>
      </w:r>
      <w:r w:rsidR="00BF059B">
        <w:t xml:space="preserve"> </w:t>
      </w:r>
      <w:r>
        <w:t>an</w:t>
      </w:r>
      <w:r w:rsidR="00BF059B">
        <w:t xml:space="preserve"> </w:t>
      </w:r>
      <w:r>
        <w:t>AVE</w:t>
      </w:r>
      <w:r w:rsidR="00BF059B">
        <w:t xml:space="preserve"> </w:t>
      </w:r>
      <w:r>
        <w:t>of</w:t>
      </w:r>
      <w:r w:rsidR="00BF059B">
        <w:t xml:space="preserve"> </w:t>
      </w:r>
      <w:r>
        <w:t>£802,212.</w:t>
      </w:r>
    </w:p>
    <w:p w14:paraId="4551AABE" w14:textId="4DF31A54" w:rsidR="00BE13A8" w:rsidRDefault="00BE13A8">
      <w:pPr>
        <w:jc w:val="both"/>
      </w:pPr>
    </w:p>
    <w:p w14:paraId="69100427" w14:textId="59D7BCC7" w:rsidR="00BE13A8" w:rsidRDefault="00D70530">
      <w:pPr>
        <w:jc w:val="both"/>
      </w:pPr>
      <w:r>
        <w:t>Key</w:t>
      </w:r>
      <w:r w:rsidR="00BF059B">
        <w:t xml:space="preserve"> </w:t>
      </w:r>
      <w:r>
        <w:t>coverage</w:t>
      </w:r>
      <w:r w:rsidR="00BF059B">
        <w:t xml:space="preserve"> </w:t>
      </w:r>
      <w:r>
        <w:t>and</w:t>
      </w:r>
      <w:r w:rsidR="00BF059B">
        <w:t xml:space="preserve"> </w:t>
      </w:r>
      <w:r>
        <w:t>activity:</w:t>
      </w:r>
      <w:r w:rsidR="00BF059B">
        <w:t xml:space="preserve">  </w:t>
      </w:r>
    </w:p>
    <w:p w14:paraId="267C30CC" w14:textId="4CDE9C2E" w:rsidR="00BE13A8" w:rsidRDefault="00BE13A8">
      <w:pPr>
        <w:jc w:val="both"/>
      </w:pPr>
    </w:p>
    <w:p w14:paraId="0568D9C8" w14:textId="6BD945B2" w:rsidR="00BE13A8" w:rsidRDefault="00D70530" w:rsidP="00C81FD1">
      <w:pPr>
        <w:numPr>
          <w:ilvl w:val="0"/>
          <w:numId w:val="12"/>
        </w:numPr>
        <w:ind w:left="426"/>
        <w:jc w:val="both"/>
      </w:pPr>
      <w:r>
        <w:t>The</w:t>
      </w:r>
      <w:r w:rsidR="00BF059B">
        <w:t xml:space="preserve"> </w:t>
      </w:r>
      <w:r>
        <w:t>appointment</w:t>
      </w:r>
      <w:r w:rsidR="00BF059B">
        <w:t xml:space="preserve"> </w:t>
      </w:r>
      <w:r>
        <w:t>of</w:t>
      </w:r>
      <w:r w:rsidR="00BF059B">
        <w:t xml:space="preserve"> </w:t>
      </w:r>
      <w:r>
        <w:t>Gordon</w:t>
      </w:r>
      <w:r w:rsidR="00BF059B">
        <w:t xml:space="preserve"> </w:t>
      </w:r>
      <w:r>
        <w:t>Seabright</w:t>
      </w:r>
      <w:r w:rsidR="00BF059B">
        <w:t xml:space="preserve"> </w:t>
      </w:r>
      <w:r>
        <w:t>as</w:t>
      </w:r>
      <w:r w:rsidR="00BF059B">
        <w:t xml:space="preserve"> </w:t>
      </w:r>
      <w:r>
        <w:t>Chief</w:t>
      </w:r>
      <w:r w:rsidR="00BF059B">
        <w:t xml:space="preserve"> </w:t>
      </w:r>
      <w:r>
        <w:t>Executive</w:t>
      </w:r>
      <w:r w:rsidR="00BF059B">
        <w:t xml:space="preserve"> </w:t>
      </w:r>
      <w:r>
        <w:t>was</w:t>
      </w:r>
      <w:r w:rsidR="00BF059B">
        <w:t xml:space="preserve"> </w:t>
      </w:r>
      <w:r>
        <w:t>reported</w:t>
      </w:r>
      <w:r w:rsidR="00BF059B">
        <w:t xml:space="preserve"> </w:t>
      </w:r>
      <w:r>
        <w:t>by</w:t>
      </w:r>
      <w:r w:rsidR="00BF059B">
        <w:t xml:space="preserve"> </w:t>
      </w:r>
      <w:r>
        <w:t>Museums</w:t>
      </w:r>
      <w:r w:rsidR="00BF059B">
        <w:t xml:space="preserve"> </w:t>
      </w:r>
      <w:r>
        <w:t>Journal,</w:t>
      </w:r>
      <w:r w:rsidR="00BF059B">
        <w:t xml:space="preserve"> </w:t>
      </w:r>
      <w:r>
        <w:t>Arts</w:t>
      </w:r>
      <w:r w:rsidR="00BF059B">
        <w:t xml:space="preserve"> </w:t>
      </w:r>
      <w:r>
        <w:t>Professional,</w:t>
      </w:r>
      <w:r w:rsidR="00BF059B">
        <w:t xml:space="preserve"> </w:t>
      </w:r>
      <w:r>
        <w:t>Civil</w:t>
      </w:r>
      <w:r w:rsidR="00BF059B">
        <w:t xml:space="preserve"> </w:t>
      </w:r>
      <w:r>
        <w:t>Society,</w:t>
      </w:r>
      <w:r w:rsidR="00BF059B">
        <w:t xml:space="preserve"> </w:t>
      </w:r>
      <w:r>
        <w:t>Civil</w:t>
      </w:r>
      <w:r w:rsidR="00BF059B">
        <w:t xml:space="preserve"> </w:t>
      </w:r>
      <w:r>
        <w:t>Service</w:t>
      </w:r>
      <w:r w:rsidR="00BF059B">
        <w:t xml:space="preserve"> </w:t>
      </w:r>
      <w:r>
        <w:t>World,</w:t>
      </w:r>
      <w:r w:rsidR="00BF059B">
        <w:t xml:space="preserve"> </w:t>
      </w:r>
      <w:proofErr w:type="spellStart"/>
      <w:r>
        <w:t>Blooloop</w:t>
      </w:r>
      <w:proofErr w:type="spellEnd"/>
      <w:r>
        <w:t>,</w:t>
      </w:r>
      <w:r w:rsidR="00BF059B">
        <w:t xml:space="preserve"> </w:t>
      </w:r>
      <w:r>
        <w:t>Third</w:t>
      </w:r>
      <w:r w:rsidR="00BF059B">
        <w:t xml:space="preserve"> </w:t>
      </w:r>
      <w:r>
        <w:t>Sector</w:t>
      </w:r>
      <w:r w:rsidR="00BF059B">
        <w:t xml:space="preserve"> </w:t>
      </w:r>
      <w:r>
        <w:t>and</w:t>
      </w:r>
      <w:r w:rsidR="00BF059B">
        <w:t xml:space="preserve"> </w:t>
      </w:r>
      <w:r>
        <w:t>Fundraising</w:t>
      </w:r>
      <w:r w:rsidR="00BF059B">
        <w:t xml:space="preserve"> </w:t>
      </w:r>
      <w:r>
        <w:t>UK,</w:t>
      </w:r>
      <w:r w:rsidR="00BF059B">
        <w:t xml:space="preserve"> </w:t>
      </w:r>
      <w:r>
        <w:t>who</w:t>
      </w:r>
      <w:r w:rsidR="00BF059B">
        <w:t xml:space="preserve"> </w:t>
      </w:r>
      <w:r>
        <w:t>also</w:t>
      </w:r>
      <w:r w:rsidR="00BF059B">
        <w:t xml:space="preserve"> </w:t>
      </w:r>
      <w:r>
        <w:t>reported</w:t>
      </w:r>
      <w:r w:rsidR="00BF059B">
        <w:t xml:space="preserve"> </w:t>
      </w:r>
      <w:r>
        <w:t>on</w:t>
      </w:r>
      <w:r w:rsidR="00BF059B">
        <w:t xml:space="preserve"> </w:t>
      </w:r>
      <w:r>
        <w:t>the</w:t>
      </w:r>
      <w:r w:rsidR="00BF059B">
        <w:t xml:space="preserve"> </w:t>
      </w:r>
      <w:r>
        <w:t>appointment</w:t>
      </w:r>
      <w:r w:rsidR="00BF059B">
        <w:t xml:space="preserve"> </w:t>
      </w:r>
      <w:r>
        <w:t>of</w:t>
      </w:r>
      <w:r w:rsidR="00BF059B">
        <w:t xml:space="preserve"> </w:t>
      </w:r>
      <w:r>
        <w:t>Michelle</w:t>
      </w:r>
      <w:r w:rsidR="00BF059B">
        <w:t xml:space="preserve"> </w:t>
      </w:r>
      <w:r>
        <w:t>Edward</w:t>
      </w:r>
      <w:r w:rsidR="00BF059B">
        <w:t xml:space="preserve"> </w:t>
      </w:r>
      <w:r>
        <w:t>as</w:t>
      </w:r>
      <w:r w:rsidR="00BF059B">
        <w:t xml:space="preserve"> </w:t>
      </w:r>
      <w:r>
        <w:t>Director</w:t>
      </w:r>
      <w:r w:rsidR="00BF059B">
        <w:t xml:space="preserve"> </w:t>
      </w:r>
      <w:r>
        <w:t>of</w:t>
      </w:r>
      <w:r w:rsidR="00BF059B">
        <w:t xml:space="preserve"> </w:t>
      </w:r>
      <w:r>
        <w:t>Finance</w:t>
      </w:r>
      <w:r w:rsidR="00BF059B">
        <w:t xml:space="preserve"> </w:t>
      </w:r>
      <w:r>
        <w:t>and</w:t>
      </w:r>
      <w:r w:rsidR="00BF059B">
        <w:t xml:space="preserve"> </w:t>
      </w:r>
      <w:r>
        <w:t>Corporate</w:t>
      </w:r>
      <w:r w:rsidR="00BF059B">
        <w:t xml:space="preserve"> </w:t>
      </w:r>
      <w:r>
        <w:t>Services.</w:t>
      </w:r>
      <w:r w:rsidR="00BF059B">
        <w:t xml:space="preserve"> </w:t>
      </w:r>
      <w:r>
        <w:t>The</w:t>
      </w:r>
      <w:r w:rsidR="00BF059B">
        <w:t xml:space="preserve"> </w:t>
      </w:r>
      <w:r>
        <w:t>appointments</w:t>
      </w:r>
      <w:r w:rsidR="00BF059B">
        <w:t xml:space="preserve"> </w:t>
      </w:r>
      <w:r>
        <w:t>of</w:t>
      </w:r>
      <w:r w:rsidR="00BF059B">
        <w:t xml:space="preserve"> </w:t>
      </w:r>
      <w:r>
        <w:t>Annie</w:t>
      </w:r>
      <w:r w:rsidR="00BF059B">
        <w:t xml:space="preserve"> </w:t>
      </w:r>
      <w:r>
        <w:t>Duffield</w:t>
      </w:r>
      <w:r w:rsidR="00BF059B">
        <w:t xml:space="preserve"> </w:t>
      </w:r>
      <w:r>
        <w:t>as</w:t>
      </w:r>
      <w:r w:rsidR="00BF059B">
        <w:t xml:space="preserve"> </w:t>
      </w:r>
      <w:r>
        <w:t>Director</w:t>
      </w:r>
      <w:r w:rsidR="00BF059B">
        <w:t xml:space="preserve"> </w:t>
      </w:r>
      <w:r>
        <w:t>of</w:t>
      </w:r>
      <w:r w:rsidR="00BF059B">
        <w:t xml:space="preserve"> </w:t>
      </w:r>
      <w:r>
        <w:t>Audiences</w:t>
      </w:r>
      <w:r w:rsidR="00BF059B">
        <w:t xml:space="preserve"> </w:t>
      </w:r>
      <w:r>
        <w:t>and</w:t>
      </w:r>
      <w:r w:rsidR="00BF059B">
        <w:t xml:space="preserve"> </w:t>
      </w:r>
      <w:r>
        <w:t>Income,</w:t>
      </w:r>
      <w:r w:rsidR="00BF059B">
        <w:t xml:space="preserve"> </w:t>
      </w:r>
      <w:r>
        <w:t>and</w:t>
      </w:r>
      <w:r w:rsidR="00BF059B">
        <w:t xml:space="preserve"> </w:t>
      </w:r>
      <w:r>
        <w:t>Peronel</w:t>
      </w:r>
      <w:r w:rsidR="00BF059B">
        <w:t xml:space="preserve"> </w:t>
      </w:r>
      <w:r>
        <w:t>Craddock</w:t>
      </w:r>
      <w:r w:rsidR="00BF059B">
        <w:t xml:space="preserve"> </w:t>
      </w:r>
      <w:r>
        <w:t>as</w:t>
      </w:r>
      <w:r w:rsidR="00BF059B">
        <w:t xml:space="preserve"> </w:t>
      </w:r>
      <w:r>
        <w:t>Director</w:t>
      </w:r>
      <w:r w:rsidR="00BF059B">
        <w:t xml:space="preserve"> </w:t>
      </w:r>
      <w:r>
        <w:t>of</w:t>
      </w:r>
      <w:r w:rsidR="00BF059B">
        <w:t xml:space="preserve"> </w:t>
      </w:r>
      <w:r>
        <w:t>Content</w:t>
      </w:r>
      <w:r w:rsidR="00BF059B">
        <w:t xml:space="preserve"> </w:t>
      </w:r>
      <w:r>
        <w:t>were</w:t>
      </w:r>
      <w:r w:rsidR="00BF059B">
        <w:t xml:space="preserve"> </w:t>
      </w:r>
      <w:r>
        <w:t>reported</w:t>
      </w:r>
      <w:r w:rsidR="00BF059B">
        <w:t xml:space="preserve"> </w:t>
      </w:r>
      <w:r>
        <w:t>by</w:t>
      </w:r>
      <w:r w:rsidR="00BF059B">
        <w:t xml:space="preserve"> </w:t>
      </w:r>
      <w:r>
        <w:t>Museums</w:t>
      </w:r>
      <w:r w:rsidR="00BF059B">
        <w:t xml:space="preserve"> </w:t>
      </w:r>
      <w:r>
        <w:t>Journal.</w:t>
      </w:r>
      <w:r w:rsidR="00BF059B">
        <w:t xml:space="preserve">  </w:t>
      </w:r>
    </w:p>
    <w:p w14:paraId="22776EB4" w14:textId="0E340385" w:rsidR="00BE13A8" w:rsidRDefault="00D70530" w:rsidP="00C81FD1">
      <w:pPr>
        <w:numPr>
          <w:ilvl w:val="0"/>
          <w:numId w:val="13"/>
        </w:numPr>
        <w:ind w:left="426"/>
        <w:jc w:val="both"/>
      </w:pPr>
      <w:r>
        <w:t>The</w:t>
      </w:r>
      <w:r w:rsidR="00BF059B">
        <w:t xml:space="preserve"> </w:t>
      </w:r>
      <w:r>
        <w:t>groundbreaking</w:t>
      </w:r>
      <w:r w:rsidR="00BF059B">
        <w:t xml:space="preserve"> </w:t>
      </w:r>
      <w:r>
        <w:t>work</w:t>
      </w:r>
      <w:r w:rsidR="00BF059B">
        <w:t xml:space="preserve"> </w:t>
      </w:r>
      <w:r>
        <w:t>of</w:t>
      </w:r>
      <w:r w:rsidR="00BF059B">
        <w:t xml:space="preserve"> </w:t>
      </w:r>
      <w:r>
        <w:t>Project</w:t>
      </w:r>
      <w:r w:rsidR="00BF059B">
        <w:t xml:space="preserve"> </w:t>
      </w:r>
      <w:r>
        <w:t>Coral</w:t>
      </w:r>
      <w:r w:rsidR="00BF059B">
        <w:t xml:space="preserve"> </w:t>
      </w:r>
      <w:r>
        <w:t>continued</w:t>
      </w:r>
      <w:r w:rsidR="00BF059B">
        <w:t xml:space="preserve"> </w:t>
      </w:r>
      <w:r>
        <w:t>to</w:t>
      </w:r>
      <w:r w:rsidR="00BF059B">
        <w:t xml:space="preserve"> </w:t>
      </w:r>
      <w:r>
        <w:t>be</w:t>
      </w:r>
      <w:r w:rsidR="00BF059B">
        <w:t xml:space="preserve"> </w:t>
      </w:r>
      <w:r>
        <w:t>recognised</w:t>
      </w:r>
      <w:r w:rsidR="00BF059B">
        <w:t xml:space="preserve"> </w:t>
      </w:r>
      <w:r>
        <w:t>in</w:t>
      </w:r>
      <w:r w:rsidR="00BF059B">
        <w:t xml:space="preserve"> </w:t>
      </w:r>
      <w:r>
        <w:t>the</w:t>
      </w:r>
      <w:r w:rsidR="00BF059B">
        <w:t xml:space="preserve"> </w:t>
      </w:r>
      <w:r>
        <w:t>media:</w:t>
      </w:r>
      <w:r w:rsidR="00BF059B">
        <w:t xml:space="preserve"> </w:t>
      </w:r>
    </w:p>
    <w:p w14:paraId="5ADEA6D6" w14:textId="14D7576F" w:rsidR="00BE13A8" w:rsidRDefault="00D70530" w:rsidP="00C81FD1">
      <w:pPr>
        <w:numPr>
          <w:ilvl w:val="0"/>
          <w:numId w:val="14"/>
        </w:numPr>
        <w:ind w:left="426"/>
        <w:jc w:val="both"/>
      </w:pPr>
      <w:r>
        <w:t>A</w:t>
      </w:r>
      <w:r w:rsidR="00BF059B">
        <w:t xml:space="preserve"> </w:t>
      </w:r>
      <w:r>
        <w:t>four-page</w:t>
      </w:r>
      <w:r w:rsidR="00BF059B">
        <w:t xml:space="preserve"> </w:t>
      </w:r>
      <w:r>
        <w:t>profile</w:t>
      </w:r>
      <w:r w:rsidR="00BF059B">
        <w:t xml:space="preserve"> </w:t>
      </w:r>
      <w:r>
        <w:t>interview</w:t>
      </w:r>
      <w:r w:rsidR="00BF059B">
        <w:t xml:space="preserve"> </w:t>
      </w:r>
      <w:r>
        <w:t>in</w:t>
      </w:r>
      <w:r w:rsidR="00BF059B">
        <w:t xml:space="preserve"> </w:t>
      </w:r>
      <w:r>
        <w:t>the</w:t>
      </w:r>
      <w:r w:rsidR="00BF059B">
        <w:t xml:space="preserve"> </w:t>
      </w:r>
      <w:r>
        <w:t>Telegraph</w:t>
      </w:r>
      <w:r w:rsidR="00BF059B">
        <w:t xml:space="preserve"> </w:t>
      </w:r>
      <w:r>
        <w:t>Magazine</w:t>
      </w:r>
      <w:r w:rsidR="00BF059B">
        <w:t xml:space="preserve"> </w:t>
      </w:r>
      <w:r>
        <w:t>in</w:t>
      </w:r>
      <w:r w:rsidR="00BF059B">
        <w:t xml:space="preserve"> </w:t>
      </w:r>
      <w:r>
        <w:t>January</w:t>
      </w:r>
      <w:r w:rsidR="00BF059B">
        <w:t xml:space="preserve"> </w:t>
      </w:r>
      <w:r>
        <w:t>saw</w:t>
      </w:r>
      <w:r w:rsidR="00BF059B">
        <w:t xml:space="preserve"> </w:t>
      </w:r>
      <w:r>
        <w:t>Principal</w:t>
      </w:r>
      <w:r w:rsidR="00BF059B">
        <w:t xml:space="preserve"> </w:t>
      </w:r>
      <w:r>
        <w:t>Curator</w:t>
      </w:r>
      <w:r w:rsidR="00BF059B">
        <w:t xml:space="preserve"> </w:t>
      </w:r>
      <w:r>
        <w:t>Aquarium</w:t>
      </w:r>
      <w:r w:rsidR="00BF059B">
        <w:t xml:space="preserve"> </w:t>
      </w:r>
      <w:r>
        <w:t>and</w:t>
      </w:r>
      <w:r w:rsidR="00BF059B">
        <w:t xml:space="preserve"> </w:t>
      </w:r>
      <w:r>
        <w:t>Living</w:t>
      </w:r>
      <w:r w:rsidR="00BF059B">
        <w:t xml:space="preserve"> </w:t>
      </w:r>
      <w:r>
        <w:t>Collections</w:t>
      </w:r>
      <w:r w:rsidR="00BF059B">
        <w:t xml:space="preserve"> </w:t>
      </w:r>
      <w:r>
        <w:t>Jamie</w:t>
      </w:r>
      <w:r w:rsidR="00BF059B">
        <w:t xml:space="preserve"> </w:t>
      </w:r>
      <w:r>
        <w:t>Craggs</w:t>
      </w:r>
      <w:r w:rsidR="00BF059B">
        <w:t xml:space="preserve"> </w:t>
      </w:r>
      <w:r>
        <w:t>talk</w:t>
      </w:r>
      <w:r w:rsidR="00BF059B">
        <w:t xml:space="preserve"> </w:t>
      </w:r>
      <w:r>
        <w:t>about</w:t>
      </w:r>
      <w:r w:rsidR="00BF059B">
        <w:t xml:space="preserve"> </w:t>
      </w:r>
      <w:r>
        <w:t>the</w:t>
      </w:r>
      <w:r w:rsidR="00BF059B">
        <w:t xml:space="preserve"> </w:t>
      </w:r>
      <w:r>
        <w:t>groundbreaking</w:t>
      </w:r>
      <w:r w:rsidR="00BF059B">
        <w:t xml:space="preserve"> </w:t>
      </w:r>
      <w:r>
        <w:t>work</w:t>
      </w:r>
      <w:r w:rsidR="00BF059B">
        <w:t xml:space="preserve"> </w:t>
      </w:r>
      <w:r>
        <w:t>of</w:t>
      </w:r>
      <w:r w:rsidR="00BF059B">
        <w:t xml:space="preserve"> </w:t>
      </w:r>
      <w:r>
        <w:t>Project</w:t>
      </w:r>
      <w:r w:rsidR="00BF059B">
        <w:t xml:space="preserve"> </w:t>
      </w:r>
      <w:r>
        <w:t>Coral</w:t>
      </w:r>
      <w:r w:rsidR="00BF059B">
        <w:t xml:space="preserve"> </w:t>
      </w:r>
      <w:r>
        <w:t>alongside</w:t>
      </w:r>
      <w:r w:rsidR="00BF059B">
        <w:t xml:space="preserve"> </w:t>
      </w:r>
      <w:r>
        <w:t>photos</w:t>
      </w:r>
      <w:r w:rsidR="00BF059B">
        <w:t xml:space="preserve"> </w:t>
      </w:r>
      <w:r>
        <w:t>of</w:t>
      </w:r>
      <w:r w:rsidR="00BF059B">
        <w:t xml:space="preserve"> </w:t>
      </w:r>
      <w:r>
        <w:t>coral</w:t>
      </w:r>
      <w:r w:rsidR="00BF059B">
        <w:t xml:space="preserve"> </w:t>
      </w:r>
      <w:r>
        <w:t>spawning</w:t>
      </w:r>
      <w:r w:rsidR="00BF059B">
        <w:t xml:space="preserve"> </w:t>
      </w:r>
      <w:r>
        <w:t>onsite</w:t>
      </w:r>
      <w:r w:rsidR="00BF059B">
        <w:t xml:space="preserve"> </w:t>
      </w:r>
      <w:r>
        <w:t>in</w:t>
      </w:r>
      <w:r w:rsidR="00BF059B">
        <w:t xml:space="preserve"> </w:t>
      </w:r>
      <w:r>
        <w:t>November</w:t>
      </w:r>
      <w:r w:rsidR="00BF059B">
        <w:t xml:space="preserve"> </w:t>
      </w:r>
      <w:r>
        <w:t>2024.</w:t>
      </w:r>
      <w:r w:rsidR="00BF059B">
        <w:t xml:space="preserve"> </w:t>
      </w:r>
      <w:r>
        <w:t>Interviewer</w:t>
      </w:r>
      <w:r w:rsidR="00BF059B">
        <w:t xml:space="preserve"> </w:t>
      </w:r>
      <w:r>
        <w:t>Martin</w:t>
      </w:r>
      <w:r w:rsidR="00BF059B">
        <w:t xml:space="preserve"> </w:t>
      </w:r>
      <w:r>
        <w:t>Fletcher</w:t>
      </w:r>
      <w:r w:rsidR="00BF059B">
        <w:t xml:space="preserve"> </w:t>
      </w:r>
      <w:r>
        <w:t>wrote:</w:t>
      </w:r>
      <w:r w:rsidR="00BF059B">
        <w:t xml:space="preserve"> </w:t>
      </w:r>
      <w:r>
        <w:t>‘If</w:t>
      </w:r>
      <w:r w:rsidR="00BF059B">
        <w:t xml:space="preserve"> </w:t>
      </w:r>
      <w:r>
        <w:t>there</w:t>
      </w:r>
      <w:r w:rsidR="00BF059B">
        <w:t xml:space="preserve"> </w:t>
      </w:r>
      <w:r>
        <w:t>is</w:t>
      </w:r>
      <w:r w:rsidR="00BF059B">
        <w:t xml:space="preserve"> </w:t>
      </w:r>
      <w:r>
        <w:t>any</w:t>
      </w:r>
      <w:r w:rsidR="00BF059B">
        <w:t xml:space="preserve"> </w:t>
      </w:r>
      <w:r>
        <w:t>hope</w:t>
      </w:r>
      <w:r w:rsidR="00BF059B">
        <w:t xml:space="preserve"> </w:t>
      </w:r>
      <w:r>
        <w:t>of</w:t>
      </w:r>
      <w:r w:rsidR="00BF059B">
        <w:t xml:space="preserve"> </w:t>
      </w:r>
      <w:r>
        <w:t>saving</w:t>
      </w:r>
      <w:r w:rsidR="00BF059B">
        <w:t xml:space="preserve"> </w:t>
      </w:r>
      <w:r>
        <w:t>the</w:t>
      </w:r>
      <w:r w:rsidR="00BF059B">
        <w:t xml:space="preserve"> </w:t>
      </w:r>
      <w:r>
        <w:t>world’s</w:t>
      </w:r>
      <w:r w:rsidR="00BF059B">
        <w:t xml:space="preserve"> </w:t>
      </w:r>
      <w:r>
        <w:t>beleaguered</w:t>
      </w:r>
      <w:r w:rsidR="00BF059B">
        <w:t xml:space="preserve"> </w:t>
      </w:r>
      <w:r>
        <w:t>coral</w:t>
      </w:r>
      <w:r w:rsidR="00BF059B">
        <w:t xml:space="preserve"> </w:t>
      </w:r>
      <w:r>
        <w:t>reefs</w:t>
      </w:r>
      <w:r w:rsidR="00BF059B">
        <w:t xml:space="preserve"> </w:t>
      </w:r>
      <w:r>
        <w:t>it</w:t>
      </w:r>
      <w:r w:rsidR="00BF059B">
        <w:t xml:space="preserve"> </w:t>
      </w:r>
      <w:r>
        <w:t>emanates</w:t>
      </w:r>
      <w:r w:rsidR="00BF059B">
        <w:t xml:space="preserve"> </w:t>
      </w:r>
      <w:r>
        <w:t>-</w:t>
      </w:r>
      <w:r w:rsidR="00BF059B">
        <w:t xml:space="preserve"> </w:t>
      </w:r>
      <w:r>
        <w:t>to</w:t>
      </w:r>
      <w:r w:rsidR="00BF059B">
        <w:t xml:space="preserve"> </w:t>
      </w:r>
      <w:r>
        <w:t>a</w:t>
      </w:r>
      <w:r w:rsidR="00BF059B">
        <w:t xml:space="preserve"> </w:t>
      </w:r>
      <w:r>
        <w:t>surprisingly</w:t>
      </w:r>
      <w:r w:rsidR="00BF059B">
        <w:t xml:space="preserve"> </w:t>
      </w:r>
      <w:r>
        <w:t>large</w:t>
      </w:r>
      <w:r w:rsidR="00BF059B">
        <w:t xml:space="preserve"> </w:t>
      </w:r>
      <w:r>
        <w:t>extent</w:t>
      </w:r>
      <w:r w:rsidR="00BF059B">
        <w:t xml:space="preserve"> </w:t>
      </w:r>
      <w:r>
        <w:t>-</w:t>
      </w:r>
      <w:r w:rsidR="00BF059B">
        <w:t xml:space="preserve"> </w:t>
      </w:r>
      <w:r>
        <w:t>from</w:t>
      </w:r>
      <w:r w:rsidR="00BF059B">
        <w:t xml:space="preserve"> </w:t>
      </w:r>
      <w:r>
        <w:t>the</w:t>
      </w:r>
      <w:r w:rsidR="00BF059B">
        <w:t xml:space="preserve"> </w:t>
      </w:r>
      <w:r>
        <w:t>pioneering</w:t>
      </w:r>
      <w:r w:rsidR="00BF059B">
        <w:t xml:space="preserve"> </w:t>
      </w:r>
      <w:r>
        <w:t>work</w:t>
      </w:r>
      <w:r w:rsidR="00BF059B">
        <w:t xml:space="preserve"> </w:t>
      </w:r>
      <w:r>
        <w:t>being</w:t>
      </w:r>
      <w:r w:rsidR="00BF059B">
        <w:t xml:space="preserve"> </w:t>
      </w:r>
      <w:r>
        <w:t>carried</w:t>
      </w:r>
      <w:r w:rsidR="00BF059B">
        <w:t xml:space="preserve"> </w:t>
      </w:r>
      <w:r>
        <w:t>out</w:t>
      </w:r>
      <w:r w:rsidR="00BF059B">
        <w:t xml:space="preserve"> </w:t>
      </w:r>
      <w:r>
        <w:t>here</w:t>
      </w:r>
      <w:r w:rsidR="00BF059B">
        <w:t xml:space="preserve"> </w:t>
      </w:r>
      <w:r>
        <w:t>in</w:t>
      </w:r>
      <w:r w:rsidR="00BF059B">
        <w:t xml:space="preserve"> </w:t>
      </w:r>
      <w:r>
        <w:t>the</w:t>
      </w:r>
      <w:r w:rsidR="00BF059B">
        <w:t xml:space="preserve"> </w:t>
      </w:r>
      <w:r>
        <w:t>unlikely</w:t>
      </w:r>
      <w:r w:rsidR="00BF059B">
        <w:t xml:space="preserve"> </w:t>
      </w:r>
      <w:r>
        <w:t>confines</w:t>
      </w:r>
      <w:r w:rsidR="00BF059B">
        <w:t xml:space="preserve"> </w:t>
      </w:r>
      <w:r>
        <w:t>of</w:t>
      </w:r>
      <w:r w:rsidR="00BF059B">
        <w:t xml:space="preserve"> </w:t>
      </w:r>
      <w:r>
        <w:t>a</w:t>
      </w:r>
      <w:r w:rsidR="00BF059B">
        <w:t xml:space="preserve"> </w:t>
      </w:r>
      <w:r>
        <w:t>tiny</w:t>
      </w:r>
      <w:r w:rsidR="00BF059B">
        <w:t xml:space="preserve"> </w:t>
      </w:r>
      <w:r>
        <w:t>basement</w:t>
      </w:r>
      <w:r w:rsidR="00BF059B">
        <w:t xml:space="preserve"> </w:t>
      </w:r>
      <w:r>
        <w:t>aquarium</w:t>
      </w:r>
      <w:r w:rsidR="00BF059B">
        <w:t xml:space="preserve"> </w:t>
      </w:r>
      <w:r>
        <w:t>in</w:t>
      </w:r>
      <w:r w:rsidR="00BF059B">
        <w:t xml:space="preserve"> </w:t>
      </w:r>
      <w:r>
        <w:t>the</w:t>
      </w:r>
      <w:r w:rsidR="00BF059B">
        <w:t xml:space="preserve"> </w:t>
      </w:r>
      <w:r>
        <w:t>Horniman</w:t>
      </w:r>
      <w:r w:rsidR="00BF059B">
        <w:t xml:space="preserve"> </w:t>
      </w:r>
      <w:r>
        <w:t>Museum’.</w:t>
      </w:r>
      <w:r w:rsidR="00BF059B">
        <w:t xml:space="preserve">  </w:t>
      </w:r>
    </w:p>
    <w:p w14:paraId="2AB34978" w14:textId="04F51081" w:rsidR="00BE13A8" w:rsidRDefault="00D70530" w:rsidP="00C81FD1">
      <w:pPr>
        <w:numPr>
          <w:ilvl w:val="0"/>
          <w:numId w:val="15"/>
        </w:numPr>
        <w:ind w:left="426"/>
        <w:jc w:val="both"/>
      </w:pPr>
      <w:r>
        <w:t>Project</w:t>
      </w:r>
      <w:r w:rsidR="00BF059B">
        <w:t xml:space="preserve"> </w:t>
      </w:r>
      <w:r>
        <w:t>Coral’s</w:t>
      </w:r>
      <w:r w:rsidR="00BF059B">
        <w:t xml:space="preserve"> </w:t>
      </w:r>
      <w:r>
        <w:t>first</w:t>
      </w:r>
      <w:r w:rsidR="00BF059B">
        <w:t xml:space="preserve"> </w:t>
      </w:r>
      <w:r>
        <w:t>UK</w:t>
      </w:r>
      <w:r w:rsidR="00BF059B">
        <w:t xml:space="preserve"> </w:t>
      </w:r>
      <w:r>
        <w:t>ex-situ</w:t>
      </w:r>
      <w:r w:rsidR="00BF059B">
        <w:t xml:space="preserve"> </w:t>
      </w:r>
      <w:r>
        <w:t>reproduction</w:t>
      </w:r>
      <w:r w:rsidR="00BF059B">
        <w:t xml:space="preserve"> </w:t>
      </w:r>
      <w:r>
        <w:t>of</w:t>
      </w:r>
      <w:r w:rsidR="00BF059B">
        <w:t xml:space="preserve"> </w:t>
      </w:r>
      <w:r>
        <w:t>Pink</w:t>
      </w:r>
      <w:r w:rsidR="00BF059B">
        <w:t xml:space="preserve"> </w:t>
      </w:r>
      <w:r>
        <w:t>Sea</w:t>
      </w:r>
      <w:r w:rsidR="00BF059B">
        <w:t xml:space="preserve"> </w:t>
      </w:r>
      <w:r>
        <w:t>Fan</w:t>
      </w:r>
      <w:r w:rsidR="00BF059B">
        <w:t xml:space="preserve"> </w:t>
      </w:r>
      <w:r>
        <w:t>corals</w:t>
      </w:r>
      <w:r w:rsidR="00BF059B">
        <w:t xml:space="preserve"> </w:t>
      </w:r>
      <w:r>
        <w:t>was</w:t>
      </w:r>
      <w:r w:rsidR="00BF059B">
        <w:t xml:space="preserve"> </w:t>
      </w:r>
      <w:r>
        <w:t>reported</w:t>
      </w:r>
      <w:r w:rsidR="00BF059B">
        <w:t xml:space="preserve"> </w:t>
      </w:r>
      <w:r>
        <w:t>in</w:t>
      </w:r>
      <w:r w:rsidR="00BF059B">
        <w:t xml:space="preserve"> </w:t>
      </w:r>
      <w:r>
        <w:t>First</w:t>
      </w:r>
      <w:r w:rsidR="00BF059B">
        <w:t xml:space="preserve"> </w:t>
      </w:r>
      <w:r>
        <w:t>News,</w:t>
      </w:r>
      <w:r w:rsidR="00BF059B">
        <w:t xml:space="preserve"> </w:t>
      </w:r>
      <w:r>
        <w:t>Diver</w:t>
      </w:r>
      <w:r w:rsidR="00BF059B">
        <w:t xml:space="preserve"> </w:t>
      </w:r>
      <w:r>
        <w:t>Magazine,</w:t>
      </w:r>
      <w:r w:rsidR="00BF059B">
        <w:t xml:space="preserve"> </w:t>
      </w:r>
      <w:r>
        <w:t>Fish</w:t>
      </w:r>
      <w:r w:rsidR="00BF059B">
        <w:t xml:space="preserve"> </w:t>
      </w:r>
      <w:r>
        <w:t>Focus,</w:t>
      </w:r>
      <w:r w:rsidR="00BF059B">
        <w:t xml:space="preserve"> </w:t>
      </w:r>
      <w:r>
        <w:t>phys.org,</w:t>
      </w:r>
      <w:r w:rsidR="00BF059B">
        <w:t xml:space="preserve"> </w:t>
      </w:r>
      <w:r>
        <w:t>msn.com,</w:t>
      </w:r>
      <w:r w:rsidR="00BF059B">
        <w:t xml:space="preserve"> </w:t>
      </w:r>
      <w:r>
        <w:t>Mirage</w:t>
      </w:r>
      <w:r w:rsidR="00BF059B">
        <w:t xml:space="preserve"> </w:t>
      </w:r>
      <w:r>
        <w:t>News</w:t>
      </w:r>
      <w:r w:rsidR="00BF059B">
        <w:t xml:space="preserve"> </w:t>
      </w:r>
      <w:r>
        <w:t>and</w:t>
      </w:r>
      <w:r w:rsidR="00BF059B">
        <w:t xml:space="preserve"> </w:t>
      </w:r>
      <w:r>
        <w:t>on</w:t>
      </w:r>
      <w:r w:rsidR="00BF059B">
        <w:t xml:space="preserve"> </w:t>
      </w:r>
      <w:r>
        <w:t>the</w:t>
      </w:r>
      <w:r w:rsidR="00BF059B">
        <w:t xml:space="preserve"> </w:t>
      </w:r>
      <w:r>
        <w:t>University</w:t>
      </w:r>
      <w:r w:rsidR="00BF059B">
        <w:t xml:space="preserve"> </w:t>
      </w:r>
      <w:r>
        <w:t>of</w:t>
      </w:r>
      <w:r w:rsidR="00BF059B">
        <w:t xml:space="preserve"> </w:t>
      </w:r>
      <w:r>
        <w:t>Exeter</w:t>
      </w:r>
      <w:r w:rsidR="00BF059B">
        <w:t xml:space="preserve"> </w:t>
      </w:r>
      <w:proofErr w:type="gramStart"/>
      <w:r>
        <w:t>website;</w:t>
      </w:r>
      <w:proofErr w:type="gramEnd"/>
      <w:r w:rsidR="00BF059B">
        <w:t xml:space="preserve">  </w:t>
      </w:r>
    </w:p>
    <w:p w14:paraId="3B163F62" w14:textId="08191BC6" w:rsidR="00BE13A8" w:rsidRDefault="00D70530" w:rsidP="00C81FD1">
      <w:pPr>
        <w:numPr>
          <w:ilvl w:val="0"/>
          <w:numId w:val="16"/>
        </w:numPr>
        <w:ind w:left="426"/>
        <w:jc w:val="both"/>
      </w:pPr>
      <w:r>
        <w:t>Jamie</w:t>
      </w:r>
      <w:r w:rsidR="00BF059B">
        <w:t xml:space="preserve"> </w:t>
      </w:r>
      <w:r>
        <w:t>Craggs’</w:t>
      </w:r>
      <w:r w:rsidR="00BF059B">
        <w:t xml:space="preserve"> </w:t>
      </w:r>
      <w:r>
        <w:t>co-authorship</w:t>
      </w:r>
      <w:r w:rsidR="00BF059B">
        <w:t xml:space="preserve"> </w:t>
      </w:r>
      <w:r>
        <w:t>of</w:t>
      </w:r>
      <w:r w:rsidR="00BF059B">
        <w:t xml:space="preserve"> </w:t>
      </w:r>
      <w:r>
        <w:t>a</w:t>
      </w:r>
      <w:r w:rsidR="00BF059B">
        <w:t xml:space="preserve"> </w:t>
      </w:r>
      <w:r>
        <w:t>research</w:t>
      </w:r>
      <w:r w:rsidR="00BF059B">
        <w:t xml:space="preserve"> </w:t>
      </w:r>
      <w:r>
        <w:t>paper</w:t>
      </w:r>
      <w:r w:rsidR="00BF059B">
        <w:t xml:space="preserve"> </w:t>
      </w:r>
      <w:r>
        <w:t>on</w:t>
      </w:r>
      <w:r w:rsidR="00BF059B">
        <w:t xml:space="preserve"> </w:t>
      </w:r>
      <w:r>
        <w:t>selective</w:t>
      </w:r>
      <w:r w:rsidR="00BF059B">
        <w:t xml:space="preserve"> </w:t>
      </w:r>
      <w:r>
        <w:t>breeding</w:t>
      </w:r>
      <w:r w:rsidR="00BF059B">
        <w:t xml:space="preserve"> </w:t>
      </w:r>
      <w:r>
        <w:t>of</w:t>
      </w:r>
      <w:r w:rsidR="00BF059B">
        <w:t xml:space="preserve"> </w:t>
      </w:r>
      <w:r>
        <w:t>corals</w:t>
      </w:r>
      <w:r w:rsidR="00BF059B">
        <w:t xml:space="preserve"> </w:t>
      </w:r>
      <w:r>
        <w:t>for</w:t>
      </w:r>
      <w:r w:rsidR="00BF059B">
        <w:t xml:space="preserve"> </w:t>
      </w:r>
      <w:r>
        <w:t>heat</w:t>
      </w:r>
      <w:r w:rsidR="00BF059B">
        <w:t xml:space="preserve"> </w:t>
      </w:r>
      <w:r>
        <w:t>tolerance</w:t>
      </w:r>
      <w:r w:rsidR="00BF059B">
        <w:t xml:space="preserve"> </w:t>
      </w:r>
      <w:r>
        <w:t>was</w:t>
      </w:r>
      <w:r w:rsidR="00BF059B">
        <w:t xml:space="preserve"> </w:t>
      </w:r>
      <w:r>
        <w:t>covered</w:t>
      </w:r>
      <w:r w:rsidR="00BF059B">
        <w:t xml:space="preserve"> </w:t>
      </w:r>
      <w:r>
        <w:t>by</w:t>
      </w:r>
      <w:r w:rsidR="00BF059B">
        <w:t xml:space="preserve"> </w:t>
      </w:r>
      <w:r>
        <w:t>Nature.com,</w:t>
      </w:r>
      <w:r w:rsidR="00BF059B">
        <w:t xml:space="preserve"> </w:t>
      </w:r>
      <w:r>
        <w:t>The</w:t>
      </w:r>
      <w:r w:rsidR="00BF059B">
        <w:t xml:space="preserve"> </w:t>
      </w:r>
      <w:r>
        <w:t>Microbiologist</w:t>
      </w:r>
      <w:r w:rsidR="00BF059B">
        <w:t xml:space="preserve"> </w:t>
      </w:r>
      <w:r>
        <w:t>and</w:t>
      </w:r>
      <w:r w:rsidR="00BF059B">
        <w:t xml:space="preserve"> </w:t>
      </w:r>
      <w:r>
        <w:t>Technology</w:t>
      </w:r>
      <w:r w:rsidR="00BF059B">
        <w:t xml:space="preserve"> </w:t>
      </w:r>
      <w:r>
        <w:t>Networks</w:t>
      </w:r>
      <w:r w:rsidR="00BF059B">
        <w:t xml:space="preserve">  </w:t>
      </w:r>
    </w:p>
    <w:p w14:paraId="5F8A74AE" w14:textId="317D20E6" w:rsidR="00BE13A8" w:rsidRDefault="00D70530" w:rsidP="00C81FD1">
      <w:pPr>
        <w:numPr>
          <w:ilvl w:val="0"/>
          <w:numId w:val="17"/>
        </w:numPr>
        <w:ind w:left="426"/>
        <w:jc w:val="both"/>
      </w:pPr>
      <w:r>
        <w:t>The</w:t>
      </w:r>
      <w:r w:rsidR="00BF059B">
        <w:t xml:space="preserve"> </w:t>
      </w:r>
      <w:r>
        <w:t>Horniman’s</w:t>
      </w:r>
      <w:r w:rsidR="00BF059B">
        <w:t xml:space="preserve"> </w:t>
      </w:r>
      <w:r>
        <w:t>continued</w:t>
      </w:r>
      <w:r w:rsidR="00BF059B">
        <w:t xml:space="preserve"> </w:t>
      </w:r>
      <w:r>
        <w:t>work</w:t>
      </w:r>
      <w:r w:rsidR="00BF059B">
        <w:t xml:space="preserve"> </w:t>
      </w:r>
      <w:r>
        <w:t>around</w:t>
      </w:r>
      <w:r w:rsidR="00BF059B">
        <w:t xml:space="preserve"> </w:t>
      </w:r>
      <w:r>
        <w:t>its</w:t>
      </w:r>
      <w:r w:rsidR="00BF059B">
        <w:t xml:space="preserve"> </w:t>
      </w:r>
      <w:r>
        <w:rPr>
          <w:b/>
        </w:rPr>
        <w:t>collections</w:t>
      </w:r>
      <w:r w:rsidR="00BF059B">
        <w:t xml:space="preserve"> </w:t>
      </w:r>
      <w:r>
        <w:t>was</w:t>
      </w:r>
      <w:r w:rsidR="00BF059B">
        <w:t xml:space="preserve"> </w:t>
      </w:r>
      <w:r>
        <w:t>reported</w:t>
      </w:r>
      <w:r w:rsidR="00BF059B">
        <w:t xml:space="preserve"> </w:t>
      </w:r>
      <w:r>
        <w:t>widely</w:t>
      </w:r>
      <w:r w:rsidR="00BF059B">
        <w:t xml:space="preserve"> </w:t>
      </w:r>
    </w:p>
    <w:p w14:paraId="5DAB2E7F" w14:textId="124EB550" w:rsidR="00BE13A8" w:rsidRDefault="00D70530" w:rsidP="00C81FD1">
      <w:pPr>
        <w:numPr>
          <w:ilvl w:val="0"/>
          <w:numId w:val="18"/>
        </w:numPr>
        <w:ind w:left="426"/>
        <w:jc w:val="both"/>
      </w:pPr>
      <w:r>
        <w:t>Vogue</w:t>
      </w:r>
      <w:r w:rsidR="00BF059B">
        <w:t xml:space="preserve"> </w:t>
      </w:r>
      <w:r>
        <w:t>said</w:t>
      </w:r>
      <w:r w:rsidR="00BF059B">
        <w:t xml:space="preserve"> </w:t>
      </w:r>
      <w:r>
        <w:t>of</w:t>
      </w:r>
      <w:r w:rsidR="00BF059B">
        <w:t xml:space="preserve"> </w:t>
      </w:r>
      <w:r>
        <w:t>the</w:t>
      </w:r>
      <w:r w:rsidR="00BF059B">
        <w:t xml:space="preserve"> </w:t>
      </w:r>
      <w:r>
        <w:t>Horniman:</w:t>
      </w:r>
      <w:r w:rsidR="00BF059B">
        <w:t xml:space="preserve"> </w:t>
      </w:r>
      <w:r>
        <w:t>‘…it</w:t>
      </w:r>
      <w:r w:rsidR="00BF059B">
        <w:t xml:space="preserve"> </w:t>
      </w:r>
      <w:r>
        <w:t>hosts</w:t>
      </w:r>
      <w:r w:rsidR="00BF059B">
        <w:t xml:space="preserve"> </w:t>
      </w:r>
      <w:r>
        <w:t>thoughtful,</w:t>
      </w:r>
      <w:r w:rsidR="00BF059B">
        <w:t xml:space="preserve"> </w:t>
      </w:r>
      <w:r>
        <w:t>forward-thinking</w:t>
      </w:r>
      <w:r w:rsidR="00BF059B">
        <w:t xml:space="preserve"> </w:t>
      </w:r>
      <w:r>
        <w:t>exhibitions</w:t>
      </w:r>
      <w:r w:rsidR="00BF059B">
        <w:t xml:space="preserve"> </w:t>
      </w:r>
      <w:r>
        <w:t>(one</w:t>
      </w:r>
      <w:r w:rsidR="00BF059B">
        <w:t xml:space="preserve"> </w:t>
      </w:r>
      <w:r>
        <w:t>[Out</w:t>
      </w:r>
      <w:r w:rsidR="00BF059B">
        <w:t xml:space="preserve"> </w:t>
      </w:r>
      <w:r>
        <w:t>of</w:t>
      </w:r>
      <w:r w:rsidR="00BF059B">
        <w:t xml:space="preserve"> </w:t>
      </w:r>
      <w:r>
        <w:t>Context]</w:t>
      </w:r>
      <w:r w:rsidR="00BF059B">
        <w:t xml:space="preserve"> </w:t>
      </w:r>
      <w:r>
        <w:t>currently</w:t>
      </w:r>
      <w:r w:rsidR="00BF059B">
        <w:t xml:space="preserve"> </w:t>
      </w:r>
      <w:r>
        <w:t>on,</w:t>
      </w:r>
      <w:r w:rsidR="00BF059B">
        <w:t xml:space="preserve"> </w:t>
      </w:r>
      <w:r>
        <w:t>for</w:t>
      </w:r>
      <w:r w:rsidR="00BF059B">
        <w:t xml:space="preserve"> </w:t>
      </w:r>
      <w:r>
        <w:t>example,</w:t>
      </w:r>
      <w:r w:rsidR="00BF059B">
        <w:t xml:space="preserve"> </w:t>
      </w:r>
      <w:r>
        <w:t>explores</w:t>
      </w:r>
      <w:r w:rsidR="00BF059B">
        <w:t xml:space="preserve"> </w:t>
      </w:r>
      <w:r>
        <w:t>contemporary</w:t>
      </w:r>
      <w:r w:rsidR="00BF059B">
        <w:t xml:space="preserve"> </w:t>
      </w:r>
      <w:r>
        <w:t>West</w:t>
      </w:r>
      <w:r w:rsidR="00BF059B">
        <w:t xml:space="preserve"> </w:t>
      </w:r>
      <w:r>
        <w:t>African</w:t>
      </w:r>
      <w:r w:rsidR="00BF059B">
        <w:t xml:space="preserve"> </w:t>
      </w:r>
      <w:r>
        <w:t>art</w:t>
      </w:r>
      <w:r w:rsidR="00BF059B">
        <w:t xml:space="preserve"> </w:t>
      </w:r>
      <w:r>
        <w:t>and</w:t>
      </w:r>
      <w:r w:rsidR="00BF059B">
        <w:t xml:space="preserve"> </w:t>
      </w:r>
      <w:r>
        <w:t>the</w:t>
      </w:r>
      <w:r w:rsidR="00BF059B">
        <w:t xml:space="preserve"> </w:t>
      </w:r>
      <w:r>
        <w:t>legacy</w:t>
      </w:r>
      <w:r w:rsidR="00BF059B">
        <w:t xml:space="preserve"> </w:t>
      </w:r>
      <w:r>
        <w:t>of</w:t>
      </w:r>
      <w:r w:rsidR="00BF059B">
        <w:t xml:space="preserve"> </w:t>
      </w:r>
      <w:r>
        <w:t>colonialism,</w:t>
      </w:r>
      <w:r w:rsidR="00BF059B">
        <w:t xml:space="preserve"> </w:t>
      </w:r>
      <w:r>
        <w:t>taking</w:t>
      </w:r>
      <w:r w:rsidR="00BF059B">
        <w:t xml:space="preserve"> </w:t>
      </w:r>
      <w:r>
        <w:t>inspiration</w:t>
      </w:r>
      <w:r w:rsidR="00BF059B">
        <w:t xml:space="preserve"> </w:t>
      </w:r>
      <w:r>
        <w:t>from</w:t>
      </w:r>
      <w:r w:rsidR="00BF059B">
        <w:t xml:space="preserve"> </w:t>
      </w:r>
      <w:r>
        <w:t>the</w:t>
      </w:r>
      <w:r w:rsidR="00BF059B">
        <w:t xml:space="preserve"> </w:t>
      </w:r>
      <w:r>
        <w:t>looted</w:t>
      </w:r>
      <w:r w:rsidR="00BF059B">
        <w:t xml:space="preserve"> </w:t>
      </w:r>
      <w:r>
        <w:t>Benin</w:t>
      </w:r>
      <w:r w:rsidR="00BF059B">
        <w:t xml:space="preserve"> </w:t>
      </w:r>
      <w:r>
        <w:t>Bronzes</w:t>
      </w:r>
      <w:r w:rsidR="00BF059B">
        <w:t xml:space="preserve"> </w:t>
      </w:r>
      <w:r>
        <w:t>which</w:t>
      </w:r>
      <w:r w:rsidR="00BF059B">
        <w:t xml:space="preserve"> </w:t>
      </w:r>
      <w:r>
        <w:t>were</w:t>
      </w:r>
      <w:r w:rsidR="00BF059B">
        <w:t xml:space="preserve"> </w:t>
      </w:r>
      <w:r>
        <w:t>displayed</w:t>
      </w:r>
      <w:r w:rsidR="00BF059B">
        <w:t xml:space="preserve"> </w:t>
      </w:r>
      <w:r>
        <w:t>in</w:t>
      </w:r>
      <w:r w:rsidR="00BF059B">
        <w:t xml:space="preserve"> </w:t>
      </w:r>
      <w:r>
        <w:t>this</w:t>
      </w:r>
      <w:r w:rsidR="00BF059B">
        <w:t xml:space="preserve"> </w:t>
      </w:r>
      <w:r>
        <w:t>museum</w:t>
      </w:r>
      <w:r w:rsidR="00BF059B">
        <w:t xml:space="preserve"> </w:t>
      </w:r>
      <w:r>
        <w:t>for</w:t>
      </w:r>
      <w:r w:rsidR="00BF059B">
        <w:t xml:space="preserve"> </w:t>
      </w:r>
      <w:r>
        <w:t>decades</w:t>
      </w:r>
      <w:r w:rsidR="00BF059B">
        <w:t xml:space="preserve"> </w:t>
      </w:r>
      <w:r>
        <w:t>before</w:t>
      </w:r>
      <w:r w:rsidR="00BF059B">
        <w:t xml:space="preserve"> </w:t>
      </w:r>
      <w:r>
        <w:t>their</w:t>
      </w:r>
      <w:r w:rsidR="00BF059B">
        <w:t xml:space="preserve"> </w:t>
      </w:r>
      <w:r>
        <w:t>recent</w:t>
      </w:r>
      <w:r w:rsidR="00BF059B">
        <w:t xml:space="preserve"> </w:t>
      </w:r>
      <w:r>
        <w:t>return</w:t>
      </w:r>
      <w:r w:rsidR="00BF059B">
        <w:t xml:space="preserve"> </w:t>
      </w:r>
      <w:r>
        <w:t>to</w:t>
      </w:r>
      <w:r w:rsidR="00BF059B">
        <w:t xml:space="preserve"> </w:t>
      </w:r>
      <w:r>
        <w:t>their</w:t>
      </w:r>
      <w:r w:rsidR="00BF059B">
        <w:t xml:space="preserve"> </w:t>
      </w:r>
      <w:r>
        <w:t>homeland)’.</w:t>
      </w:r>
      <w:r w:rsidR="00BF059B">
        <w:t xml:space="preserve">  </w:t>
      </w:r>
    </w:p>
    <w:p w14:paraId="0B239E93" w14:textId="6E7EBEE6" w:rsidR="00BE13A8" w:rsidRDefault="00D70530" w:rsidP="00C81FD1">
      <w:pPr>
        <w:numPr>
          <w:ilvl w:val="0"/>
          <w:numId w:val="19"/>
        </w:numPr>
        <w:ind w:left="426"/>
        <w:jc w:val="both"/>
      </w:pPr>
      <w:r>
        <w:t>Senior</w:t>
      </w:r>
      <w:r w:rsidR="00BF059B">
        <w:t xml:space="preserve"> </w:t>
      </w:r>
      <w:r>
        <w:t>Curator</w:t>
      </w:r>
      <w:r w:rsidR="00BF059B">
        <w:t xml:space="preserve"> </w:t>
      </w:r>
      <w:r>
        <w:t>of</w:t>
      </w:r>
      <w:r w:rsidR="00BF059B">
        <w:t xml:space="preserve"> </w:t>
      </w:r>
      <w:r>
        <w:t>Anthropology,</w:t>
      </w:r>
      <w:r w:rsidR="00BF059B">
        <w:t xml:space="preserve"> </w:t>
      </w:r>
      <w:r>
        <w:t>Korantema</w:t>
      </w:r>
      <w:r w:rsidR="00BF059B">
        <w:t xml:space="preserve"> </w:t>
      </w:r>
      <w:r>
        <w:t>Anyimadu</w:t>
      </w:r>
      <w:r w:rsidR="00BF059B">
        <w:t xml:space="preserve"> </w:t>
      </w:r>
      <w:r>
        <w:t>contributed</w:t>
      </w:r>
      <w:r w:rsidR="00BF059B">
        <w:t xml:space="preserve"> </w:t>
      </w:r>
      <w:r>
        <w:t>an</w:t>
      </w:r>
      <w:r w:rsidR="00BF059B">
        <w:t xml:space="preserve"> </w:t>
      </w:r>
      <w:r>
        <w:t>article</w:t>
      </w:r>
      <w:r w:rsidR="00BF059B">
        <w:t xml:space="preserve"> </w:t>
      </w:r>
      <w:r>
        <w:t>for</w:t>
      </w:r>
      <w:r w:rsidR="00BF059B">
        <w:t xml:space="preserve"> </w:t>
      </w:r>
      <w:r>
        <w:t>Art</w:t>
      </w:r>
      <w:r w:rsidR="00BF059B">
        <w:t xml:space="preserve"> </w:t>
      </w:r>
      <w:r>
        <w:t>Quarterly</w:t>
      </w:r>
      <w:r w:rsidR="00BF059B">
        <w:t xml:space="preserve"> </w:t>
      </w:r>
      <w:r>
        <w:t>magazine</w:t>
      </w:r>
      <w:r w:rsidR="00BF059B">
        <w:t xml:space="preserve"> </w:t>
      </w:r>
      <w:r>
        <w:t>on</w:t>
      </w:r>
      <w:r w:rsidR="00BF059B">
        <w:t xml:space="preserve"> </w:t>
      </w:r>
      <w:r>
        <w:t>the</w:t>
      </w:r>
      <w:r w:rsidR="00BF059B">
        <w:t xml:space="preserve"> </w:t>
      </w:r>
      <w:r>
        <w:t>Benin</w:t>
      </w:r>
      <w:r w:rsidR="00BF059B">
        <w:t xml:space="preserve"> </w:t>
      </w:r>
      <w:r>
        <w:t>redisplay,</w:t>
      </w:r>
      <w:r w:rsidR="00BF059B">
        <w:t xml:space="preserve"> </w:t>
      </w:r>
      <w:r>
        <w:t>focusing</w:t>
      </w:r>
      <w:r w:rsidR="00BF059B">
        <w:t xml:space="preserve"> </w:t>
      </w:r>
      <w:r>
        <w:t>on</w:t>
      </w:r>
      <w:r w:rsidR="00BF059B">
        <w:t xml:space="preserve"> </w:t>
      </w:r>
      <w:r>
        <w:t>the</w:t>
      </w:r>
      <w:r w:rsidR="00BF059B">
        <w:t xml:space="preserve"> </w:t>
      </w:r>
      <w:r>
        <w:t>collaboration</w:t>
      </w:r>
      <w:r w:rsidR="00BF059B">
        <w:t xml:space="preserve"> </w:t>
      </w:r>
      <w:r>
        <w:t>with</w:t>
      </w:r>
      <w:r w:rsidR="00BF059B">
        <w:t xml:space="preserve"> </w:t>
      </w:r>
      <w:r>
        <w:t>artist</w:t>
      </w:r>
      <w:r w:rsidR="00BF059B">
        <w:t xml:space="preserve"> </w:t>
      </w:r>
      <w:proofErr w:type="spellStart"/>
      <w:r>
        <w:t>Osaru</w:t>
      </w:r>
      <w:proofErr w:type="spellEnd"/>
      <w:r w:rsidR="00BF059B">
        <w:t xml:space="preserve"> </w:t>
      </w:r>
      <w:r>
        <w:t>Obaseki,</w:t>
      </w:r>
      <w:r w:rsidR="00BF059B">
        <w:t xml:space="preserve"> </w:t>
      </w:r>
      <w:r>
        <w:t>funded</w:t>
      </w:r>
      <w:r w:rsidR="00BF059B">
        <w:t xml:space="preserve"> </w:t>
      </w:r>
      <w:r>
        <w:t>by</w:t>
      </w:r>
      <w:r w:rsidR="00BF059B">
        <w:t xml:space="preserve"> </w:t>
      </w:r>
      <w:r>
        <w:t>Art</w:t>
      </w:r>
      <w:r w:rsidR="00BF059B">
        <w:t xml:space="preserve"> </w:t>
      </w:r>
      <w:r>
        <w:t>Fund.</w:t>
      </w:r>
      <w:r w:rsidR="00BF059B">
        <w:t xml:space="preserve">    </w:t>
      </w:r>
    </w:p>
    <w:p w14:paraId="7087181C" w14:textId="71588553" w:rsidR="00BE13A8" w:rsidRDefault="00D70530" w:rsidP="00C81FD1">
      <w:pPr>
        <w:numPr>
          <w:ilvl w:val="0"/>
          <w:numId w:val="20"/>
        </w:numPr>
        <w:ind w:left="426"/>
        <w:jc w:val="both"/>
      </w:pPr>
      <w:r>
        <w:t>A</w:t>
      </w:r>
      <w:r w:rsidR="00BF059B">
        <w:t xml:space="preserve"> </w:t>
      </w:r>
      <w:r>
        <w:t>Museums</w:t>
      </w:r>
      <w:r w:rsidR="00BF059B">
        <w:t xml:space="preserve"> </w:t>
      </w:r>
      <w:r>
        <w:t>Journal</w:t>
      </w:r>
      <w:r w:rsidR="00BF059B">
        <w:t xml:space="preserve"> </w:t>
      </w:r>
      <w:r>
        <w:t>feature</w:t>
      </w:r>
      <w:r w:rsidR="00BF059B">
        <w:t xml:space="preserve"> </w:t>
      </w:r>
      <w:r>
        <w:t>on</w:t>
      </w:r>
      <w:r w:rsidR="00BF059B">
        <w:t xml:space="preserve"> </w:t>
      </w:r>
      <w:r>
        <w:t>music</w:t>
      </w:r>
      <w:r w:rsidR="00BF059B">
        <w:t xml:space="preserve"> </w:t>
      </w:r>
      <w:r>
        <w:t>in</w:t>
      </w:r>
      <w:r w:rsidR="00BF059B">
        <w:t xml:space="preserve"> </w:t>
      </w:r>
      <w:r>
        <w:t>museums</w:t>
      </w:r>
      <w:r w:rsidR="00BF059B">
        <w:t xml:space="preserve"> </w:t>
      </w:r>
      <w:r>
        <w:t>included</w:t>
      </w:r>
      <w:r w:rsidR="00BF059B">
        <w:t xml:space="preserve"> </w:t>
      </w:r>
      <w:r>
        <w:t>an</w:t>
      </w:r>
      <w:r w:rsidR="00BF059B">
        <w:t xml:space="preserve"> </w:t>
      </w:r>
      <w:r>
        <w:t>interview</w:t>
      </w:r>
      <w:r w:rsidR="00BF059B">
        <w:t xml:space="preserve"> </w:t>
      </w:r>
      <w:r>
        <w:t>with</w:t>
      </w:r>
      <w:r w:rsidR="00BF059B">
        <w:t xml:space="preserve"> </w:t>
      </w:r>
      <w:r>
        <w:t>Principal</w:t>
      </w:r>
      <w:r w:rsidR="00BF059B">
        <w:t xml:space="preserve"> </w:t>
      </w:r>
      <w:r>
        <w:t>Curator</w:t>
      </w:r>
      <w:r w:rsidR="00BF059B">
        <w:t xml:space="preserve"> </w:t>
      </w:r>
      <w:r>
        <w:t>of</w:t>
      </w:r>
      <w:r w:rsidR="00BF059B">
        <w:t xml:space="preserve"> </w:t>
      </w:r>
      <w:r>
        <w:t>Musical</w:t>
      </w:r>
      <w:r w:rsidR="00BF059B">
        <w:t xml:space="preserve"> </w:t>
      </w:r>
      <w:r>
        <w:t>Collections</w:t>
      </w:r>
      <w:r w:rsidR="00BF059B">
        <w:t xml:space="preserve"> </w:t>
      </w:r>
      <w:r>
        <w:t>and</w:t>
      </w:r>
      <w:r w:rsidR="00BF059B">
        <w:t xml:space="preserve"> </w:t>
      </w:r>
      <w:r>
        <w:t>Cultures,</w:t>
      </w:r>
      <w:r w:rsidR="00BF059B">
        <w:t xml:space="preserve"> </w:t>
      </w:r>
      <w:r>
        <w:t>Mimi</w:t>
      </w:r>
      <w:r w:rsidR="00BF059B">
        <w:t xml:space="preserve"> </w:t>
      </w:r>
      <w:r>
        <w:t>Waitzman</w:t>
      </w:r>
      <w:r w:rsidR="00BF059B">
        <w:t xml:space="preserve"> </w:t>
      </w:r>
      <w:r>
        <w:t>covering</w:t>
      </w:r>
      <w:r w:rsidR="00BF059B">
        <w:t xml:space="preserve"> </w:t>
      </w:r>
      <w:r>
        <w:t>the</w:t>
      </w:r>
      <w:r w:rsidR="00BF059B">
        <w:t xml:space="preserve"> </w:t>
      </w:r>
      <w:r>
        <w:t>Music</w:t>
      </w:r>
      <w:r w:rsidR="00BF059B">
        <w:t xml:space="preserve"> </w:t>
      </w:r>
      <w:r>
        <w:t>Gallery</w:t>
      </w:r>
      <w:r w:rsidR="00BF059B">
        <w:t xml:space="preserve"> </w:t>
      </w:r>
      <w:r>
        <w:t>and</w:t>
      </w:r>
      <w:r w:rsidR="00BF059B">
        <w:t xml:space="preserve"> </w:t>
      </w:r>
      <w:r>
        <w:t>collection,</w:t>
      </w:r>
      <w:r w:rsidR="00BF059B">
        <w:t xml:space="preserve"> </w:t>
      </w:r>
      <w:r>
        <w:t>and</w:t>
      </w:r>
      <w:r w:rsidR="00BF059B">
        <w:t xml:space="preserve"> </w:t>
      </w:r>
      <w:r>
        <w:t>visitor</w:t>
      </w:r>
      <w:r w:rsidR="00BF059B">
        <w:t xml:space="preserve"> </w:t>
      </w:r>
      <w:r>
        <w:t>engagement</w:t>
      </w:r>
      <w:r w:rsidR="00BF059B">
        <w:t xml:space="preserve"> </w:t>
      </w:r>
      <w:r>
        <w:t>programming.</w:t>
      </w:r>
      <w:r w:rsidR="00BF059B">
        <w:t xml:space="preserve">  </w:t>
      </w:r>
    </w:p>
    <w:p w14:paraId="09B4D88B" w14:textId="5AE61944" w:rsidR="00BE13A8" w:rsidRDefault="00D70530" w:rsidP="00C81FD1">
      <w:pPr>
        <w:numPr>
          <w:ilvl w:val="0"/>
          <w:numId w:val="21"/>
        </w:numPr>
        <w:ind w:left="426"/>
        <w:jc w:val="both"/>
      </w:pPr>
      <w:r>
        <w:lastRenderedPageBreak/>
        <w:t>Coverage</w:t>
      </w:r>
      <w:r w:rsidR="00BF059B">
        <w:t xml:space="preserve"> </w:t>
      </w:r>
      <w:r>
        <w:t>of</w:t>
      </w:r>
      <w:r w:rsidR="00BF059B">
        <w:t xml:space="preserve"> </w:t>
      </w:r>
      <w:r>
        <w:t>the</w:t>
      </w:r>
      <w:r w:rsidR="00BF059B">
        <w:t xml:space="preserve"> </w:t>
      </w:r>
      <w:r>
        <w:t>Gardens</w:t>
      </w:r>
      <w:r w:rsidR="00BF059B">
        <w:t xml:space="preserve"> </w:t>
      </w:r>
      <w:r>
        <w:t>remained</w:t>
      </w:r>
      <w:r w:rsidR="00BF059B">
        <w:t xml:space="preserve"> </w:t>
      </w:r>
      <w:r>
        <w:t>high</w:t>
      </w:r>
      <w:r w:rsidR="00BF059B">
        <w:t xml:space="preserve"> </w:t>
      </w:r>
      <w:r>
        <w:t>with</w:t>
      </w:r>
      <w:r w:rsidR="00BF059B">
        <w:t xml:space="preserve"> </w:t>
      </w:r>
      <w:r>
        <w:t>numerous</w:t>
      </w:r>
      <w:r w:rsidR="00BF059B">
        <w:t xml:space="preserve"> </w:t>
      </w:r>
      <w:r>
        <w:t>recommendations</w:t>
      </w:r>
      <w:r w:rsidR="00BF059B">
        <w:t xml:space="preserve"> </w:t>
      </w:r>
      <w:r>
        <w:t>to</w:t>
      </w:r>
      <w:r w:rsidR="00BF059B">
        <w:t xml:space="preserve"> </w:t>
      </w:r>
      <w:r>
        <w:t>visit.</w:t>
      </w:r>
      <w:r w:rsidR="00BF059B">
        <w:t xml:space="preserve"> </w:t>
      </w:r>
      <w:r>
        <w:t>In</w:t>
      </w:r>
      <w:r w:rsidR="00BF059B">
        <w:t xml:space="preserve"> </w:t>
      </w:r>
      <w:r>
        <w:t>addition,</w:t>
      </w:r>
      <w:r w:rsidR="00BF059B">
        <w:t xml:space="preserve"> </w:t>
      </w:r>
      <w:r>
        <w:t>Head</w:t>
      </w:r>
      <w:r w:rsidR="00BF059B">
        <w:t xml:space="preserve"> </w:t>
      </w:r>
      <w:r>
        <w:t>of</w:t>
      </w:r>
      <w:r w:rsidR="00BF059B">
        <w:t xml:space="preserve"> </w:t>
      </w:r>
      <w:r>
        <w:t>Horticulture</w:t>
      </w:r>
      <w:r w:rsidR="00BF059B">
        <w:t xml:space="preserve"> </w:t>
      </w:r>
      <w:r>
        <w:t>Errol</w:t>
      </w:r>
      <w:r w:rsidR="00BF059B">
        <w:t xml:space="preserve"> </w:t>
      </w:r>
      <w:r>
        <w:t>Fernandes</w:t>
      </w:r>
      <w:r w:rsidR="00BF059B">
        <w:t xml:space="preserve"> </w:t>
      </w:r>
      <w:r>
        <w:t>talked</w:t>
      </w:r>
      <w:r w:rsidR="00BF059B">
        <w:t xml:space="preserve"> </w:t>
      </w:r>
      <w:r>
        <w:t>to:</w:t>
      </w:r>
      <w:r w:rsidR="00BF059B">
        <w:t xml:space="preserve"> </w:t>
      </w:r>
    </w:p>
    <w:p w14:paraId="79E41566" w14:textId="4A73ED04" w:rsidR="00BE13A8" w:rsidRDefault="00D70530" w:rsidP="00C81FD1">
      <w:pPr>
        <w:numPr>
          <w:ilvl w:val="0"/>
          <w:numId w:val="35"/>
        </w:numPr>
        <w:jc w:val="both"/>
      </w:pPr>
      <w:r>
        <w:t>House</w:t>
      </w:r>
      <w:r w:rsidR="00BF059B">
        <w:t xml:space="preserve"> </w:t>
      </w:r>
      <w:r>
        <w:t>and</w:t>
      </w:r>
      <w:r w:rsidR="00BF059B">
        <w:t xml:space="preserve"> </w:t>
      </w:r>
      <w:r>
        <w:t>Garden</w:t>
      </w:r>
      <w:r w:rsidR="00BF059B">
        <w:t xml:space="preserve"> </w:t>
      </w:r>
      <w:r>
        <w:t>magazine</w:t>
      </w:r>
      <w:r w:rsidR="00BF059B">
        <w:t xml:space="preserve"> </w:t>
      </w:r>
      <w:r>
        <w:t>about</w:t>
      </w:r>
      <w:r w:rsidR="00BF059B">
        <w:t xml:space="preserve"> </w:t>
      </w:r>
      <w:r>
        <w:t>his</w:t>
      </w:r>
      <w:r w:rsidR="00BF059B">
        <w:t xml:space="preserve"> </w:t>
      </w:r>
      <w:r>
        <w:t>advocacy</w:t>
      </w:r>
      <w:r w:rsidR="00BF059B">
        <w:t xml:space="preserve"> </w:t>
      </w:r>
      <w:r>
        <w:t>of</w:t>
      </w:r>
      <w:r w:rsidR="00BF059B">
        <w:t xml:space="preserve"> </w:t>
      </w:r>
      <w:r>
        <w:t>access,</w:t>
      </w:r>
      <w:r w:rsidR="00BF059B">
        <w:t xml:space="preserve"> </w:t>
      </w:r>
      <w:r>
        <w:t>diversity</w:t>
      </w:r>
      <w:r w:rsidR="00BF059B">
        <w:t xml:space="preserve"> </w:t>
      </w:r>
      <w:r>
        <w:t>and</w:t>
      </w:r>
      <w:r w:rsidR="00BF059B">
        <w:t xml:space="preserve"> </w:t>
      </w:r>
      <w:r>
        <w:t>sustainability</w:t>
      </w:r>
      <w:r w:rsidR="00BF059B">
        <w:t xml:space="preserve">  </w:t>
      </w:r>
    </w:p>
    <w:p w14:paraId="3E15E024" w14:textId="6CA42B70" w:rsidR="00BE13A8" w:rsidRDefault="00D70530" w:rsidP="00C81FD1">
      <w:pPr>
        <w:numPr>
          <w:ilvl w:val="0"/>
          <w:numId w:val="35"/>
        </w:numPr>
        <w:jc w:val="both"/>
      </w:pPr>
      <w:r>
        <w:t>Toast</w:t>
      </w:r>
      <w:r w:rsidR="00BF059B">
        <w:t xml:space="preserve"> </w:t>
      </w:r>
      <w:r>
        <w:t>magazine</w:t>
      </w:r>
      <w:r w:rsidR="00BF059B">
        <w:t xml:space="preserve"> </w:t>
      </w:r>
      <w:r>
        <w:t>on</w:t>
      </w:r>
      <w:r w:rsidR="00BF059B">
        <w:t xml:space="preserve"> </w:t>
      </w:r>
      <w:r>
        <w:t>future</w:t>
      </w:r>
      <w:r w:rsidR="00BF059B">
        <w:t xml:space="preserve"> </w:t>
      </w:r>
      <w:r>
        <w:t>plans</w:t>
      </w:r>
      <w:r w:rsidR="00BF059B">
        <w:t xml:space="preserve"> </w:t>
      </w:r>
      <w:r>
        <w:t>for</w:t>
      </w:r>
      <w:r w:rsidR="00BF059B">
        <w:t xml:space="preserve"> </w:t>
      </w:r>
      <w:r>
        <w:t>the</w:t>
      </w:r>
      <w:r w:rsidR="00BF059B">
        <w:t xml:space="preserve"> </w:t>
      </w:r>
      <w:r>
        <w:t>Gardens</w:t>
      </w:r>
      <w:r w:rsidR="00BF059B">
        <w:t xml:space="preserve"> </w:t>
      </w:r>
      <w:r>
        <w:t>and</w:t>
      </w:r>
      <w:r w:rsidR="00BF059B">
        <w:t xml:space="preserve"> </w:t>
      </w:r>
      <w:r>
        <w:t>the</w:t>
      </w:r>
      <w:r w:rsidR="00BF059B">
        <w:t xml:space="preserve"> </w:t>
      </w:r>
      <w:r>
        <w:t>Plant</w:t>
      </w:r>
      <w:r w:rsidR="00BF059B">
        <w:t xml:space="preserve"> </w:t>
      </w:r>
      <w:r>
        <w:t>Fair</w:t>
      </w:r>
      <w:r w:rsidR="00BF059B">
        <w:t xml:space="preserve">  </w:t>
      </w:r>
    </w:p>
    <w:p w14:paraId="6844A91B" w14:textId="57E4DB2A" w:rsidR="00BE13A8" w:rsidRDefault="00D70530" w:rsidP="00C81FD1">
      <w:pPr>
        <w:numPr>
          <w:ilvl w:val="0"/>
          <w:numId w:val="35"/>
        </w:numPr>
        <w:jc w:val="both"/>
      </w:pPr>
      <w:r>
        <w:t>The</w:t>
      </w:r>
      <w:r w:rsidR="00BF059B">
        <w:t xml:space="preserve"> </w:t>
      </w:r>
      <w:r>
        <w:t>Guardian</w:t>
      </w:r>
      <w:r w:rsidR="00BF059B">
        <w:t xml:space="preserve"> </w:t>
      </w:r>
      <w:r>
        <w:t>on</w:t>
      </w:r>
      <w:r w:rsidR="00BF059B">
        <w:t xml:space="preserve"> </w:t>
      </w:r>
      <w:r>
        <w:t>gardening</w:t>
      </w:r>
      <w:r w:rsidR="00BF059B">
        <w:t xml:space="preserve"> </w:t>
      </w:r>
      <w:r>
        <w:t>advice</w:t>
      </w:r>
      <w:r w:rsidR="00BF059B">
        <w:t xml:space="preserve"> </w:t>
      </w:r>
      <w:r>
        <w:t>for</w:t>
      </w:r>
      <w:r w:rsidR="00BF059B">
        <w:t xml:space="preserve"> </w:t>
      </w:r>
      <w:r>
        <w:t>those</w:t>
      </w:r>
      <w:r w:rsidR="00BF059B">
        <w:t xml:space="preserve"> </w:t>
      </w:r>
      <w:r>
        <w:t>in</w:t>
      </w:r>
      <w:r w:rsidR="00BF059B">
        <w:t xml:space="preserve"> </w:t>
      </w:r>
      <w:r>
        <w:t>rental</w:t>
      </w:r>
      <w:r w:rsidR="00BF059B">
        <w:t xml:space="preserve"> </w:t>
      </w:r>
      <w:r>
        <w:t>property</w:t>
      </w:r>
      <w:r w:rsidR="00BF059B">
        <w:t xml:space="preserve">  </w:t>
      </w:r>
    </w:p>
    <w:p w14:paraId="2D185D75" w14:textId="19C0DF91" w:rsidR="00BE13A8" w:rsidRDefault="00D70530" w:rsidP="00C81FD1">
      <w:pPr>
        <w:numPr>
          <w:ilvl w:val="0"/>
          <w:numId w:val="35"/>
        </w:numPr>
        <w:jc w:val="both"/>
      </w:pPr>
      <w:r>
        <w:t>The</w:t>
      </w:r>
      <w:r w:rsidR="00BF059B">
        <w:t xml:space="preserve"> </w:t>
      </w:r>
      <w:r>
        <w:t>Evening</w:t>
      </w:r>
      <w:r w:rsidR="00BF059B">
        <w:t xml:space="preserve"> </w:t>
      </w:r>
      <w:r>
        <w:t>Standard</w:t>
      </w:r>
      <w:r w:rsidR="00BF059B">
        <w:t xml:space="preserve"> </w:t>
      </w:r>
      <w:r>
        <w:t>on</w:t>
      </w:r>
      <w:r w:rsidR="00BF059B">
        <w:t xml:space="preserve"> </w:t>
      </w:r>
      <w:r>
        <w:t>getting</w:t>
      </w:r>
      <w:r w:rsidR="00BF059B">
        <w:t xml:space="preserve"> </w:t>
      </w:r>
      <w:r>
        <w:t>started</w:t>
      </w:r>
      <w:r w:rsidR="00BF059B">
        <w:t xml:space="preserve"> </w:t>
      </w:r>
      <w:r>
        <w:t>in</w:t>
      </w:r>
      <w:r w:rsidR="00BF059B">
        <w:t xml:space="preserve"> </w:t>
      </w:r>
      <w:r>
        <w:t>the</w:t>
      </w:r>
      <w:r w:rsidR="00BF059B">
        <w:t xml:space="preserve"> </w:t>
      </w:r>
      <w:r>
        <w:t>garden</w:t>
      </w:r>
      <w:r w:rsidR="00BF059B">
        <w:t xml:space="preserve"> </w:t>
      </w:r>
    </w:p>
    <w:p w14:paraId="1AC61385" w14:textId="2CA5D939" w:rsidR="00BE13A8" w:rsidRDefault="00D70530" w:rsidP="00C81FD1">
      <w:pPr>
        <w:numPr>
          <w:ilvl w:val="0"/>
          <w:numId w:val="35"/>
        </w:numPr>
        <w:jc w:val="both"/>
      </w:pPr>
      <w:r>
        <w:t>The</w:t>
      </w:r>
      <w:r w:rsidR="00BF059B">
        <w:t xml:space="preserve"> </w:t>
      </w:r>
      <w:r>
        <w:t>Garden</w:t>
      </w:r>
      <w:r w:rsidR="00BF059B">
        <w:t xml:space="preserve"> </w:t>
      </w:r>
      <w:r>
        <w:t>Magazine</w:t>
      </w:r>
      <w:r w:rsidR="00BF059B">
        <w:t xml:space="preserve"> </w:t>
      </w:r>
      <w:r>
        <w:t>on</w:t>
      </w:r>
      <w:r w:rsidR="00BF059B">
        <w:t xml:space="preserve"> </w:t>
      </w:r>
      <w:r>
        <w:t>water</w:t>
      </w:r>
      <w:r w:rsidR="00BF059B">
        <w:t xml:space="preserve"> </w:t>
      </w:r>
      <w:r>
        <w:t>plants</w:t>
      </w:r>
      <w:r w:rsidR="00BF059B">
        <w:t xml:space="preserve"> </w:t>
      </w:r>
    </w:p>
    <w:p w14:paraId="3BE789C4" w14:textId="07D63688" w:rsidR="00BE13A8" w:rsidRDefault="00D70530" w:rsidP="00C81FD1">
      <w:pPr>
        <w:numPr>
          <w:ilvl w:val="0"/>
          <w:numId w:val="22"/>
        </w:numPr>
        <w:ind w:left="426"/>
        <w:jc w:val="both"/>
      </w:pPr>
      <w:r>
        <w:t>Coverage</w:t>
      </w:r>
      <w:r w:rsidR="00BF059B">
        <w:t xml:space="preserve"> </w:t>
      </w:r>
      <w:r>
        <w:t>was</w:t>
      </w:r>
      <w:r w:rsidR="00BF059B">
        <w:t xml:space="preserve"> </w:t>
      </w:r>
      <w:r>
        <w:t>further</w:t>
      </w:r>
      <w:r w:rsidR="00BF059B">
        <w:t xml:space="preserve"> </w:t>
      </w:r>
      <w:r>
        <w:t>boosted</w:t>
      </w:r>
      <w:r w:rsidR="00BF059B">
        <w:t xml:space="preserve"> </w:t>
      </w:r>
      <w:r>
        <w:t>by</w:t>
      </w:r>
      <w:r w:rsidR="00BF059B">
        <w:t xml:space="preserve"> </w:t>
      </w:r>
      <w:r>
        <w:t>Errol</w:t>
      </w:r>
      <w:r w:rsidR="00BF059B">
        <w:t xml:space="preserve"> </w:t>
      </w:r>
      <w:r>
        <w:t>Fernandes</w:t>
      </w:r>
      <w:r w:rsidR="00BF059B">
        <w:t xml:space="preserve"> </w:t>
      </w:r>
      <w:r>
        <w:t>joining</w:t>
      </w:r>
      <w:r w:rsidR="00BF059B">
        <w:t xml:space="preserve"> </w:t>
      </w:r>
      <w:r>
        <w:t>as</w:t>
      </w:r>
      <w:r w:rsidR="00BF059B">
        <w:t xml:space="preserve"> </w:t>
      </w:r>
      <w:r>
        <w:t>a</w:t>
      </w:r>
      <w:r w:rsidR="00BF059B">
        <w:t xml:space="preserve"> </w:t>
      </w:r>
      <w:r>
        <w:t>presenter</w:t>
      </w:r>
      <w:r w:rsidR="00BF059B">
        <w:t xml:space="preserve"> </w:t>
      </w:r>
      <w:r>
        <w:t>on</w:t>
      </w:r>
      <w:r w:rsidR="00BF059B">
        <w:t xml:space="preserve"> </w:t>
      </w:r>
      <w:r>
        <w:t>Alan</w:t>
      </w:r>
      <w:r w:rsidR="00BF059B">
        <w:t xml:space="preserve"> </w:t>
      </w:r>
      <w:r>
        <w:t>Titchmarsh’s</w:t>
      </w:r>
      <w:r w:rsidR="00BF059B">
        <w:t xml:space="preserve"> </w:t>
      </w:r>
      <w:r>
        <w:t>Gardening</w:t>
      </w:r>
      <w:r w:rsidR="00BF059B">
        <w:t xml:space="preserve"> </w:t>
      </w:r>
      <w:r>
        <w:t>Club</w:t>
      </w:r>
      <w:r w:rsidR="00BF059B">
        <w:t xml:space="preserve"> </w:t>
      </w:r>
      <w:r>
        <w:t>on</w:t>
      </w:r>
      <w:r w:rsidR="00BF059B">
        <w:t xml:space="preserve"> </w:t>
      </w:r>
      <w:r>
        <w:t>ITV;</w:t>
      </w:r>
      <w:r w:rsidR="00BF059B">
        <w:t xml:space="preserve"> </w:t>
      </w:r>
      <w:r>
        <w:t>and</w:t>
      </w:r>
      <w:r w:rsidR="00BF059B">
        <w:t xml:space="preserve"> </w:t>
      </w:r>
      <w:r>
        <w:t>the</w:t>
      </w:r>
      <w:r w:rsidR="00BF059B">
        <w:t xml:space="preserve"> </w:t>
      </w:r>
      <w:r>
        <w:t>Daily</w:t>
      </w:r>
      <w:r w:rsidR="00BF059B">
        <w:t xml:space="preserve"> </w:t>
      </w:r>
      <w:r>
        <w:t>Express</w:t>
      </w:r>
      <w:r w:rsidR="00BF059B">
        <w:t xml:space="preserve"> </w:t>
      </w:r>
      <w:r>
        <w:t>and</w:t>
      </w:r>
      <w:r w:rsidR="00BF059B">
        <w:t xml:space="preserve"> </w:t>
      </w:r>
      <w:r>
        <w:t>others</w:t>
      </w:r>
      <w:r w:rsidR="00BF059B">
        <w:t xml:space="preserve"> </w:t>
      </w:r>
      <w:r>
        <w:t>reporting</w:t>
      </w:r>
      <w:r w:rsidR="00BF059B">
        <w:t xml:space="preserve"> </w:t>
      </w:r>
      <w:r>
        <w:t>on</w:t>
      </w:r>
      <w:r w:rsidR="00BF059B">
        <w:t xml:space="preserve"> </w:t>
      </w:r>
      <w:r>
        <w:t>his</w:t>
      </w:r>
      <w:r w:rsidR="00BF059B">
        <w:t xml:space="preserve"> </w:t>
      </w:r>
      <w:r>
        <w:t>Instagram</w:t>
      </w:r>
      <w:r w:rsidR="00BF059B">
        <w:t xml:space="preserve"> </w:t>
      </w:r>
      <w:r>
        <w:t>post</w:t>
      </w:r>
      <w:r w:rsidR="00BF059B">
        <w:t xml:space="preserve"> </w:t>
      </w:r>
      <w:r>
        <w:t>about</w:t>
      </w:r>
      <w:r w:rsidR="00BF059B">
        <w:t xml:space="preserve"> </w:t>
      </w:r>
      <w:r>
        <w:t>squirrel-proofing</w:t>
      </w:r>
      <w:r w:rsidR="00BF059B">
        <w:t xml:space="preserve"> </w:t>
      </w:r>
      <w:r>
        <w:t>tips.</w:t>
      </w:r>
      <w:r w:rsidR="00BF059B">
        <w:t xml:space="preserve">  </w:t>
      </w:r>
    </w:p>
    <w:p w14:paraId="3C9D03BD" w14:textId="5FC526AC" w:rsidR="00BE13A8" w:rsidRDefault="00D70530" w:rsidP="00C81FD1">
      <w:pPr>
        <w:numPr>
          <w:ilvl w:val="0"/>
          <w:numId w:val="24"/>
        </w:numPr>
        <w:ind w:left="426"/>
        <w:jc w:val="both"/>
      </w:pPr>
      <w:r>
        <w:t>In</w:t>
      </w:r>
      <w:r w:rsidR="00BF059B">
        <w:t xml:space="preserve"> </w:t>
      </w:r>
      <w:r>
        <w:t>its</w:t>
      </w:r>
      <w:r w:rsidR="00BF059B">
        <w:t xml:space="preserve"> </w:t>
      </w:r>
      <w:r>
        <w:t>first</w:t>
      </w:r>
      <w:r w:rsidR="00BF059B">
        <w:t xml:space="preserve"> </w:t>
      </w:r>
      <w:r>
        <w:t>weeks</w:t>
      </w:r>
      <w:r w:rsidR="00BF059B">
        <w:t xml:space="preserve"> </w:t>
      </w:r>
      <w:r>
        <w:t>of</w:t>
      </w:r>
      <w:r w:rsidR="00BF059B">
        <w:t xml:space="preserve"> </w:t>
      </w:r>
      <w:r>
        <w:t>opening</w:t>
      </w:r>
      <w:r w:rsidR="00BF059B">
        <w:t xml:space="preserve"> </w:t>
      </w:r>
      <w:r>
        <w:t>The</w:t>
      </w:r>
      <w:r w:rsidR="00BF059B">
        <w:t xml:space="preserve"> </w:t>
      </w:r>
      <w:r>
        <w:t>Robot</w:t>
      </w:r>
      <w:r w:rsidR="00BF059B">
        <w:t xml:space="preserve"> </w:t>
      </w:r>
      <w:r>
        <w:t>Zoo</w:t>
      </w:r>
      <w:r w:rsidR="00BF059B">
        <w:t xml:space="preserve"> </w:t>
      </w:r>
      <w:r>
        <w:t>achieved</w:t>
      </w:r>
      <w:r w:rsidR="00BF059B">
        <w:t xml:space="preserve"> </w:t>
      </w:r>
      <w:r>
        <w:t>coverage</w:t>
      </w:r>
      <w:r w:rsidR="00BF059B">
        <w:t xml:space="preserve"> </w:t>
      </w:r>
      <w:r>
        <w:t>across</w:t>
      </w:r>
      <w:r w:rsidR="00BF059B">
        <w:t xml:space="preserve"> </w:t>
      </w:r>
      <w:r>
        <w:t>multiple</w:t>
      </w:r>
      <w:r w:rsidR="00BF059B">
        <w:t xml:space="preserve"> </w:t>
      </w:r>
      <w:r>
        <w:t>media</w:t>
      </w:r>
      <w:r w:rsidR="00BF059B">
        <w:t xml:space="preserve"> </w:t>
      </w:r>
      <w:r>
        <w:t>with</w:t>
      </w:r>
      <w:r w:rsidR="00BF059B">
        <w:t xml:space="preserve"> </w:t>
      </w:r>
      <w:r>
        <w:t>AVE</w:t>
      </w:r>
      <w:r w:rsidR="00BF059B">
        <w:t xml:space="preserve"> </w:t>
      </w:r>
      <w:r>
        <w:t>of</w:t>
      </w:r>
      <w:r w:rsidR="00BF059B">
        <w:t xml:space="preserve"> </w:t>
      </w:r>
      <w:r>
        <w:t>£3.09m</w:t>
      </w:r>
      <w:r w:rsidR="00BF059B">
        <w:t xml:space="preserve"> </w:t>
      </w:r>
      <w:r>
        <w:t>and</w:t>
      </w:r>
      <w:r w:rsidR="00BF059B">
        <w:t xml:space="preserve"> </w:t>
      </w:r>
      <w:r>
        <w:t>an</w:t>
      </w:r>
      <w:r w:rsidR="00BF059B">
        <w:t xml:space="preserve"> </w:t>
      </w:r>
      <w:r>
        <w:t>audience</w:t>
      </w:r>
      <w:r w:rsidR="00BF059B">
        <w:t xml:space="preserve"> </w:t>
      </w:r>
      <w:r>
        <w:t>reach</w:t>
      </w:r>
      <w:r w:rsidR="00BF059B">
        <w:t xml:space="preserve"> </w:t>
      </w:r>
      <w:r>
        <w:t>of</w:t>
      </w:r>
      <w:r w:rsidR="00BF059B">
        <w:t xml:space="preserve"> </w:t>
      </w:r>
      <w:r>
        <w:t>334m.</w:t>
      </w:r>
      <w:r w:rsidR="00BF059B">
        <w:t xml:space="preserve"> </w:t>
      </w:r>
      <w:r>
        <w:t>Coverage</w:t>
      </w:r>
      <w:r w:rsidR="00BF059B">
        <w:t xml:space="preserve"> </w:t>
      </w:r>
      <w:r>
        <w:t>included</w:t>
      </w:r>
      <w:r w:rsidR="00BF059B">
        <w:t xml:space="preserve"> </w:t>
      </w:r>
      <w:r>
        <w:t>Metro</w:t>
      </w:r>
      <w:r w:rsidR="00BF059B">
        <w:t xml:space="preserve"> </w:t>
      </w:r>
      <w:r>
        <w:t>(London</w:t>
      </w:r>
      <w:r w:rsidR="00BF059B">
        <w:t xml:space="preserve"> </w:t>
      </w:r>
      <w:r>
        <w:t>and</w:t>
      </w:r>
      <w:r w:rsidR="00BF059B">
        <w:t xml:space="preserve"> </w:t>
      </w:r>
      <w:r>
        <w:t>other</w:t>
      </w:r>
      <w:r w:rsidR="00BF059B">
        <w:t xml:space="preserve"> </w:t>
      </w:r>
      <w:r>
        <w:t>regional</w:t>
      </w:r>
      <w:r w:rsidR="00BF059B">
        <w:t xml:space="preserve"> </w:t>
      </w:r>
      <w:r>
        <w:t>editions),</w:t>
      </w:r>
      <w:r w:rsidR="00BF059B">
        <w:t xml:space="preserve"> </w:t>
      </w:r>
      <w:r>
        <w:t>Stylist,</w:t>
      </w:r>
      <w:r w:rsidR="00BF059B">
        <w:t xml:space="preserve"> </w:t>
      </w:r>
      <w:r>
        <w:t>Time</w:t>
      </w:r>
      <w:r w:rsidR="00BF059B">
        <w:t xml:space="preserve"> </w:t>
      </w:r>
      <w:r>
        <w:t>Out,</w:t>
      </w:r>
      <w:r w:rsidR="00BF059B">
        <w:t xml:space="preserve"> </w:t>
      </w:r>
      <w:proofErr w:type="spellStart"/>
      <w:r>
        <w:t>Londonist</w:t>
      </w:r>
      <w:proofErr w:type="spellEnd"/>
      <w:r>
        <w:t>,</w:t>
      </w:r>
      <w:r w:rsidR="00BF059B">
        <w:t xml:space="preserve"> </w:t>
      </w:r>
      <w:r>
        <w:t>The</w:t>
      </w:r>
      <w:r w:rsidR="00BF059B">
        <w:t xml:space="preserve"> </w:t>
      </w:r>
      <w:r>
        <w:t>Telegraph</w:t>
      </w:r>
      <w:r w:rsidR="00BF059B">
        <w:t xml:space="preserve"> </w:t>
      </w:r>
      <w:r>
        <w:t>and</w:t>
      </w:r>
      <w:r w:rsidR="00BF059B">
        <w:t xml:space="preserve"> </w:t>
      </w:r>
      <w:r>
        <w:t>Country</w:t>
      </w:r>
      <w:r w:rsidR="00BF059B">
        <w:t xml:space="preserve"> </w:t>
      </w:r>
      <w:r>
        <w:t>and</w:t>
      </w:r>
      <w:r w:rsidR="00BF059B">
        <w:t xml:space="preserve"> </w:t>
      </w:r>
      <w:r>
        <w:t>Town</w:t>
      </w:r>
      <w:r w:rsidR="00BF059B">
        <w:t xml:space="preserve"> </w:t>
      </w:r>
      <w:r>
        <w:t>House.</w:t>
      </w:r>
      <w:r w:rsidR="00BF059B">
        <w:t xml:space="preserve">   </w:t>
      </w:r>
    </w:p>
    <w:p w14:paraId="6EA533D6" w14:textId="3E0A05B7" w:rsidR="00BE13A8" w:rsidRDefault="00D70530" w:rsidP="00C81FD1">
      <w:pPr>
        <w:numPr>
          <w:ilvl w:val="0"/>
          <w:numId w:val="25"/>
        </w:numPr>
        <w:ind w:left="426"/>
        <w:jc w:val="both"/>
      </w:pPr>
      <w:r>
        <w:t>Reporting</w:t>
      </w:r>
      <w:r w:rsidR="00BF059B">
        <w:t xml:space="preserve"> </w:t>
      </w:r>
      <w:r>
        <w:t>of</w:t>
      </w:r>
      <w:r w:rsidR="00BF059B">
        <w:t xml:space="preserve"> </w:t>
      </w:r>
      <w:r>
        <w:t>plans</w:t>
      </w:r>
      <w:r w:rsidR="00BF059B">
        <w:t xml:space="preserve"> </w:t>
      </w:r>
      <w:r>
        <w:t>and</w:t>
      </w:r>
      <w:r w:rsidR="00BF059B">
        <w:t xml:space="preserve"> </w:t>
      </w:r>
      <w:r>
        <w:t>progress</w:t>
      </w:r>
      <w:r w:rsidR="00BF059B">
        <w:t xml:space="preserve"> </w:t>
      </w:r>
      <w:r>
        <w:t>of</w:t>
      </w:r>
      <w:r w:rsidR="00BF059B">
        <w:t xml:space="preserve"> </w:t>
      </w:r>
      <w:r>
        <w:t>the</w:t>
      </w:r>
      <w:r w:rsidR="00BF059B">
        <w:t xml:space="preserve"> </w:t>
      </w:r>
      <w:r>
        <w:t>Nature</w:t>
      </w:r>
      <w:r w:rsidR="00BF059B">
        <w:t xml:space="preserve"> </w:t>
      </w:r>
      <w:r>
        <w:t>+</w:t>
      </w:r>
      <w:r w:rsidR="00BF059B">
        <w:t xml:space="preserve"> </w:t>
      </w:r>
      <w:r>
        <w:t>Love</w:t>
      </w:r>
      <w:r w:rsidR="00BF059B">
        <w:t xml:space="preserve"> </w:t>
      </w:r>
      <w:r>
        <w:t>project</w:t>
      </w:r>
      <w:r w:rsidR="00BF059B">
        <w:t xml:space="preserve"> </w:t>
      </w:r>
      <w:r>
        <w:t>was</w:t>
      </w:r>
      <w:r w:rsidR="00BF059B">
        <w:t xml:space="preserve"> </w:t>
      </w:r>
      <w:r>
        <w:t>ongoing,</w:t>
      </w:r>
      <w:r w:rsidR="00BF059B">
        <w:t xml:space="preserve"> </w:t>
      </w:r>
      <w:r>
        <w:t>with</w:t>
      </w:r>
      <w:r w:rsidR="00BF059B">
        <w:t xml:space="preserve"> </w:t>
      </w:r>
      <w:r>
        <w:t>coverage</w:t>
      </w:r>
      <w:r w:rsidR="00BF059B">
        <w:t xml:space="preserve"> </w:t>
      </w:r>
      <w:r>
        <w:t>including</w:t>
      </w:r>
      <w:r w:rsidR="00BF059B">
        <w:t xml:space="preserve"> </w:t>
      </w:r>
    </w:p>
    <w:p w14:paraId="52C29233" w14:textId="77D4EA02" w:rsidR="00BE13A8" w:rsidRDefault="00D70530" w:rsidP="00C81FD1">
      <w:pPr>
        <w:numPr>
          <w:ilvl w:val="0"/>
          <w:numId w:val="26"/>
        </w:numPr>
        <w:ind w:left="426"/>
        <w:jc w:val="both"/>
      </w:pPr>
      <w:r>
        <w:t>Head</w:t>
      </w:r>
      <w:r w:rsidR="00BF059B">
        <w:t xml:space="preserve"> </w:t>
      </w:r>
      <w:r>
        <w:t>of</w:t>
      </w:r>
      <w:r w:rsidR="00BF059B">
        <w:t xml:space="preserve"> </w:t>
      </w:r>
      <w:r>
        <w:t>Content</w:t>
      </w:r>
      <w:r w:rsidR="00BF059B">
        <w:t xml:space="preserve"> </w:t>
      </w:r>
      <w:r>
        <w:t>Peronel</w:t>
      </w:r>
      <w:r w:rsidR="00BF059B">
        <w:t xml:space="preserve"> </w:t>
      </w:r>
      <w:r>
        <w:t>Craddock</w:t>
      </w:r>
      <w:r w:rsidR="00BF059B">
        <w:t xml:space="preserve"> </w:t>
      </w:r>
      <w:r>
        <w:t>was</w:t>
      </w:r>
      <w:r w:rsidR="00BF059B">
        <w:t xml:space="preserve"> </w:t>
      </w:r>
      <w:r>
        <w:t>quoted</w:t>
      </w:r>
      <w:r w:rsidR="00BF059B">
        <w:t xml:space="preserve"> </w:t>
      </w:r>
      <w:r>
        <w:t>speaking</w:t>
      </w:r>
      <w:r w:rsidR="00BF059B">
        <w:t xml:space="preserve"> </w:t>
      </w:r>
      <w:r>
        <w:t>about</w:t>
      </w:r>
      <w:r w:rsidR="00BF059B">
        <w:t xml:space="preserve"> </w:t>
      </w:r>
      <w:r>
        <w:t>public</w:t>
      </w:r>
      <w:r w:rsidR="00BF059B">
        <w:t xml:space="preserve"> </w:t>
      </w:r>
      <w:r>
        <w:t>consultation</w:t>
      </w:r>
      <w:r w:rsidR="00BF059B">
        <w:t xml:space="preserve"> </w:t>
      </w:r>
      <w:r>
        <w:t>and</w:t>
      </w:r>
      <w:r w:rsidR="00BF059B">
        <w:t xml:space="preserve"> </w:t>
      </w:r>
      <w:r>
        <w:t>planning</w:t>
      </w:r>
      <w:r w:rsidR="00BF059B">
        <w:t xml:space="preserve"> </w:t>
      </w:r>
      <w:r>
        <w:t>for</w:t>
      </w:r>
      <w:r w:rsidR="00BF059B">
        <w:t xml:space="preserve"> </w:t>
      </w:r>
      <w:r>
        <w:t>a</w:t>
      </w:r>
      <w:r w:rsidR="00BF059B">
        <w:t xml:space="preserve"> </w:t>
      </w:r>
      <w:r>
        <w:t>Museums</w:t>
      </w:r>
      <w:r w:rsidR="00BF059B">
        <w:t xml:space="preserve"> </w:t>
      </w:r>
      <w:r>
        <w:t>Journal</w:t>
      </w:r>
      <w:r w:rsidR="00BF059B">
        <w:t xml:space="preserve"> </w:t>
      </w:r>
      <w:r>
        <w:t>feature</w:t>
      </w:r>
      <w:r w:rsidR="00BF059B">
        <w:t xml:space="preserve"> </w:t>
      </w:r>
      <w:r>
        <w:t>on</w:t>
      </w:r>
      <w:r w:rsidR="00BF059B">
        <w:t xml:space="preserve"> </w:t>
      </w:r>
      <w:r>
        <w:t>outdoor</w:t>
      </w:r>
      <w:r w:rsidR="00BF059B">
        <w:t xml:space="preserve"> </w:t>
      </w:r>
      <w:r>
        <w:t>play.</w:t>
      </w:r>
      <w:r w:rsidR="00BF059B">
        <w:t xml:space="preserve">  </w:t>
      </w:r>
    </w:p>
    <w:p w14:paraId="0D6F994E" w14:textId="51B7854C" w:rsidR="00BE13A8" w:rsidRDefault="00D70530" w:rsidP="00C81FD1">
      <w:pPr>
        <w:numPr>
          <w:ilvl w:val="0"/>
          <w:numId w:val="27"/>
        </w:numPr>
        <w:ind w:left="426"/>
        <w:jc w:val="both"/>
      </w:pPr>
      <w:r>
        <w:t>A</w:t>
      </w:r>
      <w:r w:rsidR="00BF059B">
        <w:t xml:space="preserve"> </w:t>
      </w:r>
      <w:r>
        <w:t>photograph</w:t>
      </w:r>
      <w:r w:rsidR="00BF059B">
        <w:t xml:space="preserve"> </w:t>
      </w:r>
      <w:r>
        <w:t>of</w:t>
      </w:r>
      <w:r w:rsidR="00BF059B">
        <w:t xml:space="preserve"> </w:t>
      </w:r>
      <w:r>
        <w:t>the</w:t>
      </w:r>
      <w:r w:rsidR="00BF059B">
        <w:t xml:space="preserve"> </w:t>
      </w:r>
      <w:r>
        <w:t>Walrus</w:t>
      </w:r>
      <w:r w:rsidR="00BF059B">
        <w:t xml:space="preserve"> </w:t>
      </w:r>
      <w:r>
        <w:t>completing</w:t>
      </w:r>
      <w:r w:rsidR="00BF059B">
        <w:t xml:space="preserve"> </w:t>
      </w:r>
      <w:r>
        <w:t>pest</w:t>
      </w:r>
      <w:r w:rsidR="00BF059B">
        <w:t xml:space="preserve"> </w:t>
      </w:r>
      <w:r>
        <w:t>eradication</w:t>
      </w:r>
      <w:r w:rsidR="00BF059B">
        <w:t xml:space="preserve"> </w:t>
      </w:r>
      <w:r>
        <w:t>treatment</w:t>
      </w:r>
      <w:r w:rsidR="00BF059B">
        <w:t xml:space="preserve"> </w:t>
      </w:r>
      <w:r>
        <w:t>in</w:t>
      </w:r>
      <w:r w:rsidR="00BF059B">
        <w:t xml:space="preserve"> </w:t>
      </w:r>
      <w:r>
        <w:t>the</w:t>
      </w:r>
      <w:r w:rsidR="00BF059B">
        <w:t xml:space="preserve"> </w:t>
      </w:r>
      <w:r>
        <w:t>Natural</w:t>
      </w:r>
      <w:r w:rsidR="00BF059B">
        <w:t xml:space="preserve"> </w:t>
      </w:r>
      <w:r>
        <w:t>History</w:t>
      </w:r>
      <w:r w:rsidR="00BF059B">
        <w:t xml:space="preserve"> </w:t>
      </w:r>
      <w:r>
        <w:t>Gallery</w:t>
      </w:r>
      <w:r w:rsidR="00BF059B">
        <w:t xml:space="preserve"> </w:t>
      </w:r>
      <w:r>
        <w:t>was</w:t>
      </w:r>
      <w:r w:rsidR="00BF059B">
        <w:t xml:space="preserve"> </w:t>
      </w:r>
      <w:r>
        <w:t>the</w:t>
      </w:r>
      <w:r w:rsidR="00BF059B">
        <w:t xml:space="preserve"> </w:t>
      </w:r>
      <w:r>
        <w:t>lead</w:t>
      </w:r>
      <w:r w:rsidR="00BF059B">
        <w:t xml:space="preserve"> </w:t>
      </w:r>
      <w:r>
        <w:t>image</w:t>
      </w:r>
      <w:r w:rsidR="00BF059B">
        <w:t xml:space="preserve"> </w:t>
      </w:r>
      <w:r>
        <w:t>in</w:t>
      </w:r>
      <w:r w:rsidR="00BF059B">
        <w:t xml:space="preserve"> </w:t>
      </w:r>
      <w:r>
        <w:t>The</w:t>
      </w:r>
      <w:r w:rsidR="00BF059B">
        <w:t xml:space="preserve"> </w:t>
      </w:r>
      <w:r>
        <w:t>Times’</w:t>
      </w:r>
      <w:r w:rsidR="00BF059B">
        <w:t xml:space="preserve"> </w:t>
      </w:r>
      <w:r>
        <w:t>News</w:t>
      </w:r>
      <w:r w:rsidR="00BF059B">
        <w:t xml:space="preserve"> </w:t>
      </w:r>
      <w:r>
        <w:t>in</w:t>
      </w:r>
      <w:r w:rsidR="00BF059B">
        <w:t xml:space="preserve"> </w:t>
      </w:r>
      <w:r>
        <w:t>Pictures</w:t>
      </w:r>
      <w:r w:rsidR="00BF059B">
        <w:t xml:space="preserve"> </w:t>
      </w:r>
      <w:r>
        <w:t>pages.</w:t>
      </w:r>
      <w:r w:rsidR="00BF059B">
        <w:t xml:space="preserve">  </w:t>
      </w:r>
    </w:p>
    <w:p w14:paraId="0D58F299" w14:textId="0085C2BD" w:rsidR="00BE13A8" w:rsidRDefault="00D70530" w:rsidP="00C81FD1">
      <w:pPr>
        <w:numPr>
          <w:ilvl w:val="0"/>
          <w:numId w:val="28"/>
        </w:numPr>
        <w:ind w:left="426"/>
        <w:jc w:val="both"/>
      </w:pPr>
      <w:r>
        <w:t>The</w:t>
      </w:r>
      <w:r w:rsidR="00BF059B">
        <w:t xml:space="preserve"> </w:t>
      </w:r>
      <w:r>
        <w:t>Horniman</w:t>
      </w:r>
      <w:r w:rsidR="00BF059B">
        <w:t xml:space="preserve"> </w:t>
      </w:r>
      <w:r>
        <w:t>continues</w:t>
      </w:r>
      <w:r w:rsidR="00BF059B">
        <w:t xml:space="preserve"> </w:t>
      </w:r>
      <w:r>
        <w:t>to</w:t>
      </w:r>
      <w:r w:rsidR="00BF059B">
        <w:t xml:space="preserve"> </w:t>
      </w:r>
      <w:r>
        <w:t>be</w:t>
      </w:r>
      <w:r w:rsidR="00BF059B">
        <w:t xml:space="preserve"> </w:t>
      </w:r>
      <w:r>
        <w:t>cited</w:t>
      </w:r>
      <w:r w:rsidR="00BF059B">
        <w:t xml:space="preserve"> </w:t>
      </w:r>
      <w:r>
        <w:t>as</w:t>
      </w:r>
      <w:r w:rsidR="00BF059B">
        <w:t xml:space="preserve"> </w:t>
      </w:r>
      <w:r>
        <w:t>a</w:t>
      </w:r>
      <w:r w:rsidR="00BF059B">
        <w:t xml:space="preserve"> </w:t>
      </w:r>
      <w:r>
        <w:t>great</w:t>
      </w:r>
      <w:r w:rsidR="00BF059B">
        <w:t xml:space="preserve"> </w:t>
      </w:r>
      <w:r>
        <w:t>day</w:t>
      </w:r>
      <w:r w:rsidR="00BF059B">
        <w:t xml:space="preserve"> </w:t>
      </w:r>
      <w:r>
        <w:t>out</w:t>
      </w:r>
      <w:r w:rsidR="00BF059B">
        <w:t xml:space="preserve"> </w:t>
      </w:r>
      <w:r>
        <w:t>across</w:t>
      </w:r>
      <w:r w:rsidR="00BF059B">
        <w:t xml:space="preserve"> </w:t>
      </w:r>
      <w:r>
        <w:t>a</w:t>
      </w:r>
      <w:r w:rsidR="00BF059B">
        <w:t xml:space="preserve"> </w:t>
      </w:r>
      <w:r>
        <w:t>wide</w:t>
      </w:r>
      <w:r w:rsidR="00BF059B">
        <w:t xml:space="preserve"> </w:t>
      </w:r>
      <w:r>
        <w:t>variety</w:t>
      </w:r>
      <w:r w:rsidR="00BF059B">
        <w:t xml:space="preserve"> </w:t>
      </w:r>
      <w:r>
        <w:t>of</w:t>
      </w:r>
      <w:r w:rsidR="00BF059B">
        <w:t xml:space="preserve"> </w:t>
      </w:r>
      <w:r>
        <w:t>media</w:t>
      </w:r>
      <w:r w:rsidR="00BF059B">
        <w:t xml:space="preserve"> </w:t>
      </w:r>
      <w:r>
        <w:t>outlets</w:t>
      </w:r>
      <w:r w:rsidR="00BF059B">
        <w:t xml:space="preserve"> </w:t>
      </w:r>
      <w:r>
        <w:t>including</w:t>
      </w:r>
      <w:r w:rsidR="00BF059B">
        <w:t xml:space="preserve"> </w:t>
      </w:r>
      <w:r>
        <w:t>BBC</w:t>
      </w:r>
      <w:r w:rsidR="00BF059B">
        <w:t xml:space="preserve"> </w:t>
      </w:r>
      <w:r>
        <w:t>Radio</w:t>
      </w:r>
      <w:r w:rsidR="00BF059B">
        <w:t xml:space="preserve"> </w:t>
      </w:r>
      <w:r>
        <w:t>London,</w:t>
      </w:r>
      <w:r w:rsidR="00BF059B">
        <w:t xml:space="preserve"> </w:t>
      </w:r>
      <w:r>
        <w:t>BA’s</w:t>
      </w:r>
      <w:r w:rsidR="00BF059B">
        <w:t xml:space="preserve"> </w:t>
      </w:r>
      <w:r>
        <w:t>High</w:t>
      </w:r>
      <w:r w:rsidR="00BF059B">
        <w:t xml:space="preserve"> </w:t>
      </w:r>
      <w:r>
        <w:t>Life</w:t>
      </w:r>
      <w:r w:rsidR="00BF059B">
        <w:t xml:space="preserve"> </w:t>
      </w:r>
      <w:r>
        <w:t>Magazine,</w:t>
      </w:r>
      <w:r w:rsidR="00BF059B">
        <w:t xml:space="preserve"> </w:t>
      </w:r>
      <w:r>
        <w:t>Parents</w:t>
      </w:r>
      <w:r w:rsidR="00BF059B">
        <w:t xml:space="preserve"> </w:t>
      </w:r>
      <w:r>
        <w:t>News</w:t>
      </w:r>
      <w:r w:rsidR="00BF059B">
        <w:t xml:space="preserve"> </w:t>
      </w:r>
      <w:r>
        <w:t>UK</w:t>
      </w:r>
      <w:r w:rsidR="00BF059B">
        <w:t xml:space="preserve"> </w:t>
      </w:r>
      <w:r>
        <w:t>and</w:t>
      </w:r>
      <w:r w:rsidR="00BF059B">
        <w:t xml:space="preserve"> </w:t>
      </w:r>
      <w:r>
        <w:t>Time</w:t>
      </w:r>
      <w:r w:rsidR="00BF059B">
        <w:t xml:space="preserve"> </w:t>
      </w:r>
      <w:r>
        <w:t>Out.</w:t>
      </w:r>
      <w:r w:rsidR="00BF059B">
        <w:t xml:space="preserve">  </w:t>
      </w:r>
    </w:p>
    <w:p w14:paraId="285F7FF8" w14:textId="68CDA5A6" w:rsidR="00BE13A8" w:rsidRDefault="00D70530" w:rsidP="00C81FD1">
      <w:pPr>
        <w:numPr>
          <w:ilvl w:val="0"/>
          <w:numId w:val="29"/>
        </w:numPr>
        <w:ind w:left="426"/>
        <w:jc w:val="both"/>
      </w:pPr>
      <w:r>
        <w:t>Free</w:t>
      </w:r>
      <w:r w:rsidR="00BF059B">
        <w:t xml:space="preserve"> </w:t>
      </w:r>
      <w:r>
        <w:t>entry</w:t>
      </w:r>
      <w:r w:rsidR="00BF059B">
        <w:t xml:space="preserve"> </w:t>
      </w:r>
      <w:r>
        <w:t>to</w:t>
      </w:r>
      <w:r w:rsidR="00BF059B">
        <w:t xml:space="preserve"> </w:t>
      </w:r>
      <w:r>
        <w:t>the</w:t>
      </w:r>
      <w:r w:rsidR="00BF059B">
        <w:t xml:space="preserve"> </w:t>
      </w:r>
      <w:r>
        <w:t>Butterfly</w:t>
      </w:r>
      <w:r w:rsidR="00BF059B">
        <w:t xml:space="preserve"> </w:t>
      </w:r>
      <w:r>
        <w:t>House</w:t>
      </w:r>
      <w:r w:rsidR="00BF059B">
        <w:t xml:space="preserve"> </w:t>
      </w:r>
      <w:r>
        <w:t>for</w:t>
      </w:r>
      <w:r w:rsidR="00BF059B">
        <w:t xml:space="preserve"> </w:t>
      </w:r>
      <w:r>
        <w:t>National</w:t>
      </w:r>
      <w:r w:rsidR="00BF059B">
        <w:t xml:space="preserve"> </w:t>
      </w:r>
      <w:r>
        <w:t>Lottery</w:t>
      </w:r>
      <w:r w:rsidR="00BF059B">
        <w:t xml:space="preserve"> </w:t>
      </w:r>
      <w:r>
        <w:t>Open</w:t>
      </w:r>
      <w:r w:rsidR="00BF059B">
        <w:t xml:space="preserve"> </w:t>
      </w:r>
      <w:r>
        <w:t>Week</w:t>
      </w:r>
      <w:r w:rsidR="00BF059B">
        <w:t xml:space="preserve"> </w:t>
      </w:r>
      <w:r>
        <w:t>was</w:t>
      </w:r>
      <w:r w:rsidR="00BF059B">
        <w:t xml:space="preserve"> </w:t>
      </w:r>
      <w:r>
        <w:t>reported</w:t>
      </w:r>
      <w:r w:rsidR="00BF059B">
        <w:t xml:space="preserve"> </w:t>
      </w:r>
      <w:r>
        <w:t>in</w:t>
      </w:r>
      <w:r w:rsidR="00BF059B">
        <w:t xml:space="preserve"> </w:t>
      </w:r>
      <w:r>
        <w:t>an</w:t>
      </w:r>
      <w:r w:rsidR="00BF059B">
        <w:t xml:space="preserve"> </w:t>
      </w:r>
      <w:r>
        <w:t>article</w:t>
      </w:r>
      <w:r w:rsidR="00BF059B">
        <w:t xml:space="preserve"> </w:t>
      </w:r>
      <w:r>
        <w:t>syndicated</w:t>
      </w:r>
      <w:r w:rsidR="00BF059B">
        <w:t xml:space="preserve"> </w:t>
      </w:r>
      <w:r>
        <w:t>to</w:t>
      </w:r>
      <w:r w:rsidR="00BF059B">
        <w:t xml:space="preserve"> </w:t>
      </w:r>
      <w:r>
        <w:t>almost</w:t>
      </w:r>
      <w:r w:rsidR="00BF059B">
        <w:t xml:space="preserve"> </w:t>
      </w:r>
      <w:r>
        <w:t>80</w:t>
      </w:r>
      <w:r w:rsidR="00BF059B">
        <w:t xml:space="preserve"> </w:t>
      </w:r>
      <w:r>
        <w:t>local</w:t>
      </w:r>
      <w:r w:rsidR="00BF059B">
        <w:t xml:space="preserve"> </w:t>
      </w:r>
      <w:r>
        <w:t>and</w:t>
      </w:r>
      <w:r w:rsidR="00BF059B">
        <w:t xml:space="preserve"> </w:t>
      </w:r>
      <w:r>
        <w:t>regional</w:t>
      </w:r>
      <w:r w:rsidR="00BF059B">
        <w:t xml:space="preserve"> </w:t>
      </w:r>
      <w:r>
        <w:t>titles</w:t>
      </w:r>
      <w:r w:rsidR="00BF059B">
        <w:t xml:space="preserve"> </w:t>
      </w:r>
      <w:r>
        <w:t>online.</w:t>
      </w:r>
      <w:r w:rsidR="00BF059B">
        <w:t xml:space="preserve"> </w:t>
      </w:r>
    </w:p>
    <w:p w14:paraId="72BD2342" w14:textId="40385D0C" w:rsidR="00BE13A8" w:rsidRDefault="00D70530" w:rsidP="00C81FD1">
      <w:pPr>
        <w:numPr>
          <w:ilvl w:val="0"/>
          <w:numId w:val="30"/>
        </w:numPr>
        <w:ind w:left="426"/>
        <w:jc w:val="both"/>
      </w:pPr>
      <w:r>
        <w:t>And</w:t>
      </w:r>
      <w:r w:rsidR="00BF059B">
        <w:t xml:space="preserve"> </w:t>
      </w:r>
      <w:r>
        <w:t>the</w:t>
      </w:r>
      <w:r w:rsidR="00BF059B">
        <w:t xml:space="preserve"> </w:t>
      </w:r>
      <w:r>
        <w:t>Horniman’s</w:t>
      </w:r>
      <w:r w:rsidR="00BF059B">
        <w:t xml:space="preserve"> </w:t>
      </w:r>
      <w:r>
        <w:t>shortlisting</w:t>
      </w:r>
      <w:r w:rsidR="00BF059B">
        <w:t xml:space="preserve"> </w:t>
      </w:r>
      <w:r>
        <w:t>and</w:t>
      </w:r>
      <w:r w:rsidR="00BF059B">
        <w:t xml:space="preserve"> </w:t>
      </w:r>
      <w:r>
        <w:t>win</w:t>
      </w:r>
      <w:r w:rsidR="00BF059B">
        <w:t xml:space="preserve"> </w:t>
      </w:r>
      <w:r>
        <w:t>of</w:t>
      </w:r>
      <w:r w:rsidR="00BF059B">
        <w:t xml:space="preserve"> </w:t>
      </w:r>
      <w:r>
        <w:t>Best</w:t>
      </w:r>
      <w:r w:rsidR="00BF059B">
        <w:t xml:space="preserve"> </w:t>
      </w:r>
      <w:r>
        <w:t>Family</w:t>
      </w:r>
      <w:r w:rsidR="00BF059B">
        <w:t xml:space="preserve"> </w:t>
      </w:r>
      <w:r>
        <w:t>Attraction</w:t>
      </w:r>
      <w:r w:rsidR="00BF059B">
        <w:t xml:space="preserve"> </w:t>
      </w:r>
      <w:r>
        <w:t>in</w:t>
      </w:r>
      <w:r w:rsidR="00BF059B">
        <w:t xml:space="preserve"> </w:t>
      </w:r>
      <w:r>
        <w:t>the</w:t>
      </w:r>
      <w:r w:rsidR="00BF059B">
        <w:t xml:space="preserve"> </w:t>
      </w:r>
      <w:r>
        <w:t>London</w:t>
      </w:r>
      <w:r w:rsidR="00BF059B">
        <w:t xml:space="preserve"> </w:t>
      </w:r>
      <w:r>
        <w:t>Muddy</w:t>
      </w:r>
      <w:r w:rsidR="00BF059B">
        <w:t xml:space="preserve"> </w:t>
      </w:r>
      <w:r>
        <w:t>Stiletto</w:t>
      </w:r>
      <w:r w:rsidR="00BF059B">
        <w:t xml:space="preserve"> </w:t>
      </w:r>
      <w:r>
        <w:t>Awards</w:t>
      </w:r>
      <w:r w:rsidR="00BF059B">
        <w:t xml:space="preserve"> </w:t>
      </w:r>
      <w:r>
        <w:t>picked</w:t>
      </w:r>
      <w:r w:rsidR="00BF059B">
        <w:t xml:space="preserve"> </w:t>
      </w:r>
      <w:r>
        <w:t>up</w:t>
      </w:r>
      <w:r w:rsidR="00BF059B">
        <w:t xml:space="preserve"> </w:t>
      </w:r>
      <w:r>
        <w:t>multiple</w:t>
      </w:r>
      <w:r w:rsidR="00BF059B">
        <w:t xml:space="preserve"> </w:t>
      </w:r>
      <w:r>
        <w:t>media</w:t>
      </w:r>
      <w:r w:rsidR="00BF059B">
        <w:t xml:space="preserve"> </w:t>
      </w:r>
      <w:r>
        <w:t>mentions.</w:t>
      </w:r>
      <w:r w:rsidR="00BF059B">
        <w:t xml:space="preserve"> </w:t>
      </w:r>
    </w:p>
    <w:p w14:paraId="5CFE96D5" w14:textId="77777777" w:rsidR="00BE13A8" w:rsidRDefault="00BE13A8">
      <w:pPr>
        <w:jc w:val="both"/>
        <w:rPr>
          <w:i/>
          <w:color w:val="FF0000"/>
          <w:highlight w:val="white"/>
        </w:rPr>
      </w:pPr>
    </w:p>
    <w:p w14:paraId="2DED4CF6" w14:textId="09C67441" w:rsidR="00BE13A8" w:rsidRDefault="00D70530" w:rsidP="008D4835">
      <w:pPr>
        <w:pStyle w:val="Heading3"/>
      </w:pPr>
      <w:r>
        <w:t>2.0</w:t>
      </w:r>
      <w:r w:rsidR="00BF059B">
        <w:t xml:space="preserve"> </w:t>
      </w:r>
      <w:r>
        <w:t>Collections</w:t>
      </w:r>
    </w:p>
    <w:p w14:paraId="03AE3C35" w14:textId="7C894CB5" w:rsidR="00BE13A8" w:rsidRDefault="00D70530">
      <w:pPr>
        <w:jc w:val="both"/>
      </w:pPr>
      <w:r>
        <w:t>Aim:</w:t>
      </w:r>
      <w:r w:rsidR="00BF059B">
        <w:t xml:space="preserve"> </w:t>
      </w:r>
      <w:r>
        <w:t>We</w:t>
      </w:r>
      <w:r w:rsidR="00BF059B">
        <w:t xml:space="preserve"> </w:t>
      </w:r>
      <w:r>
        <w:t>will</w:t>
      </w:r>
      <w:r w:rsidR="00BF059B">
        <w:t xml:space="preserve"> </w:t>
      </w:r>
      <w:r>
        <w:t>safeguard</w:t>
      </w:r>
      <w:r w:rsidR="00BF059B">
        <w:t xml:space="preserve"> </w:t>
      </w:r>
      <w:r>
        <w:t>and</w:t>
      </w:r>
      <w:r w:rsidR="00BF059B">
        <w:t xml:space="preserve"> </w:t>
      </w:r>
      <w:r>
        <w:t>develop</w:t>
      </w:r>
      <w:r w:rsidR="00BF059B">
        <w:t xml:space="preserve"> </w:t>
      </w:r>
      <w:r>
        <w:t>the</w:t>
      </w:r>
      <w:r w:rsidR="00BF059B">
        <w:t xml:space="preserve"> </w:t>
      </w:r>
      <w:r>
        <w:t>collections</w:t>
      </w:r>
      <w:r w:rsidR="00BF059B">
        <w:t xml:space="preserve"> </w:t>
      </w:r>
      <w:r>
        <w:t>so</w:t>
      </w:r>
      <w:r w:rsidR="00BF059B">
        <w:t xml:space="preserve"> </w:t>
      </w:r>
      <w:r>
        <w:t>that</w:t>
      </w:r>
      <w:r w:rsidR="00BF059B">
        <w:t xml:space="preserve"> </w:t>
      </w:r>
      <w:r>
        <w:t>they</w:t>
      </w:r>
      <w:r w:rsidR="00BF059B">
        <w:t xml:space="preserve"> </w:t>
      </w:r>
      <w:r>
        <w:t>can</w:t>
      </w:r>
      <w:r w:rsidR="00BF059B">
        <w:t xml:space="preserve"> </w:t>
      </w:r>
      <w:r>
        <w:t>be</w:t>
      </w:r>
      <w:r w:rsidR="00BF059B">
        <w:t xml:space="preserve"> </w:t>
      </w:r>
      <w:r>
        <w:t>made</w:t>
      </w:r>
      <w:r w:rsidR="00BF059B">
        <w:t xml:space="preserve"> </w:t>
      </w:r>
      <w:r>
        <w:t>as</w:t>
      </w:r>
      <w:r w:rsidR="00BF059B">
        <w:t xml:space="preserve"> </w:t>
      </w:r>
      <w:r>
        <w:t>accessible</w:t>
      </w:r>
      <w:r w:rsidR="00BF059B">
        <w:t xml:space="preserve"> </w:t>
      </w:r>
      <w:r>
        <w:t>as</w:t>
      </w:r>
      <w:r w:rsidR="00BF059B">
        <w:t xml:space="preserve"> </w:t>
      </w:r>
      <w:r>
        <w:t>possible</w:t>
      </w:r>
      <w:r w:rsidR="00BF059B">
        <w:t xml:space="preserve"> </w:t>
      </w:r>
      <w:r>
        <w:t>now</w:t>
      </w:r>
      <w:r w:rsidR="00BF059B">
        <w:t xml:space="preserve"> </w:t>
      </w:r>
      <w:r>
        <w:t>and</w:t>
      </w:r>
      <w:r w:rsidR="00BF059B">
        <w:t xml:space="preserve"> </w:t>
      </w:r>
      <w:r>
        <w:t>into</w:t>
      </w:r>
      <w:r w:rsidR="00BF059B">
        <w:t xml:space="preserve"> </w:t>
      </w:r>
      <w:r>
        <w:t>the</w:t>
      </w:r>
      <w:r w:rsidR="00BF059B">
        <w:t xml:space="preserve"> </w:t>
      </w:r>
      <w:r>
        <w:t>future.</w:t>
      </w:r>
    </w:p>
    <w:p w14:paraId="4E4871A1" w14:textId="77777777" w:rsidR="00BE13A8" w:rsidRDefault="00BE13A8">
      <w:pPr>
        <w:jc w:val="both"/>
        <w:rPr>
          <w:i/>
        </w:rPr>
      </w:pPr>
    </w:p>
    <w:p w14:paraId="4C3C060E" w14:textId="072997F4" w:rsidR="00BE13A8" w:rsidRDefault="00D70530">
      <w:pPr>
        <w:jc w:val="both"/>
      </w:pPr>
      <w:r>
        <w:t>Performance</w:t>
      </w:r>
      <w:r w:rsidR="00BF059B">
        <w:t xml:space="preserve"> </w:t>
      </w:r>
      <w:r>
        <w:t>against</w:t>
      </w:r>
      <w:r w:rsidR="00BF059B">
        <w:t xml:space="preserve"> </w:t>
      </w:r>
      <w:r>
        <w:t>Collections</w:t>
      </w:r>
      <w:r w:rsidR="00BF059B">
        <w:t xml:space="preserve"> </w:t>
      </w:r>
      <w:r>
        <w:t>aim</w:t>
      </w:r>
      <w:r w:rsidR="00BF059B">
        <w:t xml:space="preserve"> </w:t>
      </w:r>
      <w:r>
        <w:t>and</w:t>
      </w:r>
      <w:r w:rsidR="00BF059B">
        <w:t xml:space="preserve"> </w:t>
      </w:r>
      <w:r>
        <w:t>objectives</w:t>
      </w:r>
      <w:r w:rsidR="00BF059B">
        <w:t xml:space="preserve"> </w:t>
      </w:r>
      <w:r>
        <w:t>as</w:t>
      </w:r>
      <w:r w:rsidR="00BF059B">
        <w:t xml:space="preserve"> </w:t>
      </w:r>
      <w:r>
        <w:t>outlined</w:t>
      </w:r>
      <w:r w:rsidR="00BF059B">
        <w:t xml:space="preserve"> </w:t>
      </w:r>
      <w:r>
        <w:t>in</w:t>
      </w:r>
      <w:r w:rsidR="00BF059B">
        <w:t xml:space="preserve"> </w:t>
      </w:r>
      <w:r>
        <w:t>the</w:t>
      </w:r>
      <w:r w:rsidR="00BF059B">
        <w:t xml:space="preserve"> </w:t>
      </w:r>
      <w:r>
        <w:t>Corporate</w:t>
      </w:r>
      <w:r w:rsidR="00BF059B">
        <w:t xml:space="preserve"> </w:t>
      </w:r>
      <w:r>
        <w:t>Plan:</w:t>
      </w:r>
    </w:p>
    <w:p w14:paraId="35C11563" w14:textId="39138A30" w:rsidR="00BE13A8" w:rsidRDefault="00D70530" w:rsidP="00C81FD1">
      <w:pPr>
        <w:numPr>
          <w:ilvl w:val="0"/>
          <w:numId w:val="11"/>
        </w:numPr>
        <w:pBdr>
          <w:top w:val="nil"/>
          <w:left w:val="nil"/>
          <w:bottom w:val="nil"/>
          <w:right w:val="nil"/>
          <w:between w:val="nil"/>
        </w:pBdr>
        <w:ind w:left="709"/>
        <w:jc w:val="both"/>
      </w:pPr>
      <w:r>
        <w:rPr>
          <w:color w:val="000000"/>
        </w:rPr>
        <w:t>We</w:t>
      </w:r>
      <w:r w:rsidR="00BF059B">
        <w:rPr>
          <w:color w:val="000000"/>
        </w:rPr>
        <w:t xml:space="preserve"> </w:t>
      </w:r>
      <w:r>
        <w:rPr>
          <w:color w:val="000000"/>
        </w:rPr>
        <w:t>have</w:t>
      </w:r>
      <w:r w:rsidR="00BF059B">
        <w:rPr>
          <w:color w:val="000000"/>
        </w:rPr>
        <w:t xml:space="preserve"> </w:t>
      </w:r>
      <w:r>
        <w:rPr>
          <w:color w:val="000000"/>
        </w:rPr>
        <w:t>successfully</w:t>
      </w:r>
      <w:r w:rsidR="00BF059B">
        <w:rPr>
          <w:color w:val="000000"/>
        </w:rPr>
        <w:t xml:space="preserve"> </w:t>
      </w:r>
      <w:r>
        <w:rPr>
          <w:color w:val="000000"/>
        </w:rPr>
        <w:t>researched</w:t>
      </w:r>
      <w:r w:rsidR="00BF059B">
        <w:rPr>
          <w:color w:val="000000"/>
        </w:rPr>
        <w:t xml:space="preserve"> </w:t>
      </w:r>
      <w:r>
        <w:rPr>
          <w:color w:val="000000"/>
        </w:rPr>
        <w:t>and</w:t>
      </w:r>
      <w:r w:rsidR="00BF059B">
        <w:rPr>
          <w:color w:val="000000"/>
        </w:rPr>
        <w:t xml:space="preserve"> </w:t>
      </w:r>
      <w:r>
        <w:rPr>
          <w:color w:val="000000"/>
        </w:rPr>
        <w:t>reinterpreted</w:t>
      </w:r>
      <w:r w:rsidR="00BF059B">
        <w:rPr>
          <w:color w:val="000000"/>
        </w:rPr>
        <w:t xml:space="preserve"> </w:t>
      </w:r>
      <w:r>
        <w:rPr>
          <w:color w:val="000000"/>
        </w:rPr>
        <w:t>our</w:t>
      </w:r>
      <w:r w:rsidR="00BF059B">
        <w:rPr>
          <w:color w:val="000000"/>
        </w:rPr>
        <w:t xml:space="preserve"> </w:t>
      </w:r>
      <w:r>
        <w:rPr>
          <w:color w:val="000000"/>
        </w:rPr>
        <w:t>Natural</w:t>
      </w:r>
      <w:r w:rsidR="00BF059B">
        <w:rPr>
          <w:color w:val="000000"/>
        </w:rPr>
        <w:t xml:space="preserve"> </w:t>
      </w:r>
      <w:r>
        <w:rPr>
          <w:color w:val="000000"/>
        </w:rPr>
        <w:t>History</w:t>
      </w:r>
      <w:r w:rsidR="00BF059B">
        <w:rPr>
          <w:color w:val="000000"/>
        </w:rPr>
        <w:t xml:space="preserve"> </w:t>
      </w:r>
      <w:r>
        <w:rPr>
          <w:color w:val="000000"/>
        </w:rPr>
        <w:t>collection</w:t>
      </w:r>
      <w:r w:rsidR="00BF059B">
        <w:rPr>
          <w:color w:val="000000"/>
        </w:rPr>
        <w:t xml:space="preserve"> </w:t>
      </w:r>
      <w:r>
        <w:rPr>
          <w:color w:val="000000"/>
        </w:rPr>
        <w:t>as</w:t>
      </w:r>
      <w:r w:rsidR="00BF059B">
        <w:rPr>
          <w:color w:val="000000"/>
        </w:rPr>
        <w:t xml:space="preserve"> </w:t>
      </w:r>
      <w:r>
        <w:rPr>
          <w:color w:val="000000"/>
        </w:rPr>
        <w:t>part</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Nature</w:t>
      </w:r>
      <w:r w:rsidR="00BF059B">
        <w:rPr>
          <w:color w:val="000000"/>
        </w:rPr>
        <w:t xml:space="preserve"> </w:t>
      </w:r>
      <w:r>
        <w:rPr>
          <w:color w:val="000000"/>
        </w:rPr>
        <w:t>+</w:t>
      </w:r>
      <w:r w:rsidR="00BF059B">
        <w:rPr>
          <w:color w:val="000000"/>
        </w:rPr>
        <w:t xml:space="preserve"> </w:t>
      </w:r>
      <w:r>
        <w:rPr>
          <w:color w:val="000000"/>
        </w:rPr>
        <w:t>Love</w:t>
      </w:r>
      <w:r w:rsidR="00BF059B">
        <w:rPr>
          <w:color w:val="000000"/>
        </w:rPr>
        <w:t xml:space="preserve"> </w:t>
      </w:r>
      <w:r>
        <w:rPr>
          <w:color w:val="000000"/>
        </w:rPr>
        <w:t>project,</w:t>
      </w:r>
      <w:r w:rsidR="00BF059B">
        <w:rPr>
          <w:color w:val="000000"/>
        </w:rPr>
        <w:t xml:space="preserve"> </w:t>
      </w:r>
      <w:r>
        <w:rPr>
          <w:color w:val="000000"/>
        </w:rPr>
        <w:t>decanting</w:t>
      </w:r>
      <w:r w:rsidR="00BF059B">
        <w:rPr>
          <w:color w:val="000000"/>
        </w:rPr>
        <w:t xml:space="preserve"> </w:t>
      </w:r>
      <w:r>
        <w:rPr>
          <w:color w:val="000000"/>
        </w:rPr>
        <w:t>the</w:t>
      </w:r>
      <w:r w:rsidR="00BF059B">
        <w:rPr>
          <w:color w:val="000000"/>
        </w:rPr>
        <w:t xml:space="preserve"> </w:t>
      </w:r>
      <w:r>
        <w:rPr>
          <w:color w:val="000000"/>
        </w:rPr>
        <w:t>existing</w:t>
      </w:r>
      <w:r w:rsidR="00BF059B">
        <w:rPr>
          <w:color w:val="000000"/>
        </w:rPr>
        <w:t xml:space="preserve"> </w:t>
      </w:r>
      <w:r>
        <w:rPr>
          <w:color w:val="000000"/>
        </w:rPr>
        <w:t>displays,</w:t>
      </w:r>
      <w:r w:rsidR="00BF059B">
        <w:rPr>
          <w:color w:val="000000"/>
        </w:rPr>
        <w:t xml:space="preserve"> </w:t>
      </w:r>
      <w:r>
        <w:rPr>
          <w:color w:val="000000"/>
        </w:rPr>
        <w:t>developing</w:t>
      </w:r>
      <w:r w:rsidR="00BF059B">
        <w:rPr>
          <w:color w:val="000000"/>
        </w:rPr>
        <w:t xml:space="preserve"> </w:t>
      </w:r>
      <w:r>
        <w:rPr>
          <w:color w:val="000000"/>
        </w:rPr>
        <w:t>content</w:t>
      </w:r>
      <w:r w:rsidR="00BF059B">
        <w:rPr>
          <w:color w:val="000000"/>
        </w:rPr>
        <w:t xml:space="preserve"> </w:t>
      </w:r>
      <w:r>
        <w:rPr>
          <w:color w:val="000000"/>
        </w:rPr>
        <w:t>and</w:t>
      </w:r>
      <w:r w:rsidR="00BF059B">
        <w:rPr>
          <w:color w:val="000000"/>
        </w:rPr>
        <w:t xml:space="preserve"> </w:t>
      </w:r>
      <w:r>
        <w:rPr>
          <w:color w:val="000000"/>
        </w:rPr>
        <w:t>interpretation</w:t>
      </w:r>
      <w:r w:rsidR="00BF059B">
        <w:rPr>
          <w:color w:val="000000"/>
        </w:rPr>
        <w:t xml:space="preserve"> </w:t>
      </w:r>
      <w:r>
        <w:rPr>
          <w:color w:val="000000"/>
        </w:rPr>
        <w:t>for</w:t>
      </w:r>
      <w:r w:rsidR="00BF059B">
        <w:rPr>
          <w:color w:val="000000"/>
        </w:rPr>
        <w:t xml:space="preserve"> </w:t>
      </w:r>
      <w:r>
        <w:rPr>
          <w:color w:val="000000"/>
        </w:rPr>
        <w:t>the</w:t>
      </w:r>
      <w:r w:rsidR="00BF059B">
        <w:rPr>
          <w:color w:val="000000"/>
        </w:rPr>
        <w:t xml:space="preserve"> </w:t>
      </w:r>
      <w:r>
        <w:rPr>
          <w:color w:val="000000"/>
        </w:rPr>
        <w:t>new</w:t>
      </w:r>
      <w:r w:rsidR="00BF059B">
        <w:rPr>
          <w:color w:val="000000"/>
        </w:rPr>
        <w:t xml:space="preserve"> </w:t>
      </w:r>
      <w:r>
        <w:rPr>
          <w:color w:val="000000"/>
        </w:rPr>
        <w:t>gallery</w:t>
      </w:r>
      <w:r w:rsidR="00BF059B">
        <w:rPr>
          <w:color w:val="000000"/>
        </w:rPr>
        <w:t xml:space="preserve"> </w:t>
      </w:r>
      <w:r>
        <w:rPr>
          <w:color w:val="000000"/>
        </w:rPr>
        <w:t>and</w:t>
      </w:r>
      <w:r w:rsidR="00BF059B">
        <w:rPr>
          <w:color w:val="000000"/>
        </w:rPr>
        <w:t xml:space="preserve"> </w:t>
      </w:r>
      <w:r>
        <w:rPr>
          <w:color w:val="000000"/>
        </w:rPr>
        <w:t>working</w:t>
      </w:r>
      <w:r w:rsidR="00BF059B">
        <w:rPr>
          <w:color w:val="000000"/>
        </w:rPr>
        <w:t xml:space="preserve"> </w:t>
      </w:r>
      <w:r>
        <w:rPr>
          <w:color w:val="000000"/>
        </w:rPr>
        <w:t>on</w:t>
      </w:r>
      <w:r w:rsidR="00BF059B">
        <w:rPr>
          <w:color w:val="000000"/>
        </w:rPr>
        <w:t xml:space="preserve"> </w:t>
      </w:r>
      <w:r>
        <w:rPr>
          <w:color w:val="000000"/>
        </w:rPr>
        <w:t>objects</w:t>
      </w:r>
      <w:r w:rsidR="00BF059B">
        <w:rPr>
          <w:color w:val="000000"/>
        </w:rPr>
        <w:t xml:space="preserve"> </w:t>
      </w:r>
      <w:r>
        <w:rPr>
          <w:color w:val="000000"/>
        </w:rPr>
        <w:t>layouts,</w:t>
      </w:r>
      <w:r w:rsidR="00BF059B">
        <w:rPr>
          <w:color w:val="000000"/>
        </w:rPr>
        <w:t xml:space="preserve"> </w:t>
      </w:r>
      <w:r>
        <w:rPr>
          <w:color w:val="000000"/>
        </w:rPr>
        <w:t>conservation</w:t>
      </w:r>
      <w:r w:rsidR="00BF059B">
        <w:rPr>
          <w:color w:val="000000"/>
        </w:rPr>
        <w:t xml:space="preserve"> </w:t>
      </w:r>
      <w:r>
        <w:rPr>
          <w:color w:val="000000"/>
        </w:rPr>
        <w:t>and</w:t>
      </w:r>
      <w:r w:rsidR="00BF059B">
        <w:rPr>
          <w:color w:val="000000"/>
        </w:rPr>
        <w:t xml:space="preserve"> </w:t>
      </w:r>
      <w:r>
        <w:rPr>
          <w:color w:val="000000"/>
        </w:rPr>
        <w:t>mount-making.</w:t>
      </w:r>
    </w:p>
    <w:p w14:paraId="4B5E49AF" w14:textId="7F19C064" w:rsidR="00BE13A8" w:rsidRDefault="00D70530" w:rsidP="00C81FD1">
      <w:pPr>
        <w:numPr>
          <w:ilvl w:val="0"/>
          <w:numId w:val="11"/>
        </w:numPr>
        <w:pBdr>
          <w:top w:val="nil"/>
          <w:left w:val="nil"/>
          <w:bottom w:val="nil"/>
          <w:right w:val="nil"/>
          <w:between w:val="nil"/>
        </w:pBdr>
        <w:ind w:left="709"/>
        <w:jc w:val="both"/>
      </w:pPr>
      <w:r>
        <w:rPr>
          <w:color w:val="000000"/>
        </w:rPr>
        <w:t>Working</w:t>
      </w:r>
      <w:r w:rsidR="00BF059B">
        <w:rPr>
          <w:color w:val="000000"/>
        </w:rPr>
        <w:t xml:space="preserve"> </w:t>
      </w:r>
      <w:r>
        <w:rPr>
          <w:color w:val="000000"/>
        </w:rPr>
        <w:t>with</w:t>
      </w:r>
      <w:r w:rsidR="00BF059B">
        <w:rPr>
          <w:color w:val="000000"/>
        </w:rPr>
        <w:t xml:space="preserve"> </w:t>
      </w:r>
      <w:r>
        <w:rPr>
          <w:color w:val="000000"/>
        </w:rPr>
        <w:t>AIATSIS</w:t>
      </w:r>
      <w:r w:rsidR="00BF059B">
        <w:rPr>
          <w:color w:val="000000"/>
        </w:rPr>
        <w:t xml:space="preserve"> </w:t>
      </w:r>
      <w:r>
        <w:rPr>
          <w:color w:val="000000"/>
        </w:rPr>
        <w:t>(the</w:t>
      </w:r>
      <w:r w:rsidR="00BF059B">
        <w:rPr>
          <w:color w:val="000000"/>
        </w:rPr>
        <w:t xml:space="preserve"> </w:t>
      </w:r>
      <w:r>
        <w:rPr>
          <w:color w:val="000000"/>
        </w:rPr>
        <w:t>Australian</w:t>
      </w:r>
      <w:r w:rsidR="00BF059B">
        <w:rPr>
          <w:color w:val="000000"/>
        </w:rPr>
        <w:t xml:space="preserve"> </w:t>
      </w:r>
      <w:r>
        <w:rPr>
          <w:color w:val="000000"/>
        </w:rPr>
        <w:t>Institute</w:t>
      </w:r>
      <w:r w:rsidR="00BF059B">
        <w:rPr>
          <w:color w:val="000000"/>
        </w:rPr>
        <w:t xml:space="preserve"> </w:t>
      </w:r>
      <w:r>
        <w:rPr>
          <w:color w:val="000000"/>
        </w:rPr>
        <w:t>of</w:t>
      </w:r>
      <w:r w:rsidR="00BF059B">
        <w:rPr>
          <w:color w:val="000000"/>
        </w:rPr>
        <w:t xml:space="preserve"> </w:t>
      </w:r>
      <w:r>
        <w:rPr>
          <w:color w:val="000000"/>
        </w:rPr>
        <w:t>Aboriginal</w:t>
      </w:r>
      <w:r w:rsidR="00BF059B">
        <w:rPr>
          <w:color w:val="000000"/>
        </w:rPr>
        <w:t xml:space="preserve"> </w:t>
      </w:r>
      <w:r>
        <w:rPr>
          <w:color w:val="000000"/>
        </w:rPr>
        <w:t>and</w:t>
      </w:r>
      <w:r w:rsidR="00BF059B">
        <w:rPr>
          <w:color w:val="000000"/>
        </w:rPr>
        <w:t xml:space="preserve"> </w:t>
      </w:r>
      <w:r>
        <w:rPr>
          <w:color w:val="000000"/>
        </w:rPr>
        <w:t>Torres</w:t>
      </w:r>
      <w:r w:rsidR="00BF059B">
        <w:rPr>
          <w:color w:val="000000"/>
        </w:rPr>
        <w:t xml:space="preserve"> </w:t>
      </w:r>
      <w:r>
        <w:rPr>
          <w:color w:val="000000"/>
        </w:rPr>
        <w:t>Strait</w:t>
      </w:r>
      <w:r w:rsidR="00BF059B">
        <w:rPr>
          <w:color w:val="000000"/>
        </w:rPr>
        <w:t xml:space="preserve"> </w:t>
      </w:r>
      <w:r>
        <w:rPr>
          <w:color w:val="000000"/>
        </w:rPr>
        <w:t>Islander</w:t>
      </w:r>
      <w:r w:rsidR="00BF059B">
        <w:rPr>
          <w:color w:val="000000"/>
        </w:rPr>
        <w:t xml:space="preserve"> </w:t>
      </w:r>
      <w:r>
        <w:rPr>
          <w:color w:val="000000"/>
        </w:rPr>
        <w:t>Studies)</w:t>
      </w:r>
      <w:r w:rsidR="00BF059B">
        <w:rPr>
          <w:color w:val="000000"/>
        </w:rPr>
        <w:t xml:space="preserve"> </w:t>
      </w:r>
      <w:r>
        <w:rPr>
          <w:color w:val="000000"/>
        </w:rPr>
        <w:t>we</w:t>
      </w:r>
      <w:r w:rsidR="00BF059B">
        <w:rPr>
          <w:color w:val="000000"/>
        </w:rPr>
        <w:t xml:space="preserve"> </w:t>
      </w:r>
      <w:r>
        <w:rPr>
          <w:color w:val="000000"/>
        </w:rPr>
        <w:t>successfully</w:t>
      </w:r>
      <w:r w:rsidR="00BF059B">
        <w:rPr>
          <w:color w:val="000000"/>
        </w:rPr>
        <w:t xml:space="preserve"> </w:t>
      </w:r>
      <w:r>
        <w:rPr>
          <w:color w:val="000000"/>
        </w:rPr>
        <w:t>transferred</w:t>
      </w:r>
      <w:r w:rsidR="00BF059B">
        <w:rPr>
          <w:color w:val="000000"/>
        </w:rPr>
        <w:t xml:space="preserve"> </w:t>
      </w:r>
      <w:r>
        <w:rPr>
          <w:color w:val="000000"/>
        </w:rPr>
        <w:t>ownership</w:t>
      </w:r>
      <w:r w:rsidR="00BF059B">
        <w:rPr>
          <w:color w:val="000000"/>
        </w:rPr>
        <w:t xml:space="preserve"> </w:t>
      </w:r>
      <w:r>
        <w:rPr>
          <w:color w:val="000000"/>
        </w:rPr>
        <w:t>of</w:t>
      </w:r>
      <w:r w:rsidR="00BF059B">
        <w:rPr>
          <w:color w:val="000000"/>
        </w:rPr>
        <w:t xml:space="preserve"> </w:t>
      </w:r>
      <w:r>
        <w:rPr>
          <w:color w:val="000000"/>
        </w:rPr>
        <w:t>10</w:t>
      </w:r>
      <w:r w:rsidR="00BF059B">
        <w:rPr>
          <w:color w:val="000000"/>
        </w:rPr>
        <w:t xml:space="preserve"> </w:t>
      </w:r>
      <w:r>
        <w:rPr>
          <w:color w:val="000000"/>
        </w:rPr>
        <w:t>objects</w:t>
      </w:r>
      <w:r w:rsidR="00BF059B">
        <w:rPr>
          <w:color w:val="000000"/>
        </w:rPr>
        <w:t xml:space="preserve"> </w:t>
      </w:r>
      <w:r>
        <w:rPr>
          <w:color w:val="000000"/>
        </w:rPr>
        <w:t>to</w:t>
      </w:r>
      <w:r w:rsidR="00BF059B">
        <w:rPr>
          <w:color w:val="000000"/>
        </w:rPr>
        <w:t xml:space="preserve"> </w:t>
      </w:r>
      <w:r>
        <w:rPr>
          <w:color w:val="000000"/>
        </w:rPr>
        <w:t>the</w:t>
      </w:r>
      <w:r w:rsidR="00BF059B">
        <w:rPr>
          <w:color w:val="000000"/>
        </w:rPr>
        <w:t xml:space="preserve"> </w:t>
      </w:r>
      <w:r>
        <w:rPr>
          <w:color w:val="000000"/>
        </w:rPr>
        <w:t>Warumungu</w:t>
      </w:r>
      <w:r w:rsidR="00BF059B">
        <w:rPr>
          <w:color w:val="000000"/>
        </w:rPr>
        <w:t xml:space="preserve"> </w:t>
      </w:r>
      <w:r>
        <w:rPr>
          <w:color w:val="000000"/>
        </w:rPr>
        <w:t>community,</w:t>
      </w:r>
      <w:r w:rsidR="00BF059B">
        <w:rPr>
          <w:color w:val="000000"/>
        </w:rPr>
        <w:t xml:space="preserve"> </w:t>
      </w:r>
      <w:r>
        <w:rPr>
          <w:color w:val="000000"/>
        </w:rPr>
        <w:t>of</w:t>
      </w:r>
      <w:r w:rsidR="00BF059B">
        <w:rPr>
          <w:color w:val="000000"/>
        </w:rPr>
        <w:t xml:space="preserve"> </w:t>
      </w:r>
      <w:r>
        <w:rPr>
          <w:color w:val="000000"/>
        </w:rPr>
        <w:t>Northern</w:t>
      </w:r>
      <w:r w:rsidR="00BF059B">
        <w:rPr>
          <w:color w:val="000000"/>
        </w:rPr>
        <w:t xml:space="preserve"> </w:t>
      </w:r>
      <w:r>
        <w:rPr>
          <w:color w:val="000000"/>
        </w:rPr>
        <w:t>Territory,</w:t>
      </w:r>
      <w:r w:rsidR="00BF059B">
        <w:rPr>
          <w:color w:val="000000"/>
        </w:rPr>
        <w:t xml:space="preserve"> </w:t>
      </w:r>
      <w:r>
        <w:rPr>
          <w:color w:val="000000"/>
        </w:rPr>
        <w:t>Australia.</w:t>
      </w:r>
      <w:r w:rsidR="00BF059B">
        <w:rPr>
          <w:color w:val="000000"/>
        </w:rPr>
        <w:t xml:space="preserve"> </w:t>
      </w:r>
      <w:r>
        <w:rPr>
          <w:color w:val="000000"/>
        </w:rPr>
        <w:t>We</w:t>
      </w:r>
      <w:r w:rsidR="00BF059B">
        <w:rPr>
          <w:color w:val="000000"/>
        </w:rPr>
        <w:t xml:space="preserve"> </w:t>
      </w:r>
      <w:r>
        <w:rPr>
          <w:color w:val="000000"/>
        </w:rPr>
        <w:t>also</w:t>
      </w:r>
      <w:r w:rsidR="00BF059B">
        <w:rPr>
          <w:color w:val="000000"/>
        </w:rPr>
        <w:t xml:space="preserve"> </w:t>
      </w:r>
      <w:r>
        <w:rPr>
          <w:color w:val="000000"/>
        </w:rPr>
        <w:t>continued</w:t>
      </w:r>
      <w:r w:rsidR="00BF059B">
        <w:rPr>
          <w:color w:val="000000"/>
        </w:rPr>
        <w:t xml:space="preserve"> </w:t>
      </w:r>
      <w:r>
        <w:rPr>
          <w:color w:val="000000"/>
        </w:rPr>
        <w:t>to</w:t>
      </w:r>
      <w:r w:rsidR="00BF059B">
        <w:rPr>
          <w:color w:val="000000"/>
        </w:rPr>
        <w:t xml:space="preserve"> </w:t>
      </w:r>
      <w:r>
        <w:rPr>
          <w:color w:val="000000"/>
        </w:rPr>
        <w:t>collaborate</w:t>
      </w:r>
      <w:r w:rsidR="00BF059B">
        <w:rPr>
          <w:color w:val="000000"/>
        </w:rPr>
        <w:t xml:space="preserve"> </w:t>
      </w:r>
      <w:r>
        <w:rPr>
          <w:color w:val="000000"/>
        </w:rPr>
        <w:t>with</w:t>
      </w:r>
      <w:r w:rsidR="00BF059B">
        <w:rPr>
          <w:color w:val="000000"/>
        </w:rPr>
        <w:t xml:space="preserve"> </w:t>
      </w:r>
      <w:r>
        <w:rPr>
          <w:color w:val="000000"/>
        </w:rPr>
        <w:t>partners</w:t>
      </w:r>
      <w:r w:rsidR="00BF059B">
        <w:rPr>
          <w:color w:val="000000"/>
        </w:rPr>
        <w:t xml:space="preserve"> </w:t>
      </w:r>
      <w:r>
        <w:rPr>
          <w:color w:val="000000"/>
        </w:rPr>
        <w:t>in</w:t>
      </w:r>
      <w:r w:rsidR="00BF059B">
        <w:rPr>
          <w:color w:val="000000"/>
        </w:rPr>
        <w:t xml:space="preserve"> </w:t>
      </w:r>
      <w:r>
        <w:rPr>
          <w:color w:val="000000"/>
        </w:rPr>
        <w:t>Nigeria</w:t>
      </w:r>
      <w:r w:rsidR="00BF059B">
        <w:rPr>
          <w:color w:val="000000"/>
        </w:rPr>
        <w:t xml:space="preserve"> </w:t>
      </w:r>
      <w:r>
        <w:rPr>
          <w:color w:val="000000"/>
        </w:rPr>
        <w:t>on</w:t>
      </w:r>
      <w:r w:rsidR="00BF059B">
        <w:rPr>
          <w:color w:val="000000"/>
        </w:rPr>
        <w:t xml:space="preserve"> </w:t>
      </w:r>
      <w:r>
        <w:rPr>
          <w:color w:val="000000"/>
        </w:rPr>
        <w:t>the</w:t>
      </w:r>
      <w:r w:rsidR="00BF059B">
        <w:rPr>
          <w:color w:val="000000"/>
        </w:rPr>
        <w:t xml:space="preserve"> </w:t>
      </w:r>
      <w:r>
        <w:rPr>
          <w:color w:val="000000"/>
        </w:rPr>
        <w:t>redisplay</w:t>
      </w:r>
      <w:r w:rsidR="00BF059B">
        <w:rPr>
          <w:color w:val="000000"/>
        </w:rPr>
        <w:t xml:space="preserve"> </w:t>
      </w:r>
      <w:r>
        <w:rPr>
          <w:color w:val="000000"/>
        </w:rPr>
        <w:t>and</w:t>
      </w:r>
      <w:r w:rsidR="00BF059B">
        <w:rPr>
          <w:color w:val="000000"/>
        </w:rPr>
        <w:t xml:space="preserve"> </w:t>
      </w:r>
      <w:r>
        <w:rPr>
          <w:color w:val="000000"/>
        </w:rPr>
        <w:t>ongoing</w:t>
      </w:r>
      <w:r w:rsidR="00BF059B">
        <w:rPr>
          <w:color w:val="000000"/>
        </w:rPr>
        <w:t xml:space="preserve"> </w:t>
      </w:r>
      <w:r>
        <w:rPr>
          <w:color w:val="000000"/>
        </w:rPr>
        <w:t>loan</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Benin</w:t>
      </w:r>
      <w:r w:rsidR="00BF059B">
        <w:rPr>
          <w:color w:val="000000"/>
        </w:rPr>
        <w:t xml:space="preserve"> </w:t>
      </w:r>
      <w:r>
        <w:rPr>
          <w:color w:val="000000"/>
        </w:rPr>
        <w:t>material.</w:t>
      </w:r>
      <w:r w:rsidR="00BF059B">
        <w:rPr>
          <w:color w:val="000000"/>
        </w:rPr>
        <w:t xml:space="preserve"> </w:t>
      </w:r>
    </w:p>
    <w:p w14:paraId="7B3DACCA" w14:textId="3AAC533F" w:rsidR="00BE13A8" w:rsidRDefault="00D70530" w:rsidP="00C81FD1">
      <w:pPr>
        <w:numPr>
          <w:ilvl w:val="0"/>
          <w:numId w:val="11"/>
        </w:numPr>
        <w:pBdr>
          <w:top w:val="nil"/>
          <w:left w:val="nil"/>
          <w:bottom w:val="nil"/>
          <w:right w:val="nil"/>
          <w:between w:val="nil"/>
        </w:pBdr>
        <w:ind w:left="709"/>
        <w:jc w:val="both"/>
        <w:rPr>
          <w:color w:val="000000"/>
        </w:rPr>
      </w:pPr>
      <w:r>
        <w:rPr>
          <w:color w:val="000000"/>
        </w:rPr>
        <w:t>We</w:t>
      </w:r>
      <w:r w:rsidR="00BF059B">
        <w:rPr>
          <w:color w:val="000000"/>
        </w:rPr>
        <w:t xml:space="preserve"> </w:t>
      </w:r>
      <w:r>
        <w:rPr>
          <w:color w:val="000000"/>
        </w:rPr>
        <w:t>were</w:t>
      </w:r>
      <w:r w:rsidR="00BF059B">
        <w:rPr>
          <w:color w:val="000000"/>
        </w:rPr>
        <w:t xml:space="preserve"> </w:t>
      </w:r>
      <w:r>
        <w:rPr>
          <w:color w:val="000000"/>
        </w:rPr>
        <w:t>pleased</w:t>
      </w:r>
      <w:r w:rsidR="00BF059B">
        <w:rPr>
          <w:color w:val="000000"/>
        </w:rPr>
        <w:t xml:space="preserve"> </w:t>
      </w:r>
      <w:r>
        <w:rPr>
          <w:color w:val="000000"/>
        </w:rPr>
        <w:t>to</w:t>
      </w:r>
      <w:r w:rsidR="00BF059B">
        <w:rPr>
          <w:color w:val="000000"/>
        </w:rPr>
        <w:t xml:space="preserve"> </w:t>
      </w:r>
      <w:r>
        <w:rPr>
          <w:color w:val="000000"/>
        </w:rPr>
        <w:t>host</w:t>
      </w:r>
      <w:r w:rsidR="00BF059B">
        <w:rPr>
          <w:color w:val="000000"/>
        </w:rPr>
        <w:t xml:space="preserve"> </w:t>
      </w:r>
      <w:r>
        <w:rPr>
          <w:color w:val="000000"/>
        </w:rPr>
        <w:t>a</w:t>
      </w:r>
      <w:r w:rsidR="00BF059B">
        <w:rPr>
          <w:color w:val="000000"/>
        </w:rPr>
        <w:t xml:space="preserve"> </w:t>
      </w:r>
      <w:r>
        <w:rPr>
          <w:color w:val="000000"/>
        </w:rPr>
        <w:t>Clore</w:t>
      </w:r>
      <w:r w:rsidR="00BF059B">
        <w:rPr>
          <w:color w:val="000000"/>
        </w:rPr>
        <w:t xml:space="preserve"> </w:t>
      </w:r>
      <w:r>
        <w:rPr>
          <w:color w:val="000000"/>
        </w:rPr>
        <w:t>Fellow,</w:t>
      </w:r>
      <w:r w:rsidR="00BF059B">
        <w:rPr>
          <w:color w:val="000000"/>
        </w:rPr>
        <w:t xml:space="preserve"> </w:t>
      </w:r>
      <w:r>
        <w:rPr>
          <w:color w:val="000000"/>
        </w:rPr>
        <w:t>Kim</w:t>
      </w:r>
      <w:r w:rsidR="00BF059B">
        <w:rPr>
          <w:color w:val="000000"/>
        </w:rPr>
        <w:t xml:space="preserve"> </w:t>
      </w:r>
      <w:r>
        <w:rPr>
          <w:color w:val="000000"/>
        </w:rPr>
        <w:t>Sykes,</w:t>
      </w:r>
      <w:r w:rsidR="00BF059B">
        <w:rPr>
          <w:color w:val="000000"/>
        </w:rPr>
        <w:t xml:space="preserve"> </w:t>
      </w:r>
      <w:r>
        <w:rPr>
          <w:color w:val="000000"/>
        </w:rPr>
        <w:t>to</w:t>
      </w:r>
      <w:r w:rsidR="00BF059B">
        <w:rPr>
          <w:color w:val="000000"/>
        </w:rPr>
        <w:t xml:space="preserve"> </w:t>
      </w:r>
      <w:r>
        <w:rPr>
          <w:color w:val="000000"/>
        </w:rPr>
        <w:t>carry</w:t>
      </w:r>
      <w:r w:rsidR="00BF059B">
        <w:rPr>
          <w:color w:val="000000"/>
        </w:rPr>
        <w:t xml:space="preserve"> </w:t>
      </w:r>
      <w:r>
        <w:rPr>
          <w:color w:val="000000"/>
        </w:rPr>
        <w:t>out</w:t>
      </w:r>
      <w:r w:rsidR="00BF059B">
        <w:rPr>
          <w:color w:val="000000"/>
        </w:rPr>
        <w:t xml:space="preserve"> </w:t>
      </w:r>
      <w:r>
        <w:rPr>
          <w:color w:val="000000"/>
        </w:rPr>
        <w:t>a</w:t>
      </w:r>
      <w:r w:rsidR="00BF059B">
        <w:rPr>
          <w:color w:val="000000"/>
        </w:rPr>
        <w:t xml:space="preserve"> </w:t>
      </w:r>
      <w:r>
        <w:rPr>
          <w:color w:val="000000"/>
        </w:rPr>
        <w:t>review</w:t>
      </w:r>
      <w:r w:rsidR="00BF059B">
        <w:rPr>
          <w:color w:val="000000"/>
        </w:rPr>
        <w:t xml:space="preserve"> </w:t>
      </w:r>
      <w:r>
        <w:rPr>
          <w:color w:val="000000"/>
        </w:rPr>
        <w:t>of</w:t>
      </w:r>
      <w:r w:rsidR="00BF059B">
        <w:rPr>
          <w:color w:val="000000"/>
        </w:rPr>
        <w:t xml:space="preserve"> </w:t>
      </w:r>
      <w:r>
        <w:rPr>
          <w:color w:val="000000"/>
        </w:rPr>
        <w:t>our</w:t>
      </w:r>
      <w:r w:rsidR="00BF059B">
        <w:rPr>
          <w:color w:val="000000"/>
        </w:rPr>
        <w:t xml:space="preserve"> </w:t>
      </w:r>
      <w:r>
        <w:rPr>
          <w:color w:val="000000"/>
        </w:rPr>
        <w:t>music</w:t>
      </w:r>
      <w:r w:rsidR="00BF059B">
        <w:rPr>
          <w:color w:val="000000"/>
        </w:rPr>
        <w:t xml:space="preserve"> </w:t>
      </w:r>
      <w:r>
        <w:rPr>
          <w:color w:val="000000"/>
        </w:rPr>
        <w:t>programming</w:t>
      </w:r>
      <w:r w:rsidR="00BF059B">
        <w:rPr>
          <w:color w:val="000000"/>
        </w:rPr>
        <w:t xml:space="preserve"> </w:t>
      </w:r>
      <w:r>
        <w:rPr>
          <w:color w:val="000000"/>
        </w:rPr>
        <w:t>and</w:t>
      </w:r>
      <w:r w:rsidR="00BF059B">
        <w:rPr>
          <w:color w:val="000000"/>
        </w:rPr>
        <w:t xml:space="preserve"> </w:t>
      </w:r>
      <w:r>
        <w:rPr>
          <w:color w:val="000000"/>
        </w:rPr>
        <w:t>develop</w:t>
      </w:r>
      <w:r w:rsidR="00BF059B">
        <w:rPr>
          <w:color w:val="000000"/>
        </w:rPr>
        <w:t xml:space="preserve"> </w:t>
      </w:r>
      <w:r>
        <w:rPr>
          <w:color w:val="000000"/>
        </w:rPr>
        <w:t>a</w:t>
      </w:r>
      <w:r w:rsidR="00BF059B">
        <w:rPr>
          <w:color w:val="000000"/>
        </w:rPr>
        <w:t xml:space="preserve"> </w:t>
      </w:r>
      <w:r>
        <w:rPr>
          <w:color w:val="000000"/>
        </w:rPr>
        <w:t>strategic</w:t>
      </w:r>
      <w:r w:rsidR="00BF059B">
        <w:rPr>
          <w:color w:val="000000"/>
        </w:rPr>
        <w:t xml:space="preserve"> </w:t>
      </w:r>
      <w:r>
        <w:rPr>
          <w:color w:val="000000"/>
        </w:rPr>
        <w:t>approach</w:t>
      </w:r>
      <w:r w:rsidR="00BF059B">
        <w:rPr>
          <w:color w:val="000000"/>
        </w:rPr>
        <w:t xml:space="preserve"> </w:t>
      </w:r>
      <w:r>
        <w:rPr>
          <w:color w:val="000000"/>
        </w:rPr>
        <w:t>and</w:t>
      </w:r>
      <w:r w:rsidR="00BF059B">
        <w:rPr>
          <w:color w:val="000000"/>
        </w:rPr>
        <w:t xml:space="preserve"> </w:t>
      </w:r>
      <w:r>
        <w:rPr>
          <w:color w:val="000000"/>
        </w:rPr>
        <w:t>recommendations</w:t>
      </w:r>
      <w:r w:rsidR="00BF059B">
        <w:rPr>
          <w:color w:val="000000"/>
        </w:rPr>
        <w:t xml:space="preserve"> </w:t>
      </w:r>
      <w:r>
        <w:rPr>
          <w:color w:val="000000"/>
        </w:rPr>
        <w:t>that</w:t>
      </w:r>
      <w:r w:rsidR="00BF059B">
        <w:rPr>
          <w:color w:val="000000"/>
        </w:rPr>
        <w:t xml:space="preserve"> </w:t>
      </w:r>
      <w:r>
        <w:rPr>
          <w:color w:val="000000"/>
        </w:rPr>
        <w:t>will</w:t>
      </w:r>
      <w:r w:rsidR="00BF059B">
        <w:rPr>
          <w:color w:val="000000"/>
        </w:rPr>
        <w:t xml:space="preserve"> </w:t>
      </w:r>
      <w:r>
        <w:rPr>
          <w:color w:val="000000"/>
        </w:rPr>
        <w:t>inform</w:t>
      </w:r>
      <w:r w:rsidR="00BF059B">
        <w:rPr>
          <w:color w:val="000000"/>
        </w:rPr>
        <w:t xml:space="preserve"> </w:t>
      </w:r>
      <w:r>
        <w:rPr>
          <w:color w:val="000000"/>
        </w:rPr>
        <w:t>programming</w:t>
      </w:r>
      <w:r w:rsidR="00BF059B">
        <w:rPr>
          <w:color w:val="000000"/>
        </w:rPr>
        <w:t xml:space="preserve"> </w:t>
      </w:r>
      <w:r>
        <w:rPr>
          <w:color w:val="000000"/>
        </w:rPr>
        <w:t>in</w:t>
      </w:r>
      <w:r w:rsidR="00BF059B">
        <w:rPr>
          <w:color w:val="000000"/>
        </w:rPr>
        <w:t xml:space="preserve"> </w:t>
      </w:r>
      <w:r>
        <w:rPr>
          <w:color w:val="000000"/>
        </w:rPr>
        <w:t>2025/26</w:t>
      </w:r>
      <w:r w:rsidR="00BF059B">
        <w:rPr>
          <w:color w:val="000000"/>
        </w:rPr>
        <w:t xml:space="preserve"> </w:t>
      </w:r>
      <w:r>
        <w:rPr>
          <w:color w:val="000000"/>
        </w:rPr>
        <w:t>onwards.</w:t>
      </w:r>
      <w:r w:rsidR="00BF059B">
        <w:rPr>
          <w:color w:val="000000"/>
        </w:rPr>
        <w:t xml:space="preserve"> </w:t>
      </w:r>
    </w:p>
    <w:p w14:paraId="081AC902" w14:textId="77777777" w:rsidR="00BE13A8" w:rsidRDefault="00BE13A8">
      <w:pPr>
        <w:pBdr>
          <w:top w:val="nil"/>
          <w:left w:val="nil"/>
          <w:bottom w:val="nil"/>
          <w:right w:val="nil"/>
          <w:between w:val="nil"/>
        </w:pBdr>
        <w:spacing w:after="35"/>
        <w:ind w:left="360"/>
        <w:jc w:val="both"/>
        <w:rPr>
          <w:b/>
          <w:color w:val="FF0000"/>
        </w:rPr>
      </w:pPr>
    </w:p>
    <w:p w14:paraId="069DFC84" w14:textId="7A55CCC8" w:rsidR="00BE13A8" w:rsidRDefault="00D70530" w:rsidP="008D4835">
      <w:pPr>
        <w:pStyle w:val="Heading4"/>
      </w:pPr>
      <w:bookmarkStart w:id="3" w:name="_heading=h.rv3zq1ipwcmy" w:colFirst="0" w:colLast="0"/>
      <w:bookmarkEnd w:id="3"/>
      <w:r>
        <w:t>2.1</w:t>
      </w:r>
      <w:r w:rsidR="00BF059B">
        <w:t xml:space="preserve"> </w:t>
      </w:r>
      <w:r>
        <w:t>Anthropology</w:t>
      </w:r>
    </w:p>
    <w:p w14:paraId="75ECFC90" w14:textId="0BF126FE" w:rsidR="00BE13A8" w:rsidRDefault="00D70530" w:rsidP="0015265F">
      <w:pPr>
        <w:spacing w:line="259" w:lineRule="auto"/>
      </w:pPr>
      <w:r>
        <w:rPr>
          <w:color w:val="000000"/>
        </w:rPr>
        <w:t>A</w:t>
      </w:r>
      <w:r w:rsidR="00BF059B">
        <w:rPr>
          <w:color w:val="000000"/>
        </w:rPr>
        <w:t xml:space="preserve"> </w:t>
      </w:r>
      <w:r>
        <w:rPr>
          <w:color w:val="000000"/>
        </w:rPr>
        <w:t>major</w:t>
      </w:r>
      <w:r w:rsidR="00BF059B">
        <w:rPr>
          <w:color w:val="000000"/>
        </w:rPr>
        <w:t xml:space="preserve"> </w:t>
      </w:r>
      <w:r>
        <w:rPr>
          <w:color w:val="000000"/>
        </w:rPr>
        <w:t>focus</w:t>
      </w:r>
      <w:r w:rsidR="00BF059B">
        <w:rPr>
          <w:color w:val="000000"/>
        </w:rPr>
        <w:t xml:space="preserve"> </w:t>
      </w:r>
      <w:r>
        <w:rPr>
          <w:color w:val="000000"/>
        </w:rPr>
        <w:t>for</w:t>
      </w:r>
      <w:r w:rsidR="00BF059B">
        <w:rPr>
          <w:color w:val="000000"/>
        </w:rPr>
        <w:t xml:space="preserve"> </w:t>
      </w:r>
      <w:r>
        <w:rPr>
          <w:color w:val="000000"/>
        </w:rPr>
        <w:t>this</w:t>
      </w:r>
      <w:r w:rsidR="00BF059B">
        <w:rPr>
          <w:color w:val="000000"/>
        </w:rPr>
        <w:t xml:space="preserve"> </w:t>
      </w:r>
      <w:r>
        <w:rPr>
          <w:color w:val="000000"/>
        </w:rPr>
        <w:t>year</w:t>
      </w:r>
      <w:r w:rsidR="00BF059B">
        <w:rPr>
          <w:color w:val="000000"/>
        </w:rPr>
        <w:t xml:space="preserve"> </w:t>
      </w:r>
      <w:r>
        <w:rPr>
          <w:color w:val="000000"/>
        </w:rPr>
        <w:t>was</w:t>
      </w:r>
      <w:r w:rsidR="00BF059B">
        <w:rPr>
          <w:color w:val="000000"/>
        </w:rPr>
        <w:t xml:space="preserve"> </w:t>
      </w:r>
      <w:r>
        <w:rPr>
          <w:color w:val="000000"/>
        </w:rPr>
        <w:t>the</w:t>
      </w:r>
      <w:r w:rsidR="00BF059B">
        <w:rPr>
          <w:color w:val="000000"/>
        </w:rPr>
        <w:t xml:space="preserve"> </w:t>
      </w:r>
      <w:r>
        <w:rPr>
          <w:color w:val="000000"/>
        </w:rPr>
        <w:t>co-development</w:t>
      </w:r>
      <w:r w:rsidR="00BF059B">
        <w:rPr>
          <w:color w:val="000000"/>
        </w:rPr>
        <w:t xml:space="preserve"> </w:t>
      </w:r>
      <w:r>
        <w:rPr>
          <w:color w:val="000000"/>
        </w:rPr>
        <w:t>of</w:t>
      </w:r>
      <w:r w:rsidR="00BF059B">
        <w:rPr>
          <w:color w:val="000000"/>
        </w:rPr>
        <w:t xml:space="preserve"> </w:t>
      </w:r>
      <w:r>
        <w:rPr>
          <w:color w:val="000000"/>
        </w:rPr>
        <w:t>new</w:t>
      </w:r>
      <w:r w:rsidR="00BF059B">
        <w:rPr>
          <w:color w:val="000000"/>
        </w:rPr>
        <w:t xml:space="preserve"> </w:t>
      </w:r>
      <w:r>
        <w:rPr>
          <w:color w:val="000000"/>
        </w:rPr>
        <w:t>exhibitions</w:t>
      </w:r>
      <w:r w:rsidR="00BF059B">
        <w:rPr>
          <w:color w:val="000000"/>
        </w:rPr>
        <w:t xml:space="preserve"> </w:t>
      </w:r>
      <w:r>
        <w:rPr>
          <w:color w:val="000000"/>
        </w:rPr>
        <w:t>and</w:t>
      </w:r>
      <w:r w:rsidR="00BF059B">
        <w:rPr>
          <w:color w:val="000000"/>
        </w:rPr>
        <w:t xml:space="preserve"> </w:t>
      </w:r>
      <w:r>
        <w:rPr>
          <w:color w:val="000000"/>
        </w:rPr>
        <w:t>displays.</w:t>
      </w:r>
      <w:r w:rsidR="00BF059B">
        <w:rPr>
          <w:color w:val="000000"/>
        </w:rPr>
        <w:t xml:space="preserve"> </w:t>
      </w:r>
      <w:r>
        <w:rPr>
          <w:color w:val="000000"/>
        </w:rPr>
        <w:t>The</w:t>
      </w:r>
      <w:r w:rsidR="00BF059B">
        <w:rPr>
          <w:color w:val="000000"/>
        </w:rPr>
        <w:t xml:space="preserve"> </w:t>
      </w:r>
      <w:r>
        <w:rPr>
          <w:color w:val="000000"/>
        </w:rPr>
        <w:t>Great</w:t>
      </w:r>
      <w:r w:rsidR="00BF059B">
        <w:rPr>
          <w:color w:val="000000"/>
        </w:rPr>
        <w:t xml:space="preserve"> </w:t>
      </w:r>
      <w:r>
        <w:rPr>
          <w:color w:val="000000"/>
        </w:rPr>
        <w:t>Kingdom</w:t>
      </w:r>
      <w:r w:rsidR="00BF059B">
        <w:rPr>
          <w:color w:val="000000"/>
        </w:rPr>
        <w:t xml:space="preserve"> </w:t>
      </w:r>
      <w:r>
        <w:rPr>
          <w:color w:val="000000"/>
        </w:rPr>
        <w:t>of</w:t>
      </w:r>
      <w:r w:rsidR="00BF059B">
        <w:rPr>
          <w:color w:val="000000"/>
        </w:rPr>
        <w:t xml:space="preserve"> </w:t>
      </w:r>
      <w:r>
        <w:rPr>
          <w:color w:val="000000"/>
        </w:rPr>
        <w:t>Benin</w:t>
      </w:r>
      <w:r w:rsidR="00BF059B">
        <w:rPr>
          <w:color w:val="000000"/>
        </w:rPr>
        <w:t xml:space="preserve"> </w:t>
      </w:r>
      <w:r>
        <w:rPr>
          <w:color w:val="000000"/>
        </w:rPr>
        <w:t>display</w:t>
      </w:r>
      <w:r w:rsidR="00BF059B">
        <w:rPr>
          <w:color w:val="000000"/>
        </w:rPr>
        <w:t xml:space="preserve"> </w:t>
      </w:r>
      <w:r>
        <w:rPr>
          <w:color w:val="000000"/>
        </w:rPr>
        <w:t>in</w:t>
      </w:r>
      <w:r w:rsidR="00BF059B">
        <w:rPr>
          <w:color w:val="000000"/>
        </w:rPr>
        <w:t xml:space="preserve"> </w:t>
      </w:r>
      <w:r>
        <w:rPr>
          <w:color w:val="000000"/>
        </w:rPr>
        <w:t>the</w:t>
      </w:r>
      <w:r w:rsidR="00BF059B">
        <w:rPr>
          <w:color w:val="000000"/>
        </w:rPr>
        <w:t xml:space="preserve"> </w:t>
      </w:r>
      <w:r>
        <w:rPr>
          <w:color w:val="000000"/>
        </w:rPr>
        <w:t>World</w:t>
      </w:r>
      <w:r w:rsidR="00BF059B">
        <w:rPr>
          <w:color w:val="000000"/>
        </w:rPr>
        <w:t xml:space="preserve"> </w:t>
      </w:r>
      <w:r>
        <w:rPr>
          <w:color w:val="000000"/>
        </w:rPr>
        <w:t>Gallery</w:t>
      </w:r>
      <w:r w:rsidR="00BF059B">
        <w:rPr>
          <w:color w:val="000000"/>
        </w:rPr>
        <w:t xml:space="preserve"> </w:t>
      </w:r>
      <w:r>
        <w:rPr>
          <w:color w:val="000000"/>
        </w:rPr>
        <w:t>was</w:t>
      </w:r>
      <w:r w:rsidR="00BF059B">
        <w:rPr>
          <w:color w:val="000000"/>
        </w:rPr>
        <w:t xml:space="preserve"> </w:t>
      </w:r>
      <w:r>
        <w:rPr>
          <w:color w:val="000000"/>
        </w:rPr>
        <w:t>codeveloped</w:t>
      </w:r>
      <w:r w:rsidR="00BF059B">
        <w:rPr>
          <w:color w:val="000000"/>
        </w:rPr>
        <w:t xml:space="preserve"> </w:t>
      </w:r>
      <w:r>
        <w:rPr>
          <w:color w:val="000000"/>
        </w:rPr>
        <w:t>with</w:t>
      </w:r>
      <w:r w:rsidR="00BF059B">
        <w:rPr>
          <w:color w:val="000000"/>
        </w:rPr>
        <w:t xml:space="preserve"> </w:t>
      </w:r>
      <w:r>
        <w:rPr>
          <w:color w:val="000000"/>
        </w:rPr>
        <w:t>partners,</w:t>
      </w:r>
      <w:r w:rsidR="00BF059B">
        <w:rPr>
          <w:color w:val="000000"/>
        </w:rPr>
        <w:t xml:space="preserve"> </w:t>
      </w:r>
      <w:r>
        <w:rPr>
          <w:color w:val="000000"/>
        </w:rPr>
        <w:t>creatives</w:t>
      </w:r>
      <w:r w:rsidR="00BF059B">
        <w:rPr>
          <w:color w:val="000000"/>
        </w:rPr>
        <w:t xml:space="preserve"> </w:t>
      </w:r>
      <w:r>
        <w:rPr>
          <w:color w:val="000000"/>
        </w:rPr>
        <w:t>and</w:t>
      </w:r>
      <w:r w:rsidR="00BF059B">
        <w:rPr>
          <w:color w:val="000000"/>
        </w:rPr>
        <w:t xml:space="preserve"> </w:t>
      </w:r>
      <w:r>
        <w:rPr>
          <w:color w:val="000000"/>
        </w:rPr>
        <w:t>young</w:t>
      </w:r>
      <w:r w:rsidR="00BF059B">
        <w:rPr>
          <w:color w:val="000000"/>
        </w:rPr>
        <w:t xml:space="preserve"> </w:t>
      </w:r>
      <w:r>
        <w:rPr>
          <w:color w:val="000000"/>
        </w:rPr>
        <w:t>people</w:t>
      </w:r>
      <w:r w:rsidR="00BF059B">
        <w:rPr>
          <w:color w:val="000000"/>
        </w:rPr>
        <w:t xml:space="preserve"> </w:t>
      </w:r>
      <w:r>
        <w:rPr>
          <w:color w:val="000000"/>
        </w:rPr>
        <w:t>in</w:t>
      </w:r>
      <w:r w:rsidR="00BF059B">
        <w:rPr>
          <w:color w:val="000000"/>
        </w:rPr>
        <w:t xml:space="preserve"> </w:t>
      </w:r>
      <w:r>
        <w:rPr>
          <w:color w:val="000000"/>
        </w:rPr>
        <w:t>London</w:t>
      </w:r>
      <w:r w:rsidR="00BF059B">
        <w:rPr>
          <w:color w:val="000000"/>
        </w:rPr>
        <w:t xml:space="preserve"> </w:t>
      </w:r>
      <w:r>
        <w:rPr>
          <w:color w:val="000000"/>
        </w:rPr>
        <w:t>and</w:t>
      </w:r>
      <w:r w:rsidR="00BF059B">
        <w:rPr>
          <w:color w:val="000000"/>
        </w:rPr>
        <w:t xml:space="preserve"> </w:t>
      </w:r>
      <w:r>
        <w:rPr>
          <w:color w:val="000000"/>
        </w:rPr>
        <w:t>Nigeria,</w:t>
      </w:r>
      <w:r w:rsidR="00BF059B">
        <w:rPr>
          <w:color w:val="000000"/>
        </w:rPr>
        <w:t xml:space="preserve"> </w:t>
      </w:r>
      <w:r>
        <w:rPr>
          <w:color w:val="000000"/>
        </w:rPr>
        <w:t>including</w:t>
      </w:r>
      <w:r w:rsidR="00BF059B">
        <w:rPr>
          <w:color w:val="000000"/>
        </w:rPr>
        <w:t xml:space="preserve"> </w:t>
      </w:r>
      <w:r>
        <w:rPr>
          <w:color w:val="000000"/>
        </w:rPr>
        <w:t>a</w:t>
      </w:r>
      <w:r w:rsidR="00BF059B">
        <w:rPr>
          <w:color w:val="000000"/>
        </w:rPr>
        <w:t xml:space="preserve"> </w:t>
      </w:r>
      <w:r>
        <w:rPr>
          <w:color w:val="000000"/>
        </w:rPr>
        <w:t>new</w:t>
      </w:r>
      <w:r w:rsidR="00BF059B">
        <w:rPr>
          <w:color w:val="000000"/>
        </w:rPr>
        <w:t xml:space="preserve"> </w:t>
      </w:r>
      <w:r>
        <w:rPr>
          <w:color w:val="000000"/>
        </w:rPr>
        <w:t>artist</w:t>
      </w:r>
      <w:r w:rsidR="00BF059B">
        <w:rPr>
          <w:color w:val="000000"/>
        </w:rPr>
        <w:t xml:space="preserve"> </w:t>
      </w:r>
      <w:r>
        <w:rPr>
          <w:color w:val="000000"/>
        </w:rPr>
        <w:t>residency</w:t>
      </w:r>
      <w:r w:rsidR="00BF059B">
        <w:rPr>
          <w:color w:val="000000"/>
        </w:rPr>
        <w:t xml:space="preserve"> </w:t>
      </w:r>
      <w:r>
        <w:rPr>
          <w:color w:val="000000"/>
        </w:rPr>
        <w:t>and</w:t>
      </w:r>
      <w:r w:rsidR="00BF059B">
        <w:rPr>
          <w:color w:val="000000"/>
        </w:rPr>
        <w:t xml:space="preserve"> </w:t>
      </w:r>
      <w:r>
        <w:rPr>
          <w:color w:val="000000"/>
        </w:rPr>
        <w:lastRenderedPageBreak/>
        <w:t>commission.</w:t>
      </w:r>
      <w:r w:rsidR="00BF059B">
        <w:rPr>
          <w:color w:val="000000"/>
        </w:rPr>
        <w:t xml:space="preserve"> </w:t>
      </w:r>
      <w:r>
        <w:rPr>
          <w:color w:val="000000"/>
        </w:rPr>
        <w:t>It</w:t>
      </w:r>
      <w:r w:rsidR="00BF059B">
        <w:rPr>
          <w:color w:val="000000"/>
        </w:rPr>
        <w:t xml:space="preserve"> </w:t>
      </w:r>
      <w:r>
        <w:rPr>
          <w:color w:val="000000"/>
        </w:rPr>
        <w:t>was</w:t>
      </w:r>
      <w:r w:rsidR="00BF059B">
        <w:rPr>
          <w:color w:val="000000"/>
        </w:rPr>
        <w:t xml:space="preserve"> </w:t>
      </w:r>
      <w:r>
        <w:rPr>
          <w:color w:val="000000"/>
        </w:rPr>
        <w:t>accompanied</w:t>
      </w:r>
      <w:r w:rsidR="00BF059B">
        <w:rPr>
          <w:color w:val="000000"/>
        </w:rPr>
        <w:t xml:space="preserve"> </w:t>
      </w:r>
      <w:r>
        <w:rPr>
          <w:color w:val="000000"/>
        </w:rPr>
        <w:t>by</w:t>
      </w:r>
      <w:r w:rsidR="00BF059B">
        <w:rPr>
          <w:color w:val="000000"/>
        </w:rPr>
        <w:t xml:space="preserve"> </w:t>
      </w:r>
      <w:r>
        <w:rPr>
          <w:color w:val="000000"/>
        </w:rPr>
        <w:t>Out</w:t>
      </w:r>
      <w:r w:rsidR="00BF059B">
        <w:rPr>
          <w:color w:val="000000"/>
        </w:rPr>
        <w:t xml:space="preserve"> </w:t>
      </w:r>
      <w:r>
        <w:rPr>
          <w:color w:val="000000"/>
        </w:rPr>
        <w:t>of</w:t>
      </w:r>
      <w:r w:rsidR="00BF059B">
        <w:rPr>
          <w:color w:val="000000"/>
        </w:rPr>
        <w:t xml:space="preserve"> </w:t>
      </w:r>
      <w:r>
        <w:rPr>
          <w:color w:val="000000"/>
        </w:rPr>
        <w:t>Context,</w:t>
      </w:r>
      <w:r w:rsidR="00BF059B">
        <w:rPr>
          <w:color w:val="000000"/>
        </w:rPr>
        <w:t xml:space="preserve"> </w:t>
      </w:r>
      <w:r>
        <w:rPr>
          <w:color w:val="000000"/>
        </w:rPr>
        <w:t>an</w:t>
      </w:r>
      <w:r w:rsidR="00BF059B">
        <w:rPr>
          <w:color w:val="000000"/>
        </w:rPr>
        <w:t xml:space="preserve"> </w:t>
      </w:r>
      <w:r>
        <w:rPr>
          <w:color w:val="000000"/>
        </w:rPr>
        <w:t>associated</w:t>
      </w:r>
      <w:r w:rsidR="00BF059B">
        <w:rPr>
          <w:color w:val="000000"/>
        </w:rPr>
        <w:t xml:space="preserve"> </w:t>
      </w:r>
      <w:r>
        <w:rPr>
          <w:color w:val="000000"/>
        </w:rPr>
        <w:t>Balcony</w:t>
      </w:r>
      <w:r w:rsidR="00BF059B">
        <w:rPr>
          <w:color w:val="000000"/>
        </w:rPr>
        <w:t xml:space="preserve"> </w:t>
      </w:r>
      <w:r>
        <w:rPr>
          <w:color w:val="000000"/>
        </w:rPr>
        <w:t>exhibition</w:t>
      </w:r>
      <w:r w:rsidR="00BF059B">
        <w:rPr>
          <w:color w:val="000000"/>
        </w:rPr>
        <w:t xml:space="preserve"> </w:t>
      </w:r>
      <w:r>
        <w:rPr>
          <w:color w:val="000000"/>
        </w:rPr>
        <w:t>co-curated</w:t>
      </w:r>
      <w:r w:rsidR="00BF059B">
        <w:rPr>
          <w:color w:val="000000"/>
        </w:rPr>
        <w:t xml:space="preserve"> </w:t>
      </w:r>
      <w:r>
        <w:rPr>
          <w:color w:val="000000"/>
        </w:rPr>
        <w:t>with</w:t>
      </w:r>
      <w:r w:rsidR="00BF059B">
        <w:rPr>
          <w:color w:val="000000"/>
        </w:rPr>
        <w:t xml:space="preserve"> </w:t>
      </w:r>
      <w:proofErr w:type="spellStart"/>
      <w:r>
        <w:rPr>
          <w:color w:val="000000"/>
        </w:rPr>
        <w:t>Yellowzine</w:t>
      </w:r>
      <w:proofErr w:type="spellEnd"/>
      <w:r w:rsidR="00BF059B">
        <w:rPr>
          <w:color w:val="000000"/>
        </w:rPr>
        <w:t xml:space="preserve"> </w:t>
      </w:r>
      <w:r>
        <w:rPr>
          <w:color w:val="000000"/>
        </w:rPr>
        <w:t>in</w:t>
      </w:r>
      <w:r w:rsidR="00BF059B">
        <w:rPr>
          <w:color w:val="000000"/>
        </w:rPr>
        <w:t xml:space="preserve"> </w:t>
      </w:r>
      <w:r>
        <w:rPr>
          <w:color w:val="000000"/>
        </w:rPr>
        <w:t>response</w:t>
      </w:r>
      <w:r w:rsidR="00BF059B">
        <w:rPr>
          <w:color w:val="000000"/>
        </w:rPr>
        <w:t xml:space="preserve"> </w:t>
      </w:r>
      <w:r>
        <w:rPr>
          <w:color w:val="000000"/>
        </w:rPr>
        <w:t>to</w:t>
      </w:r>
      <w:r w:rsidR="00BF059B">
        <w:rPr>
          <w:color w:val="000000"/>
        </w:rPr>
        <w:t xml:space="preserve"> </w:t>
      </w:r>
      <w:r>
        <w:rPr>
          <w:color w:val="000000"/>
        </w:rPr>
        <w:t>the</w:t>
      </w:r>
      <w:r w:rsidR="00BF059B">
        <w:rPr>
          <w:color w:val="000000"/>
        </w:rPr>
        <w:t xml:space="preserve"> </w:t>
      </w:r>
      <w:r>
        <w:rPr>
          <w:color w:val="000000"/>
        </w:rPr>
        <w:t>Benin</w:t>
      </w:r>
      <w:r w:rsidR="00BF059B">
        <w:rPr>
          <w:color w:val="000000"/>
        </w:rPr>
        <w:t xml:space="preserve"> </w:t>
      </w:r>
      <w:r>
        <w:rPr>
          <w:color w:val="000000"/>
        </w:rPr>
        <w:t>returns.</w:t>
      </w:r>
      <w:r w:rsidR="00BF059B">
        <w:rPr>
          <w:color w:val="000000"/>
        </w:rPr>
        <w:t xml:space="preserve"> </w:t>
      </w:r>
      <w:r>
        <w:t>All</w:t>
      </w:r>
      <w:r w:rsidR="00BF059B">
        <w:t xml:space="preserve"> </w:t>
      </w:r>
      <w:r>
        <w:t>Eyes</w:t>
      </w:r>
      <w:r w:rsidR="00BF059B">
        <w:t xml:space="preserve"> </w:t>
      </w:r>
      <w:r>
        <w:t>on</w:t>
      </w:r>
      <w:r w:rsidR="00BF059B">
        <w:t xml:space="preserve"> </w:t>
      </w:r>
      <w:proofErr w:type="gramStart"/>
      <w:r>
        <w:t>Her!,</w:t>
      </w:r>
      <w:proofErr w:type="gramEnd"/>
      <w:r w:rsidR="00BF059B">
        <w:t xml:space="preserve"> </w:t>
      </w:r>
      <w:r>
        <w:t>developed</w:t>
      </w:r>
      <w:r w:rsidR="00BF059B">
        <w:t xml:space="preserve"> </w:t>
      </w:r>
      <w:r>
        <w:t>with</w:t>
      </w:r>
      <w:r w:rsidR="00BF059B">
        <w:t xml:space="preserve"> </w:t>
      </w:r>
      <w:r>
        <w:t>Egyptian</w:t>
      </w:r>
      <w:r w:rsidR="00BF059B">
        <w:t xml:space="preserve"> </w:t>
      </w:r>
      <w:r>
        <w:t>women</w:t>
      </w:r>
      <w:r w:rsidR="00BF059B">
        <w:t xml:space="preserve"> </w:t>
      </w:r>
      <w:r>
        <w:t>and</w:t>
      </w:r>
      <w:r w:rsidR="00BF059B">
        <w:t xml:space="preserve"> </w:t>
      </w:r>
      <w:r>
        <w:t>women-led</w:t>
      </w:r>
      <w:r w:rsidR="00BF059B">
        <w:t xml:space="preserve"> </w:t>
      </w:r>
      <w:r>
        <w:t>initiatives</w:t>
      </w:r>
      <w:r w:rsidR="00BF059B">
        <w:t xml:space="preserve"> </w:t>
      </w:r>
      <w:r>
        <w:t>in</w:t>
      </w:r>
      <w:r w:rsidR="00BF059B">
        <w:t xml:space="preserve"> </w:t>
      </w:r>
      <w:r>
        <w:t>London,</w:t>
      </w:r>
      <w:r w:rsidR="00BF059B">
        <w:t xml:space="preserve"> </w:t>
      </w:r>
      <w:r>
        <w:t>Cairo,</w:t>
      </w:r>
      <w:r w:rsidR="00BF059B">
        <w:t xml:space="preserve"> </w:t>
      </w:r>
      <w:r>
        <w:t>the</w:t>
      </w:r>
      <w:r w:rsidR="00BF059B">
        <w:t xml:space="preserve"> </w:t>
      </w:r>
      <w:r>
        <w:t>Egyptian</w:t>
      </w:r>
      <w:r w:rsidR="00BF059B">
        <w:t xml:space="preserve"> </w:t>
      </w:r>
      <w:r>
        <w:t>Delta</w:t>
      </w:r>
      <w:r w:rsidR="00BF059B">
        <w:t xml:space="preserve"> </w:t>
      </w:r>
      <w:r>
        <w:t>and</w:t>
      </w:r>
      <w:r w:rsidR="00BF059B">
        <w:t xml:space="preserve"> </w:t>
      </w:r>
      <w:r>
        <w:t>Luxor,</w:t>
      </w:r>
      <w:r w:rsidR="00BF059B">
        <w:t xml:space="preserve"> </w:t>
      </w:r>
      <w:r>
        <w:t>working</w:t>
      </w:r>
      <w:r w:rsidR="00BF059B">
        <w:t xml:space="preserve"> </w:t>
      </w:r>
      <w:r>
        <w:t>in</w:t>
      </w:r>
      <w:r w:rsidR="00BF059B">
        <w:t xml:space="preserve"> </w:t>
      </w:r>
      <w:r>
        <w:t>partnership</w:t>
      </w:r>
      <w:r w:rsidR="00BF059B">
        <w:t xml:space="preserve"> </w:t>
      </w:r>
      <w:r>
        <w:t>with</w:t>
      </w:r>
      <w:r w:rsidR="00BF059B">
        <w:t xml:space="preserve"> </w:t>
      </w:r>
      <w:r>
        <w:t>the</w:t>
      </w:r>
      <w:r w:rsidR="00BF059B">
        <w:t xml:space="preserve"> </w:t>
      </w:r>
      <w:r>
        <w:t>Horniman</w:t>
      </w:r>
      <w:r w:rsidR="00BF059B">
        <w:t xml:space="preserve"> </w:t>
      </w:r>
      <w:r>
        <w:t>since</w:t>
      </w:r>
      <w:r w:rsidR="00BF059B">
        <w:t xml:space="preserve"> </w:t>
      </w:r>
      <w:r>
        <w:t>2021,</w:t>
      </w:r>
      <w:r w:rsidR="00BF059B">
        <w:t xml:space="preserve"> </w:t>
      </w:r>
      <w:r>
        <w:t>examines</w:t>
      </w:r>
      <w:r w:rsidR="00BF059B">
        <w:t xml:space="preserve"> </w:t>
      </w:r>
      <w:r>
        <w:t>how</w:t>
      </w:r>
      <w:r w:rsidR="00BF059B">
        <w:t xml:space="preserve"> </w:t>
      </w:r>
      <w:r>
        <w:t>Egyptian</w:t>
      </w:r>
      <w:r w:rsidR="00BF059B">
        <w:t xml:space="preserve"> </w:t>
      </w:r>
      <w:r>
        <w:t>women</w:t>
      </w:r>
      <w:r w:rsidR="00BF059B">
        <w:t xml:space="preserve"> </w:t>
      </w:r>
      <w:r>
        <w:t>are</w:t>
      </w:r>
      <w:r w:rsidR="00BF059B">
        <w:t xml:space="preserve"> </w:t>
      </w:r>
      <w:r>
        <w:t>reclaiming</w:t>
      </w:r>
      <w:r w:rsidR="00BF059B">
        <w:t xml:space="preserve"> </w:t>
      </w:r>
      <w:r>
        <w:t>their</w:t>
      </w:r>
      <w:r w:rsidR="00BF059B">
        <w:t xml:space="preserve"> </w:t>
      </w:r>
      <w:r>
        <w:t>heritage,</w:t>
      </w:r>
      <w:r w:rsidR="00BF059B">
        <w:t xml:space="preserve"> </w:t>
      </w:r>
      <w:r>
        <w:t>position</w:t>
      </w:r>
      <w:r w:rsidR="00BF059B">
        <w:t xml:space="preserve"> </w:t>
      </w:r>
      <w:r>
        <w:t>in</w:t>
      </w:r>
      <w:r w:rsidR="00BF059B">
        <w:t xml:space="preserve"> </w:t>
      </w:r>
      <w:r>
        <w:t>public,</w:t>
      </w:r>
      <w:r w:rsidR="00BF059B">
        <w:t xml:space="preserve"> </w:t>
      </w:r>
      <w:r>
        <w:t>and</w:t>
      </w:r>
      <w:r w:rsidR="00BF059B">
        <w:t xml:space="preserve"> </w:t>
      </w:r>
      <w:r>
        <w:t>role</w:t>
      </w:r>
      <w:r w:rsidR="00BF059B">
        <w:t xml:space="preserve"> </w:t>
      </w:r>
      <w:r>
        <w:t>in</w:t>
      </w:r>
      <w:r w:rsidR="00BF059B">
        <w:t xml:space="preserve"> </w:t>
      </w:r>
      <w:r>
        <w:t>revolutions,</w:t>
      </w:r>
      <w:r w:rsidR="00BF059B">
        <w:t xml:space="preserve"> </w:t>
      </w:r>
      <w:r>
        <w:t>past</w:t>
      </w:r>
      <w:r w:rsidR="00BF059B">
        <w:t xml:space="preserve"> </w:t>
      </w:r>
      <w:r>
        <w:t>and</w:t>
      </w:r>
      <w:r w:rsidR="00BF059B">
        <w:t xml:space="preserve"> </w:t>
      </w:r>
      <w:r>
        <w:t>present.</w:t>
      </w:r>
      <w:r w:rsidR="00BF059B">
        <w:t xml:space="preserve"> </w:t>
      </w:r>
      <w:r>
        <w:t>Community</w:t>
      </w:r>
      <w:r w:rsidR="00BF059B">
        <w:t xml:space="preserve"> </w:t>
      </w:r>
      <w:r>
        <w:t>partners</w:t>
      </w:r>
      <w:r w:rsidR="00BF059B">
        <w:t xml:space="preserve"> </w:t>
      </w:r>
      <w:r>
        <w:t>in</w:t>
      </w:r>
      <w:r w:rsidR="00BF059B">
        <w:t xml:space="preserve"> </w:t>
      </w:r>
      <w:r>
        <w:t>Cairo</w:t>
      </w:r>
      <w:r w:rsidR="00BF059B">
        <w:t xml:space="preserve"> </w:t>
      </w:r>
      <w:r>
        <w:t>provided</w:t>
      </w:r>
      <w:r w:rsidR="00BF059B">
        <w:t xml:space="preserve"> </w:t>
      </w:r>
      <w:r>
        <w:t>Egyptian</w:t>
      </w:r>
      <w:r w:rsidR="00BF059B">
        <w:t xml:space="preserve"> </w:t>
      </w:r>
      <w:r>
        <w:t>Arabic</w:t>
      </w:r>
      <w:r w:rsidR="00BF059B">
        <w:t xml:space="preserve"> </w:t>
      </w:r>
      <w:r>
        <w:t>translations,</w:t>
      </w:r>
      <w:r w:rsidR="00BF059B">
        <w:t xml:space="preserve"> </w:t>
      </w:r>
      <w:r>
        <w:t>enabling</w:t>
      </w:r>
      <w:r w:rsidR="00BF059B">
        <w:t xml:space="preserve"> </w:t>
      </w:r>
      <w:r>
        <w:t>our</w:t>
      </w:r>
      <w:r w:rsidR="00BF059B">
        <w:t xml:space="preserve"> </w:t>
      </w:r>
      <w:r>
        <w:t>first</w:t>
      </w:r>
      <w:r w:rsidR="00BF059B">
        <w:t xml:space="preserve"> </w:t>
      </w:r>
      <w:r>
        <w:t>dual-language</w:t>
      </w:r>
      <w:r w:rsidR="00BF059B">
        <w:t xml:space="preserve"> </w:t>
      </w:r>
      <w:r>
        <w:t>display.</w:t>
      </w:r>
      <w:r w:rsidR="00BF059B">
        <w:t xml:space="preserve">  </w:t>
      </w:r>
    </w:p>
    <w:p w14:paraId="1FA20B63" w14:textId="77777777" w:rsidR="00BE13A8" w:rsidRDefault="00BE13A8" w:rsidP="0015265F">
      <w:pPr>
        <w:spacing w:line="259" w:lineRule="auto"/>
      </w:pPr>
    </w:p>
    <w:p w14:paraId="269B9E2C" w14:textId="65B08D18" w:rsidR="00BE13A8" w:rsidRDefault="00D70530" w:rsidP="0015265F">
      <w:r>
        <w:t>Working</w:t>
      </w:r>
      <w:r w:rsidR="00BF059B">
        <w:t xml:space="preserve"> </w:t>
      </w:r>
      <w:r>
        <w:t>with</w:t>
      </w:r>
      <w:r w:rsidR="00BF059B">
        <w:t xml:space="preserve"> </w:t>
      </w:r>
      <w:r>
        <w:t>AIATSIS,</w:t>
      </w:r>
      <w:r w:rsidR="00BF059B">
        <w:t xml:space="preserve"> </w:t>
      </w:r>
      <w:r>
        <w:t>we</w:t>
      </w:r>
      <w:r w:rsidR="00BF059B">
        <w:t xml:space="preserve"> </w:t>
      </w:r>
      <w:r>
        <w:t>successfully</w:t>
      </w:r>
      <w:r w:rsidR="00BF059B">
        <w:t xml:space="preserve"> </w:t>
      </w:r>
      <w:r>
        <w:t>transferred</w:t>
      </w:r>
      <w:r w:rsidR="00BF059B">
        <w:t xml:space="preserve"> </w:t>
      </w:r>
      <w:r>
        <w:t>ownership</w:t>
      </w:r>
      <w:r w:rsidR="00BF059B">
        <w:t xml:space="preserve"> </w:t>
      </w:r>
      <w:r>
        <w:t>of</w:t>
      </w:r>
      <w:r w:rsidR="00BF059B">
        <w:t xml:space="preserve"> </w:t>
      </w:r>
      <w:r>
        <w:t>10</w:t>
      </w:r>
      <w:r w:rsidR="00BF059B">
        <w:t xml:space="preserve"> </w:t>
      </w:r>
      <w:r>
        <w:t>objects</w:t>
      </w:r>
      <w:r w:rsidR="00BF059B">
        <w:t xml:space="preserve"> </w:t>
      </w:r>
      <w:r>
        <w:t>to</w:t>
      </w:r>
      <w:r w:rsidR="00BF059B">
        <w:t xml:space="preserve"> </w:t>
      </w:r>
      <w:r>
        <w:t>the</w:t>
      </w:r>
      <w:r w:rsidR="00BF059B">
        <w:t xml:space="preserve"> </w:t>
      </w:r>
      <w:r>
        <w:t>Warumungu</w:t>
      </w:r>
      <w:r w:rsidR="00BF059B">
        <w:t xml:space="preserve"> </w:t>
      </w:r>
      <w:r>
        <w:t>community,</w:t>
      </w:r>
      <w:r w:rsidR="00BF059B">
        <w:t xml:space="preserve"> </w:t>
      </w:r>
      <w:r>
        <w:t>of</w:t>
      </w:r>
      <w:r w:rsidR="00BF059B">
        <w:t xml:space="preserve"> </w:t>
      </w:r>
      <w:r>
        <w:t>Northern</w:t>
      </w:r>
      <w:r w:rsidR="00BF059B">
        <w:t xml:space="preserve"> </w:t>
      </w:r>
      <w:r>
        <w:t>Territory,</w:t>
      </w:r>
      <w:r w:rsidR="00BF059B">
        <w:t xml:space="preserve"> </w:t>
      </w:r>
      <w:r>
        <w:t>Australia.</w:t>
      </w:r>
      <w:r w:rsidR="00BF059B">
        <w:t xml:space="preserve"> </w:t>
      </w:r>
      <w:r>
        <w:t>A</w:t>
      </w:r>
      <w:r w:rsidR="00BF059B">
        <w:t xml:space="preserve"> </w:t>
      </w:r>
      <w:r>
        <w:t>return</w:t>
      </w:r>
      <w:r w:rsidR="00BF059B">
        <w:t xml:space="preserve"> </w:t>
      </w:r>
      <w:r>
        <w:t>event</w:t>
      </w:r>
      <w:r w:rsidR="00BF059B">
        <w:t xml:space="preserve"> </w:t>
      </w:r>
      <w:r>
        <w:t>took</w:t>
      </w:r>
      <w:r w:rsidR="00BF059B">
        <w:t xml:space="preserve"> </w:t>
      </w:r>
      <w:r>
        <w:t>place</w:t>
      </w:r>
      <w:r w:rsidR="00BF059B">
        <w:t xml:space="preserve"> </w:t>
      </w:r>
      <w:r>
        <w:t>in</w:t>
      </w:r>
      <w:r w:rsidR="00BF059B">
        <w:t xml:space="preserve"> </w:t>
      </w:r>
      <w:r>
        <w:t>October,</w:t>
      </w:r>
      <w:r w:rsidR="00BF059B">
        <w:t xml:space="preserve"> </w:t>
      </w:r>
      <w:r>
        <w:t>after</w:t>
      </w:r>
      <w:r w:rsidR="00BF059B">
        <w:t xml:space="preserve"> </w:t>
      </w:r>
      <w:r>
        <w:t>which</w:t>
      </w:r>
      <w:r w:rsidR="00BF059B">
        <w:t xml:space="preserve"> </w:t>
      </w:r>
      <w:r>
        <w:t>the</w:t>
      </w:r>
      <w:r w:rsidR="00BF059B">
        <w:t xml:space="preserve"> </w:t>
      </w:r>
      <w:r>
        <w:t>objects</w:t>
      </w:r>
      <w:r w:rsidR="00BF059B">
        <w:t xml:space="preserve"> </w:t>
      </w:r>
      <w:r>
        <w:t>returned</w:t>
      </w:r>
      <w:r w:rsidR="00BF059B">
        <w:t xml:space="preserve"> </w:t>
      </w:r>
      <w:r>
        <w:t>to</w:t>
      </w:r>
      <w:r w:rsidR="00BF059B">
        <w:t xml:space="preserve"> </w:t>
      </w:r>
      <w:r>
        <w:t>Australia.</w:t>
      </w:r>
      <w:r w:rsidR="00BF059B">
        <w:t xml:space="preserve"> </w:t>
      </w:r>
      <w:r>
        <w:t>We</w:t>
      </w:r>
      <w:r w:rsidR="00BF059B">
        <w:t xml:space="preserve"> </w:t>
      </w:r>
      <w:r>
        <w:t>also</w:t>
      </w:r>
      <w:r w:rsidR="00BF059B">
        <w:t xml:space="preserve"> </w:t>
      </w:r>
      <w:r>
        <w:t>continued</w:t>
      </w:r>
      <w:r w:rsidR="00BF059B">
        <w:t xml:space="preserve"> </w:t>
      </w:r>
      <w:r>
        <w:t>to</w:t>
      </w:r>
      <w:r w:rsidR="00BF059B">
        <w:t xml:space="preserve"> </w:t>
      </w:r>
      <w:r>
        <w:t>collaborate</w:t>
      </w:r>
      <w:r w:rsidR="00BF059B">
        <w:t xml:space="preserve"> </w:t>
      </w:r>
      <w:r>
        <w:t>with</w:t>
      </w:r>
      <w:r w:rsidR="00BF059B">
        <w:t xml:space="preserve"> </w:t>
      </w:r>
      <w:r>
        <w:t>partners</w:t>
      </w:r>
      <w:r w:rsidR="00BF059B">
        <w:t xml:space="preserve"> </w:t>
      </w:r>
      <w:r>
        <w:t>in</w:t>
      </w:r>
      <w:r w:rsidR="00BF059B">
        <w:t xml:space="preserve"> </w:t>
      </w:r>
      <w:r>
        <w:t>Nigeria</w:t>
      </w:r>
      <w:r w:rsidR="00BF059B">
        <w:t xml:space="preserve"> </w:t>
      </w:r>
      <w:r>
        <w:t>on</w:t>
      </w:r>
      <w:r w:rsidR="00BF059B">
        <w:t xml:space="preserve"> </w:t>
      </w:r>
      <w:r>
        <w:t>the</w:t>
      </w:r>
      <w:r w:rsidR="00BF059B">
        <w:t xml:space="preserve"> </w:t>
      </w:r>
      <w:r>
        <w:t>redisplay</w:t>
      </w:r>
      <w:r w:rsidR="00BF059B">
        <w:t xml:space="preserve"> </w:t>
      </w:r>
      <w:r>
        <w:t>and</w:t>
      </w:r>
      <w:r w:rsidR="00BF059B">
        <w:t xml:space="preserve"> </w:t>
      </w:r>
      <w:r>
        <w:t>ongoing</w:t>
      </w:r>
      <w:r w:rsidR="00BF059B">
        <w:t xml:space="preserve"> </w:t>
      </w:r>
      <w:r>
        <w:t>loan</w:t>
      </w:r>
      <w:r w:rsidR="00BF059B">
        <w:t xml:space="preserve"> </w:t>
      </w:r>
      <w:r>
        <w:t>of</w:t>
      </w:r>
      <w:r w:rsidR="00BF059B">
        <w:t xml:space="preserve"> </w:t>
      </w:r>
      <w:r>
        <w:t>the</w:t>
      </w:r>
      <w:r w:rsidR="00BF059B">
        <w:t xml:space="preserve"> </w:t>
      </w:r>
      <w:r>
        <w:t>Benin</w:t>
      </w:r>
      <w:r w:rsidR="00BF059B">
        <w:t xml:space="preserve"> </w:t>
      </w:r>
      <w:r>
        <w:t>material.</w:t>
      </w:r>
      <w:r w:rsidR="00BF059B">
        <w:t xml:space="preserve"> </w:t>
      </w:r>
    </w:p>
    <w:p w14:paraId="3B0FC338" w14:textId="77777777" w:rsidR="00BE13A8" w:rsidRDefault="00BE13A8" w:rsidP="0015265F">
      <w:pPr>
        <w:spacing w:line="259" w:lineRule="auto"/>
      </w:pPr>
    </w:p>
    <w:p w14:paraId="66C10EE3" w14:textId="0AC41348" w:rsidR="00BE13A8" w:rsidRDefault="00D70530" w:rsidP="0015265F">
      <w:pPr>
        <w:spacing w:line="259" w:lineRule="auto"/>
        <w:rPr>
          <w:color w:val="000000"/>
        </w:rPr>
      </w:pPr>
      <w:r>
        <w:t>We</w:t>
      </w:r>
      <w:r w:rsidR="00BF059B">
        <w:t xml:space="preserve"> </w:t>
      </w:r>
      <w:r>
        <w:t>have</w:t>
      </w:r>
      <w:r w:rsidR="00BF059B">
        <w:t xml:space="preserve"> </w:t>
      </w:r>
      <w:r>
        <w:t>continued</w:t>
      </w:r>
      <w:r w:rsidR="00BF059B">
        <w:t xml:space="preserve"> </w:t>
      </w:r>
      <w:r>
        <w:t>to</w:t>
      </w:r>
      <w:r w:rsidR="00BF059B">
        <w:t xml:space="preserve"> </w:t>
      </w:r>
      <w:r>
        <w:t>engage</w:t>
      </w:r>
      <w:r w:rsidR="00BF059B">
        <w:t xml:space="preserve"> </w:t>
      </w:r>
      <w:r>
        <w:t>our</w:t>
      </w:r>
      <w:r w:rsidR="00BF059B">
        <w:t xml:space="preserve"> </w:t>
      </w:r>
      <w:r>
        <w:t>community</w:t>
      </w:r>
      <w:r w:rsidR="00BF059B">
        <w:t xml:space="preserve"> </w:t>
      </w:r>
      <w:r>
        <w:t>researchers</w:t>
      </w:r>
      <w:r w:rsidR="00BF059B">
        <w:t xml:space="preserve"> </w:t>
      </w:r>
      <w:r>
        <w:t>with</w:t>
      </w:r>
      <w:r w:rsidR="00BF059B">
        <w:t xml:space="preserve"> </w:t>
      </w:r>
      <w:r>
        <w:t>regular</w:t>
      </w:r>
      <w:r w:rsidR="00BF059B">
        <w:t xml:space="preserve"> </w:t>
      </w:r>
      <w:r>
        <w:t>gatherings</w:t>
      </w:r>
      <w:r w:rsidR="00BF059B">
        <w:t xml:space="preserve"> </w:t>
      </w:r>
      <w:r>
        <w:t>and</w:t>
      </w:r>
      <w:r w:rsidR="00BF059B">
        <w:t xml:space="preserve"> </w:t>
      </w:r>
      <w:r>
        <w:t>opportunities</w:t>
      </w:r>
      <w:r w:rsidR="00BF059B">
        <w:t xml:space="preserve"> </w:t>
      </w:r>
      <w:r>
        <w:t>for</w:t>
      </w:r>
      <w:r w:rsidR="00BF059B">
        <w:t xml:space="preserve"> </w:t>
      </w:r>
      <w:r>
        <w:t>further</w:t>
      </w:r>
      <w:r w:rsidR="00BF059B">
        <w:t xml:space="preserve"> </w:t>
      </w:r>
      <w:r>
        <w:t>research.</w:t>
      </w:r>
      <w:r w:rsidR="00BF059B">
        <w:t xml:space="preserve"> </w:t>
      </w:r>
      <w:r>
        <w:rPr>
          <w:color w:val="000000"/>
        </w:rPr>
        <w:t>Community</w:t>
      </w:r>
      <w:r w:rsidR="00BF059B">
        <w:rPr>
          <w:color w:val="000000"/>
        </w:rPr>
        <w:t xml:space="preserve"> </w:t>
      </w:r>
      <w:r>
        <w:rPr>
          <w:color w:val="000000"/>
        </w:rPr>
        <w:t>Threads,</w:t>
      </w:r>
      <w:r w:rsidR="00BF059B">
        <w:rPr>
          <w:color w:val="000000"/>
        </w:rPr>
        <w:t xml:space="preserve"> </w:t>
      </w:r>
      <w:r>
        <w:rPr>
          <w:color w:val="000000"/>
        </w:rPr>
        <w:t>an</w:t>
      </w:r>
      <w:r w:rsidR="00BF059B">
        <w:rPr>
          <w:color w:val="000000"/>
        </w:rPr>
        <w:t xml:space="preserve"> </w:t>
      </w:r>
      <w:r>
        <w:rPr>
          <w:color w:val="000000"/>
        </w:rPr>
        <w:t>exhibition</w:t>
      </w:r>
      <w:r w:rsidR="00BF059B">
        <w:rPr>
          <w:color w:val="000000"/>
        </w:rPr>
        <w:t xml:space="preserve"> </w:t>
      </w:r>
      <w:r>
        <w:rPr>
          <w:color w:val="000000"/>
        </w:rPr>
        <w:t>of</w:t>
      </w:r>
      <w:r w:rsidR="00BF059B">
        <w:rPr>
          <w:color w:val="000000"/>
        </w:rPr>
        <w:t xml:space="preserve"> </w:t>
      </w:r>
      <w:r>
        <w:rPr>
          <w:color w:val="000000"/>
        </w:rPr>
        <w:t>family</w:t>
      </w:r>
      <w:r w:rsidR="00BF059B">
        <w:rPr>
          <w:color w:val="000000"/>
        </w:rPr>
        <w:t xml:space="preserve"> </w:t>
      </w:r>
      <w:r>
        <w:rPr>
          <w:color w:val="000000"/>
        </w:rPr>
        <w:t>history</w:t>
      </w:r>
      <w:r w:rsidR="00BF059B">
        <w:rPr>
          <w:color w:val="000000"/>
        </w:rPr>
        <w:t xml:space="preserve"> </w:t>
      </w:r>
      <w:r>
        <w:rPr>
          <w:color w:val="000000"/>
        </w:rPr>
        <w:t>research</w:t>
      </w:r>
      <w:r w:rsidR="00BF059B">
        <w:rPr>
          <w:color w:val="000000"/>
        </w:rPr>
        <w:t xml:space="preserve"> </w:t>
      </w:r>
      <w:r>
        <w:rPr>
          <w:color w:val="000000"/>
        </w:rPr>
        <w:t>created</w:t>
      </w:r>
      <w:r w:rsidR="00BF059B">
        <w:rPr>
          <w:color w:val="000000"/>
        </w:rPr>
        <w:t xml:space="preserve"> </w:t>
      </w:r>
      <w:r>
        <w:rPr>
          <w:color w:val="000000"/>
        </w:rPr>
        <w:t>by</w:t>
      </w:r>
      <w:r w:rsidR="00BF059B">
        <w:rPr>
          <w:color w:val="000000"/>
        </w:rPr>
        <w:t xml:space="preserve"> </w:t>
      </w:r>
      <w:r>
        <w:rPr>
          <w:color w:val="000000"/>
        </w:rPr>
        <w:t>the</w:t>
      </w:r>
      <w:r w:rsidR="00BF059B">
        <w:rPr>
          <w:color w:val="000000"/>
        </w:rPr>
        <w:t xml:space="preserve"> </w:t>
      </w:r>
      <w:r>
        <w:rPr>
          <w:color w:val="000000"/>
        </w:rPr>
        <w:t>researchers,</w:t>
      </w:r>
      <w:r w:rsidR="00BF059B">
        <w:rPr>
          <w:color w:val="000000"/>
        </w:rPr>
        <w:t xml:space="preserve"> </w:t>
      </w:r>
      <w:r>
        <w:rPr>
          <w:color w:val="000000"/>
        </w:rPr>
        <w:t>and</w:t>
      </w:r>
      <w:r w:rsidR="00BF059B">
        <w:rPr>
          <w:color w:val="000000"/>
        </w:rPr>
        <w:t xml:space="preserve"> </w:t>
      </w:r>
      <w:r>
        <w:rPr>
          <w:color w:val="000000"/>
        </w:rPr>
        <w:t>supported</w:t>
      </w:r>
      <w:r w:rsidR="00BF059B">
        <w:rPr>
          <w:color w:val="000000"/>
        </w:rPr>
        <w:t xml:space="preserve"> </w:t>
      </w:r>
      <w:r>
        <w:rPr>
          <w:color w:val="000000"/>
        </w:rPr>
        <w:t>by</w:t>
      </w:r>
      <w:r w:rsidR="00BF059B">
        <w:rPr>
          <w:color w:val="000000"/>
        </w:rPr>
        <w:t xml:space="preserve"> </w:t>
      </w:r>
      <w:r>
        <w:rPr>
          <w:color w:val="000000"/>
        </w:rPr>
        <w:t>the</w:t>
      </w:r>
      <w:r w:rsidR="00BF059B">
        <w:rPr>
          <w:color w:val="000000"/>
        </w:rPr>
        <w:t xml:space="preserve"> </w:t>
      </w:r>
      <w:r>
        <w:rPr>
          <w:color w:val="000000"/>
        </w:rPr>
        <w:t>Horniman,</w:t>
      </w:r>
      <w:r w:rsidR="00BF059B">
        <w:rPr>
          <w:color w:val="000000"/>
        </w:rPr>
        <w:t xml:space="preserve"> </w:t>
      </w:r>
      <w:r>
        <w:rPr>
          <w:color w:val="000000"/>
        </w:rPr>
        <w:t>opened</w:t>
      </w:r>
      <w:r w:rsidR="00BF059B">
        <w:rPr>
          <w:color w:val="000000"/>
        </w:rPr>
        <w:t xml:space="preserve"> </w:t>
      </w:r>
      <w:r>
        <w:rPr>
          <w:color w:val="000000"/>
        </w:rPr>
        <w:t>in</w:t>
      </w:r>
      <w:r w:rsidR="00BF059B">
        <w:rPr>
          <w:color w:val="000000"/>
        </w:rPr>
        <w:t xml:space="preserve"> </w:t>
      </w:r>
      <w:r>
        <w:rPr>
          <w:color w:val="000000"/>
        </w:rPr>
        <w:t>November.</w:t>
      </w:r>
      <w:r w:rsidR="00BF059B">
        <w:rPr>
          <w:color w:val="000000"/>
        </w:rPr>
        <w:t xml:space="preserve"> </w:t>
      </w:r>
      <w:r>
        <w:rPr>
          <w:color w:val="000000"/>
        </w:rPr>
        <w:t>Taking</w:t>
      </w:r>
      <w:r w:rsidR="00BF059B">
        <w:rPr>
          <w:color w:val="000000"/>
        </w:rPr>
        <w:t xml:space="preserve"> </w:t>
      </w:r>
      <w:r>
        <w:rPr>
          <w:color w:val="000000"/>
        </w:rPr>
        <w:t>over</w:t>
      </w:r>
      <w:r w:rsidR="00BF059B">
        <w:rPr>
          <w:color w:val="000000"/>
        </w:rPr>
        <w:t xml:space="preserve"> </w:t>
      </w:r>
      <w:r>
        <w:rPr>
          <w:color w:val="000000"/>
        </w:rPr>
        <w:t>a</w:t>
      </w:r>
      <w:r w:rsidR="00BF059B">
        <w:rPr>
          <w:color w:val="000000"/>
        </w:rPr>
        <w:t xml:space="preserve"> </w:t>
      </w:r>
      <w:r>
        <w:rPr>
          <w:color w:val="000000"/>
        </w:rPr>
        <w:t>local</w:t>
      </w:r>
      <w:r w:rsidR="00BF059B">
        <w:rPr>
          <w:color w:val="000000"/>
        </w:rPr>
        <w:t xml:space="preserve"> </w:t>
      </w:r>
      <w:r>
        <w:rPr>
          <w:color w:val="000000"/>
        </w:rPr>
        <w:t>café,</w:t>
      </w:r>
      <w:r w:rsidR="00BF059B">
        <w:rPr>
          <w:color w:val="000000"/>
        </w:rPr>
        <w:t xml:space="preserve"> </w:t>
      </w:r>
      <w:r>
        <w:rPr>
          <w:color w:val="000000"/>
        </w:rPr>
        <w:t>the</w:t>
      </w:r>
      <w:r w:rsidR="00BF059B">
        <w:rPr>
          <w:color w:val="000000"/>
        </w:rPr>
        <w:t xml:space="preserve"> </w:t>
      </w:r>
      <w:r>
        <w:rPr>
          <w:color w:val="000000"/>
        </w:rPr>
        <w:t>exhibition</w:t>
      </w:r>
      <w:r w:rsidR="00BF059B">
        <w:rPr>
          <w:color w:val="000000"/>
        </w:rPr>
        <w:t xml:space="preserve"> </w:t>
      </w:r>
      <w:r>
        <w:rPr>
          <w:color w:val="000000"/>
        </w:rPr>
        <w:t>explored</w:t>
      </w:r>
      <w:r w:rsidR="00BF059B">
        <w:rPr>
          <w:color w:val="000000"/>
        </w:rPr>
        <w:t xml:space="preserve"> </w:t>
      </w:r>
      <w:r>
        <w:rPr>
          <w:color w:val="000000"/>
        </w:rPr>
        <w:t>themes</w:t>
      </w:r>
      <w:r w:rsidR="00BF059B">
        <w:rPr>
          <w:color w:val="000000"/>
        </w:rPr>
        <w:t xml:space="preserve"> </w:t>
      </w:r>
      <w:r>
        <w:rPr>
          <w:color w:val="000000"/>
        </w:rPr>
        <w:t>of</w:t>
      </w:r>
      <w:r w:rsidR="00BF059B">
        <w:rPr>
          <w:color w:val="000000"/>
        </w:rPr>
        <w:t xml:space="preserve"> </w:t>
      </w:r>
      <w:r>
        <w:rPr>
          <w:color w:val="000000"/>
        </w:rPr>
        <w:t>family,</w:t>
      </w:r>
      <w:r w:rsidR="00BF059B">
        <w:rPr>
          <w:color w:val="000000"/>
        </w:rPr>
        <w:t xml:space="preserve"> </w:t>
      </w:r>
      <w:r>
        <w:rPr>
          <w:color w:val="000000"/>
        </w:rPr>
        <w:t>migration</w:t>
      </w:r>
      <w:r w:rsidR="00BF059B">
        <w:rPr>
          <w:color w:val="000000"/>
        </w:rPr>
        <w:t xml:space="preserve"> </w:t>
      </w:r>
      <w:r>
        <w:rPr>
          <w:color w:val="000000"/>
        </w:rPr>
        <w:t>and</w:t>
      </w:r>
      <w:r w:rsidR="00BF059B">
        <w:rPr>
          <w:color w:val="000000"/>
        </w:rPr>
        <w:t xml:space="preserve"> </w:t>
      </w:r>
      <w:r>
        <w:rPr>
          <w:color w:val="000000"/>
        </w:rPr>
        <w:t>home,</w:t>
      </w:r>
      <w:r w:rsidR="00BF059B">
        <w:rPr>
          <w:color w:val="000000"/>
        </w:rPr>
        <w:t xml:space="preserve"> </w:t>
      </w:r>
      <w:r>
        <w:rPr>
          <w:color w:val="000000"/>
        </w:rPr>
        <w:t>and</w:t>
      </w:r>
      <w:r w:rsidR="00BF059B">
        <w:rPr>
          <w:color w:val="000000"/>
        </w:rPr>
        <w:t xml:space="preserve"> </w:t>
      </w:r>
      <w:r>
        <w:rPr>
          <w:color w:val="000000"/>
        </w:rPr>
        <w:t>made</w:t>
      </w:r>
      <w:r w:rsidR="00BF059B">
        <w:rPr>
          <w:color w:val="000000"/>
        </w:rPr>
        <w:t xml:space="preserve"> </w:t>
      </w:r>
      <w:r>
        <w:rPr>
          <w:color w:val="000000"/>
        </w:rPr>
        <w:t>links</w:t>
      </w:r>
      <w:r w:rsidR="00BF059B">
        <w:rPr>
          <w:color w:val="000000"/>
        </w:rPr>
        <w:t xml:space="preserve"> </w:t>
      </w:r>
      <w:r>
        <w:rPr>
          <w:color w:val="000000"/>
        </w:rPr>
        <w:t>to</w:t>
      </w:r>
      <w:r w:rsidR="00BF059B">
        <w:rPr>
          <w:color w:val="000000"/>
        </w:rPr>
        <w:t xml:space="preserve"> </w:t>
      </w:r>
      <w:r>
        <w:rPr>
          <w:color w:val="000000"/>
        </w:rPr>
        <w:t>objects</w:t>
      </w:r>
      <w:r w:rsidR="00BF059B">
        <w:rPr>
          <w:color w:val="000000"/>
        </w:rPr>
        <w:t xml:space="preserve"> </w:t>
      </w:r>
      <w:r>
        <w:rPr>
          <w:color w:val="000000"/>
        </w:rPr>
        <w:t>in</w:t>
      </w:r>
      <w:r w:rsidR="00BF059B">
        <w:rPr>
          <w:color w:val="000000"/>
        </w:rPr>
        <w:t xml:space="preserve"> </w:t>
      </w:r>
      <w:r>
        <w:rPr>
          <w:color w:val="000000"/>
        </w:rPr>
        <w:t>the</w:t>
      </w:r>
      <w:r w:rsidR="00BF059B">
        <w:rPr>
          <w:color w:val="000000"/>
        </w:rPr>
        <w:t xml:space="preserve"> </w:t>
      </w:r>
      <w:r>
        <w:rPr>
          <w:color w:val="000000"/>
        </w:rPr>
        <w:t>Horniman’s</w:t>
      </w:r>
      <w:r w:rsidR="00BF059B">
        <w:rPr>
          <w:color w:val="000000"/>
        </w:rPr>
        <w:t xml:space="preserve"> </w:t>
      </w:r>
      <w:r>
        <w:rPr>
          <w:color w:val="000000"/>
        </w:rPr>
        <w:t>collection.</w:t>
      </w:r>
      <w:r w:rsidR="00BF059B">
        <w:rPr>
          <w:color w:val="000000"/>
        </w:rPr>
        <w:t xml:space="preserve"> </w:t>
      </w:r>
      <w:r>
        <w:rPr>
          <w:color w:val="000000"/>
        </w:rPr>
        <w:t>The</w:t>
      </w:r>
      <w:r w:rsidR="00BF059B">
        <w:rPr>
          <w:color w:val="000000"/>
        </w:rPr>
        <w:t xml:space="preserve"> </w:t>
      </w:r>
      <w:r>
        <w:rPr>
          <w:color w:val="000000"/>
        </w:rPr>
        <w:t>exhibition</w:t>
      </w:r>
      <w:r w:rsidR="00BF059B">
        <w:rPr>
          <w:color w:val="000000"/>
        </w:rPr>
        <w:t xml:space="preserve"> </w:t>
      </w:r>
      <w:r>
        <w:rPr>
          <w:color w:val="000000"/>
        </w:rPr>
        <w:t>is</w:t>
      </w:r>
      <w:r w:rsidR="00BF059B">
        <w:rPr>
          <w:color w:val="000000"/>
        </w:rPr>
        <w:t xml:space="preserve"> </w:t>
      </w:r>
      <w:r>
        <w:rPr>
          <w:color w:val="000000"/>
        </w:rPr>
        <w:t>also</w:t>
      </w:r>
      <w:r w:rsidR="00BF059B">
        <w:rPr>
          <w:color w:val="000000"/>
        </w:rPr>
        <w:t xml:space="preserve"> </w:t>
      </w:r>
      <w:r>
        <w:rPr>
          <w:color w:val="000000"/>
        </w:rPr>
        <w:t>available</w:t>
      </w:r>
      <w:r w:rsidR="00BF059B">
        <w:rPr>
          <w:color w:val="000000"/>
        </w:rPr>
        <w:t xml:space="preserve"> </w:t>
      </w:r>
      <w:r>
        <w:rPr>
          <w:color w:val="000000"/>
        </w:rPr>
        <w:t>online,</w:t>
      </w:r>
      <w:r w:rsidR="00BF059B">
        <w:rPr>
          <w:color w:val="000000"/>
        </w:rPr>
        <w:t xml:space="preserve"> </w:t>
      </w:r>
      <w:r>
        <w:rPr>
          <w:color w:val="000000"/>
        </w:rPr>
        <w:t>on</w:t>
      </w:r>
      <w:r w:rsidR="00BF059B">
        <w:rPr>
          <w:color w:val="000000"/>
        </w:rPr>
        <w:t xml:space="preserve"> </w:t>
      </w:r>
      <w:r>
        <w:rPr>
          <w:color w:val="000000"/>
        </w:rPr>
        <w:t>the</w:t>
      </w:r>
      <w:r w:rsidR="00BF059B">
        <w:rPr>
          <w:color w:val="000000"/>
        </w:rPr>
        <w:t xml:space="preserve"> </w:t>
      </w:r>
      <w:r>
        <w:rPr>
          <w:color w:val="000000"/>
        </w:rPr>
        <w:t>Horniman</w:t>
      </w:r>
      <w:r w:rsidR="00BF059B">
        <w:rPr>
          <w:color w:val="000000"/>
        </w:rPr>
        <w:t xml:space="preserve"> </w:t>
      </w:r>
      <w:r>
        <w:rPr>
          <w:color w:val="000000"/>
        </w:rPr>
        <w:t>website.</w:t>
      </w:r>
    </w:p>
    <w:p w14:paraId="1765089D" w14:textId="77777777" w:rsidR="00BE13A8" w:rsidRDefault="00BE13A8" w:rsidP="0015265F">
      <w:pPr>
        <w:spacing w:line="259" w:lineRule="auto"/>
      </w:pPr>
    </w:p>
    <w:p w14:paraId="1A0822F7" w14:textId="7EA6A885" w:rsidR="00BE13A8" w:rsidRDefault="00D70530" w:rsidP="0015265F">
      <w:pPr>
        <w:spacing w:line="259" w:lineRule="auto"/>
      </w:pPr>
      <w:r>
        <w:t>With</w:t>
      </w:r>
      <w:r w:rsidR="00BF059B">
        <w:t xml:space="preserve"> </w:t>
      </w:r>
      <w:r>
        <w:t>both</w:t>
      </w:r>
      <w:r w:rsidR="00BF059B">
        <w:t xml:space="preserve"> </w:t>
      </w:r>
      <w:r>
        <w:t>senior</w:t>
      </w:r>
      <w:r w:rsidR="00BF059B">
        <w:t xml:space="preserve"> </w:t>
      </w:r>
      <w:r>
        <w:t>curators</w:t>
      </w:r>
      <w:r w:rsidR="00BF059B">
        <w:t xml:space="preserve"> </w:t>
      </w:r>
      <w:r>
        <w:t>now</w:t>
      </w:r>
      <w:r w:rsidR="00BF059B">
        <w:t xml:space="preserve"> </w:t>
      </w:r>
      <w:r>
        <w:t>alumni</w:t>
      </w:r>
      <w:r w:rsidR="00BF059B">
        <w:t xml:space="preserve"> </w:t>
      </w:r>
      <w:r>
        <w:t>of</w:t>
      </w:r>
      <w:r w:rsidR="00BF059B">
        <w:t xml:space="preserve"> </w:t>
      </w:r>
      <w:r>
        <w:t>the</w:t>
      </w:r>
      <w:r w:rsidR="00BF059B">
        <w:t xml:space="preserve"> </w:t>
      </w:r>
      <w:proofErr w:type="spellStart"/>
      <w:r>
        <w:t>MuseumsLab</w:t>
      </w:r>
      <w:proofErr w:type="spellEnd"/>
      <w:r w:rsidR="00BF059B">
        <w:t xml:space="preserve"> </w:t>
      </w:r>
      <w:r>
        <w:t>programme,</w:t>
      </w:r>
      <w:r w:rsidR="00BF059B">
        <w:t xml:space="preserve"> </w:t>
      </w:r>
      <w:r>
        <w:t>we</w:t>
      </w:r>
      <w:r w:rsidR="00BF059B">
        <w:t xml:space="preserve"> </w:t>
      </w:r>
      <w:r>
        <w:t>were</w:t>
      </w:r>
      <w:r w:rsidR="00BF059B">
        <w:t xml:space="preserve"> </w:t>
      </w:r>
      <w:r>
        <w:t>delighted</w:t>
      </w:r>
      <w:r w:rsidR="00BF059B">
        <w:t xml:space="preserve"> </w:t>
      </w:r>
      <w:r>
        <w:t>to</w:t>
      </w:r>
      <w:r w:rsidR="00BF059B">
        <w:t xml:space="preserve"> </w:t>
      </w:r>
      <w:r>
        <w:t>be</w:t>
      </w:r>
      <w:r w:rsidR="00BF059B">
        <w:t xml:space="preserve"> </w:t>
      </w:r>
      <w:r>
        <w:t>successful</w:t>
      </w:r>
      <w:r w:rsidR="00BF059B">
        <w:t xml:space="preserve"> </w:t>
      </w:r>
      <w:r>
        <w:t>in</w:t>
      </w:r>
      <w:r w:rsidR="00BF059B">
        <w:t xml:space="preserve"> </w:t>
      </w:r>
      <w:r>
        <w:t>our</w:t>
      </w:r>
      <w:r w:rsidR="00BF059B">
        <w:t xml:space="preserve"> </w:t>
      </w:r>
      <w:r>
        <w:t>application</w:t>
      </w:r>
      <w:r w:rsidR="00BF059B">
        <w:t xml:space="preserve"> </w:t>
      </w:r>
      <w:r>
        <w:t>to</w:t>
      </w:r>
      <w:r w:rsidR="00BF059B">
        <w:t xml:space="preserve"> </w:t>
      </w:r>
      <w:r>
        <w:t>be</w:t>
      </w:r>
      <w:r w:rsidR="00BF059B">
        <w:t xml:space="preserve"> </w:t>
      </w:r>
      <w:r>
        <w:t>a</w:t>
      </w:r>
      <w:r w:rsidR="00BF059B">
        <w:t xml:space="preserve"> </w:t>
      </w:r>
      <w:r>
        <w:t>European</w:t>
      </w:r>
      <w:r w:rsidR="00BF059B">
        <w:t xml:space="preserve"> </w:t>
      </w:r>
      <w:r>
        <w:t>residency</w:t>
      </w:r>
      <w:r w:rsidR="00BF059B">
        <w:t xml:space="preserve"> </w:t>
      </w:r>
      <w:r>
        <w:t>host</w:t>
      </w:r>
      <w:r w:rsidR="00BF059B">
        <w:t xml:space="preserve"> </w:t>
      </w:r>
      <w:r>
        <w:t>for</w:t>
      </w:r>
      <w:r w:rsidR="00BF059B">
        <w:t xml:space="preserve"> </w:t>
      </w:r>
      <w:hyperlink r:id="rId10">
        <w:proofErr w:type="spellStart"/>
        <w:r>
          <w:t>MuseumsLab</w:t>
        </w:r>
        <w:proofErr w:type="spellEnd"/>
      </w:hyperlink>
      <w:r w:rsidR="00BF059B">
        <w:t xml:space="preserve"> </w:t>
      </w:r>
      <w:r>
        <w:t>2025,</w:t>
      </w:r>
      <w:r w:rsidR="00BF059B">
        <w:t xml:space="preserve"> </w:t>
      </w:r>
      <w:r>
        <w:t>and</w:t>
      </w:r>
      <w:r w:rsidR="00BF059B">
        <w:t xml:space="preserve"> </w:t>
      </w:r>
      <w:r>
        <w:t>will</w:t>
      </w:r>
      <w:r w:rsidR="00BF059B">
        <w:t xml:space="preserve"> </w:t>
      </w:r>
      <w:r>
        <w:t>be</w:t>
      </w:r>
      <w:r w:rsidR="00BF059B">
        <w:t xml:space="preserve"> </w:t>
      </w:r>
      <w:r>
        <w:t>joined</w:t>
      </w:r>
      <w:r w:rsidR="00BF059B">
        <w:t xml:space="preserve"> </w:t>
      </w:r>
      <w:r>
        <w:t>by</w:t>
      </w:r>
      <w:r w:rsidR="00BF059B">
        <w:t xml:space="preserve"> </w:t>
      </w:r>
      <w:r>
        <w:t>two</w:t>
      </w:r>
      <w:r w:rsidR="00BF059B">
        <w:t xml:space="preserve"> </w:t>
      </w:r>
      <w:r>
        <w:t>Fellows</w:t>
      </w:r>
      <w:r w:rsidR="00BF059B">
        <w:t xml:space="preserve"> </w:t>
      </w:r>
      <w:r>
        <w:t>in</w:t>
      </w:r>
      <w:r w:rsidR="00BF059B">
        <w:t xml:space="preserve"> </w:t>
      </w:r>
      <w:r>
        <w:t>June.</w:t>
      </w:r>
    </w:p>
    <w:p w14:paraId="45320C7C" w14:textId="77777777" w:rsidR="00BE13A8" w:rsidRDefault="00BE13A8" w:rsidP="0015265F">
      <w:pPr>
        <w:spacing w:line="259" w:lineRule="auto"/>
        <w:rPr>
          <w:color w:val="000000"/>
        </w:rPr>
      </w:pPr>
    </w:p>
    <w:p w14:paraId="2C15D813" w14:textId="4604F0D8" w:rsidR="00BE13A8" w:rsidRDefault="00D70530" w:rsidP="0015265F">
      <w:pPr>
        <w:spacing w:after="160" w:line="259" w:lineRule="auto"/>
      </w:pPr>
      <w:r>
        <w:t>Research</w:t>
      </w:r>
      <w:r w:rsidR="00BF059B">
        <w:t xml:space="preserve"> </w:t>
      </w:r>
      <w:r>
        <w:t>highlights</w:t>
      </w:r>
      <w:r w:rsidR="00BF059B">
        <w:t xml:space="preserve"> </w:t>
      </w:r>
      <w:r>
        <w:t>include</w:t>
      </w:r>
      <w:r w:rsidR="00BF059B">
        <w:t xml:space="preserve"> </w:t>
      </w:r>
      <w:r>
        <w:t>progressing</w:t>
      </w:r>
      <w:r w:rsidR="00BF059B">
        <w:t xml:space="preserve"> </w:t>
      </w:r>
      <w:r>
        <w:t>the</w:t>
      </w:r>
      <w:r w:rsidR="00BF059B">
        <w:t xml:space="preserve"> </w:t>
      </w:r>
      <w:r>
        <w:t>second</w:t>
      </w:r>
      <w:r w:rsidR="00BF059B">
        <w:t xml:space="preserve"> </w:t>
      </w:r>
      <w:r>
        <w:t>phase</w:t>
      </w:r>
      <w:r w:rsidR="00BF059B">
        <w:t xml:space="preserve"> </w:t>
      </w:r>
      <w:r>
        <w:t>of</w:t>
      </w:r>
      <w:r w:rsidR="00BF059B">
        <w:t xml:space="preserve"> </w:t>
      </w:r>
      <w:r>
        <w:t>Rethinking</w:t>
      </w:r>
      <w:r w:rsidR="00BF059B">
        <w:t xml:space="preserve"> </w:t>
      </w:r>
      <w:r>
        <w:t>Relationships,</w:t>
      </w:r>
      <w:r w:rsidR="00BF059B">
        <w:t xml:space="preserve"> </w:t>
      </w:r>
      <w:r>
        <w:t>a</w:t>
      </w:r>
      <w:r w:rsidR="00BF059B">
        <w:t xml:space="preserve"> </w:t>
      </w:r>
      <w:r>
        <w:t>multi-museum</w:t>
      </w:r>
      <w:r w:rsidR="00BF059B">
        <w:t xml:space="preserve"> </w:t>
      </w:r>
      <w:r>
        <w:t>collaboration</w:t>
      </w:r>
      <w:r w:rsidR="00BF059B">
        <w:t xml:space="preserve"> </w:t>
      </w:r>
      <w:r>
        <w:t>led</w:t>
      </w:r>
      <w:r w:rsidR="00BF059B">
        <w:t xml:space="preserve"> </w:t>
      </w:r>
      <w:r>
        <w:t>by</w:t>
      </w:r>
      <w:r w:rsidR="00BF059B">
        <w:t xml:space="preserve"> </w:t>
      </w:r>
      <w:r>
        <w:t>the</w:t>
      </w:r>
      <w:r w:rsidR="00BF059B">
        <w:t xml:space="preserve"> </w:t>
      </w:r>
      <w:r>
        <w:t>Pitt</w:t>
      </w:r>
      <w:r w:rsidR="00BF059B">
        <w:t xml:space="preserve"> </w:t>
      </w:r>
      <w:r>
        <w:t>Rivers</w:t>
      </w:r>
      <w:r w:rsidR="00BF059B">
        <w:t xml:space="preserve"> </w:t>
      </w:r>
      <w:r>
        <w:t>to</w:t>
      </w:r>
      <w:r w:rsidR="00BF059B">
        <w:t xml:space="preserve"> </w:t>
      </w:r>
      <w:r>
        <w:t>develop</w:t>
      </w:r>
      <w:r w:rsidR="00BF059B">
        <w:t xml:space="preserve"> </w:t>
      </w:r>
      <w:r>
        <w:t>and</w:t>
      </w:r>
      <w:r w:rsidR="00BF059B">
        <w:t xml:space="preserve"> </w:t>
      </w:r>
      <w:r>
        <w:t>adapt</w:t>
      </w:r>
      <w:r w:rsidR="00BF059B">
        <w:t xml:space="preserve"> </w:t>
      </w:r>
      <w:r>
        <w:t>museum</w:t>
      </w:r>
      <w:r w:rsidR="00BF059B">
        <w:t xml:space="preserve"> </w:t>
      </w:r>
      <w:r>
        <w:t>practice</w:t>
      </w:r>
      <w:r w:rsidR="00BF059B">
        <w:t xml:space="preserve"> </w:t>
      </w:r>
      <w:r>
        <w:t>to</w:t>
      </w:r>
      <w:r w:rsidR="00BF059B">
        <w:t xml:space="preserve"> </w:t>
      </w:r>
      <w:r>
        <w:t>build</w:t>
      </w:r>
      <w:r w:rsidR="00BF059B">
        <w:t xml:space="preserve"> </w:t>
      </w:r>
      <w:r>
        <w:t>trust</w:t>
      </w:r>
      <w:r w:rsidR="00BF059B">
        <w:t xml:space="preserve"> </w:t>
      </w:r>
      <w:r>
        <w:t>with</w:t>
      </w:r>
      <w:r w:rsidR="00BF059B">
        <w:t xml:space="preserve"> </w:t>
      </w:r>
      <w:r>
        <w:t>communities</w:t>
      </w:r>
      <w:r w:rsidR="00BF059B">
        <w:t xml:space="preserve"> </w:t>
      </w:r>
      <w:r>
        <w:t>and</w:t>
      </w:r>
      <w:r w:rsidR="00BF059B">
        <w:t xml:space="preserve"> </w:t>
      </w:r>
      <w:r>
        <w:t>improve</w:t>
      </w:r>
      <w:r w:rsidR="00BF059B">
        <w:t xml:space="preserve"> </w:t>
      </w:r>
      <w:r>
        <w:t>access</w:t>
      </w:r>
      <w:r w:rsidR="00BF059B">
        <w:t xml:space="preserve"> </w:t>
      </w:r>
      <w:r>
        <w:t>to</w:t>
      </w:r>
      <w:r w:rsidR="00BF059B">
        <w:t xml:space="preserve"> </w:t>
      </w:r>
      <w:r>
        <w:t>collections</w:t>
      </w:r>
      <w:r w:rsidR="00BF059B">
        <w:t xml:space="preserve"> </w:t>
      </w:r>
      <w:r>
        <w:t>from</w:t>
      </w:r>
      <w:r w:rsidR="00BF059B">
        <w:t xml:space="preserve"> </w:t>
      </w:r>
      <w:r>
        <w:t>Kenya,</w:t>
      </w:r>
      <w:r w:rsidR="00BF059B">
        <w:t xml:space="preserve"> </w:t>
      </w:r>
      <w:r>
        <w:t>Tanzania,</w:t>
      </w:r>
      <w:r w:rsidR="00BF059B">
        <w:t xml:space="preserve"> </w:t>
      </w:r>
      <w:r>
        <w:t>Ghana,</w:t>
      </w:r>
      <w:r w:rsidR="00BF059B">
        <w:t xml:space="preserve"> </w:t>
      </w:r>
      <w:r>
        <w:t>Nigeria</w:t>
      </w:r>
      <w:r w:rsidR="00BF059B">
        <w:t xml:space="preserve"> </w:t>
      </w:r>
      <w:r>
        <w:t>and</w:t>
      </w:r>
      <w:r w:rsidR="00BF059B">
        <w:t xml:space="preserve"> </w:t>
      </w:r>
      <w:r>
        <w:t>Uganda.</w:t>
      </w:r>
      <w:r w:rsidR="00BF059B">
        <w:t xml:space="preserve"> </w:t>
      </w:r>
      <w:r>
        <w:t>Our</w:t>
      </w:r>
      <w:r w:rsidR="00BF059B">
        <w:t xml:space="preserve"> </w:t>
      </w:r>
      <w:r>
        <w:t>joint</w:t>
      </w:r>
      <w:r w:rsidR="00BF059B">
        <w:t xml:space="preserve"> </w:t>
      </w:r>
      <w:r>
        <w:t>Egypt</w:t>
      </w:r>
      <w:r w:rsidR="00BF059B">
        <w:t xml:space="preserve"> </w:t>
      </w:r>
      <w:r>
        <w:t>review</w:t>
      </w:r>
      <w:r w:rsidR="00BF059B">
        <w:t xml:space="preserve"> </w:t>
      </w:r>
      <w:r>
        <w:t>project</w:t>
      </w:r>
      <w:r w:rsidR="00BF059B">
        <w:t xml:space="preserve"> </w:t>
      </w:r>
      <w:r>
        <w:t>with</w:t>
      </w:r>
      <w:r w:rsidR="00BF059B">
        <w:t xml:space="preserve"> </w:t>
      </w:r>
      <w:r>
        <w:t>University</w:t>
      </w:r>
      <w:r w:rsidR="00BF059B">
        <w:t xml:space="preserve"> </w:t>
      </w:r>
      <w:r>
        <w:t>College</w:t>
      </w:r>
      <w:r w:rsidR="00BF059B">
        <w:t xml:space="preserve"> </w:t>
      </w:r>
      <w:r>
        <w:t>London</w:t>
      </w:r>
      <w:r w:rsidR="00BF059B">
        <w:t xml:space="preserve"> </w:t>
      </w:r>
      <w:r>
        <w:t>(UCL)</w:t>
      </w:r>
      <w:r w:rsidR="00BF059B">
        <w:t xml:space="preserve"> </w:t>
      </w:r>
      <w:r>
        <w:t>is</w:t>
      </w:r>
      <w:r w:rsidR="00BF059B">
        <w:t xml:space="preserve"> </w:t>
      </w:r>
      <w:r>
        <w:t>ongoing,</w:t>
      </w:r>
      <w:r w:rsidR="00BF059B">
        <w:t xml:space="preserve"> </w:t>
      </w:r>
      <w:r>
        <w:t>with</w:t>
      </w:r>
      <w:r w:rsidR="00BF059B">
        <w:t xml:space="preserve"> </w:t>
      </w:r>
      <w:r>
        <w:t>outputs</w:t>
      </w:r>
      <w:r w:rsidR="00BF059B">
        <w:t xml:space="preserve"> </w:t>
      </w:r>
      <w:r>
        <w:t>informing</w:t>
      </w:r>
      <w:r w:rsidR="00BF059B">
        <w:t xml:space="preserve"> </w:t>
      </w:r>
      <w:r>
        <w:t>many</w:t>
      </w:r>
      <w:r w:rsidR="00BF059B">
        <w:t xml:space="preserve"> </w:t>
      </w:r>
      <w:r>
        <w:t>areas</w:t>
      </w:r>
      <w:r w:rsidR="00BF059B">
        <w:t xml:space="preserve"> </w:t>
      </w:r>
      <w:r>
        <w:t>of</w:t>
      </w:r>
      <w:r w:rsidR="00BF059B">
        <w:t xml:space="preserve"> </w:t>
      </w:r>
      <w:r>
        <w:t>our</w:t>
      </w:r>
      <w:r w:rsidR="00BF059B">
        <w:t xml:space="preserve"> </w:t>
      </w:r>
      <w:r>
        <w:t>practice,</w:t>
      </w:r>
      <w:r w:rsidR="00BF059B">
        <w:t xml:space="preserve"> </w:t>
      </w:r>
      <w:r>
        <w:t>including</w:t>
      </w:r>
      <w:r w:rsidR="00BF059B">
        <w:t xml:space="preserve"> </w:t>
      </w:r>
      <w:r>
        <w:t>Collections,</w:t>
      </w:r>
      <w:r w:rsidR="00BF059B">
        <w:t xml:space="preserve"> </w:t>
      </w:r>
      <w:r>
        <w:t>school</w:t>
      </w:r>
      <w:r w:rsidR="00BF059B">
        <w:t xml:space="preserve"> </w:t>
      </w:r>
      <w:r>
        <w:t>sessions,</w:t>
      </w:r>
      <w:r w:rsidR="00BF059B">
        <w:t xml:space="preserve"> </w:t>
      </w:r>
      <w:r>
        <w:t>and</w:t>
      </w:r>
      <w:r w:rsidR="00BF059B">
        <w:t xml:space="preserve"> </w:t>
      </w:r>
      <w:r>
        <w:t>new</w:t>
      </w:r>
      <w:r w:rsidR="00BF059B">
        <w:t xml:space="preserve"> </w:t>
      </w:r>
      <w:r>
        <w:t>interventions</w:t>
      </w:r>
      <w:r w:rsidR="00BF059B">
        <w:t xml:space="preserve"> </w:t>
      </w:r>
      <w:r>
        <w:t>in</w:t>
      </w:r>
      <w:r w:rsidR="00BF059B">
        <w:t xml:space="preserve"> </w:t>
      </w:r>
      <w:r>
        <w:t>Horniman’s</w:t>
      </w:r>
      <w:r w:rsidR="00BF059B">
        <w:t xml:space="preserve"> </w:t>
      </w:r>
      <w:r>
        <w:t>Vision.</w:t>
      </w:r>
      <w:r w:rsidR="00BF059B">
        <w:t xml:space="preserve"> </w:t>
      </w:r>
      <w:r>
        <w:t>A</w:t>
      </w:r>
      <w:r w:rsidR="00BF059B">
        <w:t xml:space="preserve"> </w:t>
      </w:r>
      <w:r>
        <w:t>new</w:t>
      </w:r>
      <w:r w:rsidR="00BF059B">
        <w:t xml:space="preserve"> </w:t>
      </w:r>
      <w:r>
        <w:t>collaborative</w:t>
      </w:r>
      <w:r w:rsidR="00BF059B">
        <w:t xml:space="preserve"> </w:t>
      </w:r>
      <w:r>
        <w:t>doctoral</w:t>
      </w:r>
      <w:r w:rsidR="00BF059B">
        <w:t xml:space="preserve"> </w:t>
      </w:r>
      <w:r>
        <w:t>award</w:t>
      </w:r>
      <w:r w:rsidR="00BF059B">
        <w:t xml:space="preserve"> </w:t>
      </w:r>
      <w:r>
        <w:t>PhD</w:t>
      </w:r>
      <w:r w:rsidR="00BF059B">
        <w:t xml:space="preserve"> </w:t>
      </w:r>
      <w:r>
        <w:t>on</w:t>
      </w:r>
      <w:r w:rsidR="00BF059B">
        <w:t xml:space="preserve"> </w:t>
      </w:r>
      <w:r>
        <w:t>west</w:t>
      </w:r>
      <w:r w:rsidR="00BF059B">
        <w:t xml:space="preserve"> </w:t>
      </w:r>
      <w:r>
        <w:t>African</w:t>
      </w:r>
      <w:r w:rsidR="00BF059B">
        <w:t xml:space="preserve"> </w:t>
      </w:r>
      <w:r>
        <w:t>masks</w:t>
      </w:r>
      <w:r w:rsidR="00BF059B">
        <w:t xml:space="preserve"> </w:t>
      </w:r>
      <w:r>
        <w:t>and</w:t>
      </w:r>
      <w:r w:rsidR="00BF059B">
        <w:t xml:space="preserve"> </w:t>
      </w:r>
      <w:r>
        <w:t>performance</w:t>
      </w:r>
      <w:r w:rsidR="00BF059B">
        <w:t xml:space="preserve"> </w:t>
      </w:r>
      <w:r>
        <w:t>commenced</w:t>
      </w:r>
      <w:r w:rsidR="00BF059B">
        <w:t xml:space="preserve"> </w:t>
      </w:r>
      <w:r>
        <w:t>in</w:t>
      </w:r>
      <w:r w:rsidR="00BF059B">
        <w:t xml:space="preserve"> </w:t>
      </w:r>
      <w:r>
        <w:t>partnership</w:t>
      </w:r>
      <w:r w:rsidR="00BF059B">
        <w:t xml:space="preserve"> </w:t>
      </w:r>
      <w:r>
        <w:t>with</w:t>
      </w:r>
      <w:r w:rsidR="00BF059B">
        <w:t xml:space="preserve"> </w:t>
      </w:r>
      <w:r>
        <w:t>University</w:t>
      </w:r>
      <w:r w:rsidR="00BF059B">
        <w:t xml:space="preserve"> </w:t>
      </w:r>
      <w:r>
        <w:t>of</w:t>
      </w:r>
      <w:r w:rsidR="00BF059B">
        <w:t xml:space="preserve"> </w:t>
      </w:r>
      <w:r>
        <w:t>Arts</w:t>
      </w:r>
      <w:r w:rsidR="00BF059B">
        <w:t xml:space="preserve"> </w:t>
      </w:r>
      <w:r>
        <w:t>(Wimbledon</w:t>
      </w:r>
      <w:r w:rsidR="00BF059B">
        <w:t xml:space="preserve"> </w:t>
      </w:r>
      <w:r>
        <w:t>School</w:t>
      </w:r>
      <w:r w:rsidR="00BF059B">
        <w:t xml:space="preserve"> </w:t>
      </w:r>
      <w:r>
        <w:t>of</w:t>
      </w:r>
      <w:r w:rsidR="00BF059B">
        <w:t xml:space="preserve"> </w:t>
      </w:r>
      <w:r>
        <w:t>Arts).</w:t>
      </w:r>
      <w:r w:rsidR="00BF059B">
        <w:t xml:space="preserve"> </w:t>
      </w:r>
      <w:r>
        <w:t>Knowledge</w:t>
      </w:r>
      <w:r w:rsidR="00BF059B">
        <w:t xml:space="preserve"> </w:t>
      </w:r>
      <w:r>
        <w:t>shared</w:t>
      </w:r>
      <w:r w:rsidR="00BF059B">
        <w:t xml:space="preserve"> </w:t>
      </w:r>
      <w:r>
        <w:t>with</w:t>
      </w:r>
      <w:r w:rsidR="00BF059B">
        <w:t xml:space="preserve"> </w:t>
      </w:r>
      <w:r>
        <w:t>us</w:t>
      </w:r>
      <w:r w:rsidR="00BF059B">
        <w:t xml:space="preserve"> </w:t>
      </w:r>
      <w:r>
        <w:t>by</w:t>
      </w:r>
      <w:r w:rsidR="00BF059B">
        <w:t xml:space="preserve"> </w:t>
      </w:r>
      <w:r>
        <w:t>Indigenous</w:t>
      </w:r>
      <w:r w:rsidR="00BF059B">
        <w:t xml:space="preserve"> </w:t>
      </w:r>
      <w:r>
        <w:t>and</w:t>
      </w:r>
      <w:r w:rsidR="00BF059B">
        <w:t xml:space="preserve"> </w:t>
      </w:r>
      <w:r>
        <w:t>community</w:t>
      </w:r>
      <w:r w:rsidR="00BF059B">
        <w:t xml:space="preserve"> </w:t>
      </w:r>
      <w:r>
        <w:t>partners</w:t>
      </w:r>
      <w:r w:rsidR="00BF059B">
        <w:t xml:space="preserve"> </w:t>
      </w:r>
      <w:r>
        <w:t>is</w:t>
      </w:r>
      <w:r w:rsidR="00BF059B">
        <w:t xml:space="preserve"> </w:t>
      </w:r>
      <w:r>
        <w:t>being</w:t>
      </w:r>
      <w:r w:rsidR="00BF059B">
        <w:t xml:space="preserve"> </w:t>
      </w:r>
      <w:r>
        <w:t>fed</w:t>
      </w:r>
      <w:r w:rsidR="00BF059B">
        <w:t xml:space="preserve"> </w:t>
      </w:r>
      <w:r>
        <w:t>back</w:t>
      </w:r>
      <w:r w:rsidR="00BF059B">
        <w:t xml:space="preserve"> </w:t>
      </w:r>
      <w:r>
        <w:t>into</w:t>
      </w:r>
      <w:r w:rsidR="00BF059B">
        <w:t xml:space="preserve"> </w:t>
      </w:r>
      <w:r>
        <w:t>our</w:t>
      </w:r>
      <w:r w:rsidR="00BF059B">
        <w:t xml:space="preserve"> </w:t>
      </w:r>
      <w:r>
        <w:t>own</w:t>
      </w:r>
      <w:r w:rsidR="00BF059B">
        <w:t xml:space="preserve"> </w:t>
      </w:r>
      <w:r>
        <w:t>practice</w:t>
      </w:r>
      <w:r w:rsidR="00BF059B">
        <w:t xml:space="preserve"> </w:t>
      </w:r>
      <w:r>
        <w:t>–</w:t>
      </w:r>
      <w:r w:rsidR="00BF059B">
        <w:t xml:space="preserve"> </w:t>
      </w:r>
      <w:r>
        <w:t>informing</w:t>
      </w:r>
      <w:r w:rsidR="00BF059B">
        <w:t xml:space="preserve"> </w:t>
      </w:r>
      <w:r>
        <w:t>our</w:t>
      </w:r>
      <w:r w:rsidR="00BF059B">
        <w:t xml:space="preserve"> </w:t>
      </w:r>
      <w:r>
        <w:t>approach</w:t>
      </w:r>
      <w:r w:rsidR="00BF059B">
        <w:t xml:space="preserve"> </w:t>
      </w:r>
      <w:r>
        <w:t>to</w:t>
      </w:r>
      <w:r w:rsidR="00BF059B">
        <w:t xml:space="preserve"> </w:t>
      </w:r>
      <w:r>
        <w:t>the</w:t>
      </w:r>
      <w:r w:rsidR="00BF059B">
        <w:t xml:space="preserve"> </w:t>
      </w:r>
      <w:r>
        <w:t>care</w:t>
      </w:r>
      <w:r w:rsidR="00BF059B">
        <w:t xml:space="preserve"> </w:t>
      </w:r>
      <w:r>
        <w:t>and</w:t>
      </w:r>
      <w:r w:rsidR="00BF059B">
        <w:t xml:space="preserve"> </w:t>
      </w:r>
      <w:r>
        <w:t>use</w:t>
      </w:r>
      <w:r w:rsidR="00BF059B">
        <w:t xml:space="preserve"> </w:t>
      </w:r>
      <w:r>
        <w:t>of</w:t>
      </w:r>
      <w:r w:rsidR="00BF059B">
        <w:t xml:space="preserve"> </w:t>
      </w:r>
      <w:r>
        <w:t>objects</w:t>
      </w:r>
      <w:r w:rsidR="00BF059B">
        <w:t xml:space="preserve"> </w:t>
      </w:r>
      <w:r>
        <w:t>in</w:t>
      </w:r>
      <w:r w:rsidR="00BF059B">
        <w:t xml:space="preserve"> </w:t>
      </w:r>
      <w:r>
        <w:t>our</w:t>
      </w:r>
      <w:r w:rsidR="00BF059B">
        <w:t xml:space="preserve"> </w:t>
      </w:r>
      <w:r>
        <w:t>Accessioned</w:t>
      </w:r>
      <w:r w:rsidR="00BF059B">
        <w:t xml:space="preserve"> </w:t>
      </w:r>
      <w:r>
        <w:t>and</w:t>
      </w:r>
      <w:r w:rsidR="00BF059B">
        <w:t xml:space="preserve"> </w:t>
      </w:r>
      <w:r>
        <w:t>Handling</w:t>
      </w:r>
      <w:r w:rsidR="00BF059B">
        <w:t xml:space="preserve"> </w:t>
      </w:r>
      <w:r>
        <w:t>Collections,</w:t>
      </w:r>
      <w:r w:rsidR="00BF059B">
        <w:t xml:space="preserve"> </w:t>
      </w:r>
      <w:r>
        <w:t>and</w:t>
      </w:r>
      <w:r w:rsidR="00BF059B">
        <w:t xml:space="preserve"> </w:t>
      </w:r>
      <w:r>
        <w:t>updates</w:t>
      </w:r>
      <w:r w:rsidR="00BF059B">
        <w:t xml:space="preserve"> </w:t>
      </w:r>
      <w:r>
        <w:t>to</w:t>
      </w:r>
      <w:r w:rsidR="00BF059B">
        <w:t xml:space="preserve"> </w:t>
      </w:r>
      <w:r>
        <w:t>our</w:t>
      </w:r>
      <w:r w:rsidR="00BF059B">
        <w:t xml:space="preserve"> </w:t>
      </w:r>
      <w:r>
        <w:t>Human</w:t>
      </w:r>
      <w:r w:rsidR="00BF059B">
        <w:t xml:space="preserve"> </w:t>
      </w:r>
      <w:r>
        <w:t>Remains</w:t>
      </w:r>
      <w:r w:rsidR="00BF059B">
        <w:t xml:space="preserve"> </w:t>
      </w:r>
      <w:r>
        <w:t>Policy.</w:t>
      </w:r>
      <w:r w:rsidR="00BF059B">
        <w:t xml:space="preserve"> </w:t>
      </w:r>
    </w:p>
    <w:p w14:paraId="5D0F2160" w14:textId="2F13C068" w:rsidR="00BE13A8" w:rsidRDefault="00D70530" w:rsidP="0015265F">
      <w:pPr>
        <w:pStyle w:val="Heading4"/>
        <w:jc w:val="left"/>
      </w:pPr>
      <w:r>
        <w:t>2.2</w:t>
      </w:r>
      <w:r w:rsidR="00BF059B">
        <w:t xml:space="preserve"> </w:t>
      </w:r>
      <w:r>
        <w:t>Natural</w:t>
      </w:r>
      <w:r w:rsidR="00BF059B">
        <w:t xml:space="preserve"> </w:t>
      </w:r>
      <w:r>
        <w:t>World</w:t>
      </w:r>
    </w:p>
    <w:p w14:paraId="28803CDD" w14:textId="1D0BF458" w:rsidR="00BE13A8" w:rsidRDefault="00D70530" w:rsidP="0015265F">
      <w:r>
        <w:t>The</w:t>
      </w:r>
      <w:r w:rsidR="00BF059B">
        <w:t xml:space="preserve"> </w:t>
      </w:r>
      <w:r>
        <w:t>Nature</w:t>
      </w:r>
      <w:r w:rsidR="00BF059B">
        <w:t xml:space="preserve"> </w:t>
      </w:r>
      <w:r>
        <w:t>+</w:t>
      </w:r>
      <w:r w:rsidR="00BF059B">
        <w:t xml:space="preserve"> </w:t>
      </w:r>
      <w:r>
        <w:t>Love</w:t>
      </w:r>
      <w:r w:rsidR="00BF059B">
        <w:t xml:space="preserve"> </w:t>
      </w:r>
      <w:r>
        <w:t>project</w:t>
      </w:r>
      <w:r w:rsidR="00BF059B">
        <w:t xml:space="preserve"> </w:t>
      </w:r>
      <w:r>
        <w:t>remained</w:t>
      </w:r>
      <w:r w:rsidR="00BF059B">
        <w:t xml:space="preserve"> </w:t>
      </w:r>
      <w:r>
        <w:t>a</w:t>
      </w:r>
      <w:r w:rsidR="00BF059B">
        <w:t xml:space="preserve"> </w:t>
      </w:r>
      <w:r>
        <w:t>priority</w:t>
      </w:r>
      <w:r w:rsidR="00BF059B">
        <w:t xml:space="preserve"> </w:t>
      </w:r>
      <w:r>
        <w:t>for</w:t>
      </w:r>
      <w:r w:rsidR="00BF059B">
        <w:t xml:space="preserve"> </w:t>
      </w:r>
      <w:r>
        <w:t>many</w:t>
      </w:r>
      <w:r w:rsidR="00BF059B">
        <w:t xml:space="preserve"> </w:t>
      </w:r>
      <w:r>
        <w:t>teams</w:t>
      </w:r>
      <w:r w:rsidR="00BF059B">
        <w:t xml:space="preserve"> </w:t>
      </w:r>
      <w:r>
        <w:t>during</w:t>
      </w:r>
      <w:r w:rsidR="00BF059B">
        <w:t xml:space="preserve"> </w:t>
      </w:r>
      <w:r>
        <w:t>2024/25.</w:t>
      </w:r>
      <w:r w:rsidR="00BF059B">
        <w:t xml:space="preserve"> </w:t>
      </w:r>
      <w:r>
        <w:t>This</w:t>
      </w:r>
      <w:r w:rsidR="00BF059B">
        <w:t xml:space="preserve"> </w:t>
      </w:r>
      <w:r>
        <w:t>multi-</w:t>
      </w:r>
      <w:r w:rsidR="00BF059B">
        <w:t xml:space="preserve"> </w:t>
      </w:r>
      <w:r>
        <w:t>million-pound</w:t>
      </w:r>
      <w:r w:rsidR="00BF059B">
        <w:t xml:space="preserve"> </w:t>
      </w:r>
      <w:r>
        <w:t>project</w:t>
      </w:r>
      <w:r w:rsidR="00BF059B">
        <w:t xml:space="preserve"> </w:t>
      </w:r>
      <w:r>
        <w:t>is</w:t>
      </w:r>
      <w:r w:rsidR="00BF059B">
        <w:t xml:space="preserve"> </w:t>
      </w:r>
      <w:r>
        <w:t>designed</w:t>
      </w:r>
      <w:r w:rsidR="00BF059B">
        <w:t xml:space="preserve"> </w:t>
      </w:r>
      <w:r>
        <w:t>to</w:t>
      </w:r>
      <w:r w:rsidR="00BF059B">
        <w:t xml:space="preserve"> </w:t>
      </w:r>
      <w:r>
        <w:t>connect</w:t>
      </w:r>
      <w:r w:rsidR="00BF059B">
        <w:t xml:space="preserve"> </w:t>
      </w:r>
      <w:r>
        <w:t>wider</w:t>
      </w:r>
      <w:r w:rsidR="00BF059B">
        <w:t xml:space="preserve"> </w:t>
      </w:r>
      <w:r>
        <w:t>audiences</w:t>
      </w:r>
      <w:r w:rsidR="00BF059B">
        <w:t xml:space="preserve"> </w:t>
      </w:r>
      <w:r>
        <w:t>with</w:t>
      </w:r>
      <w:r w:rsidR="00BF059B">
        <w:t xml:space="preserve"> </w:t>
      </w:r>
      <w:r>
        <w:t>the</w:t>
      </w:r>
      <w:r w:rsidR="00BF059B">
        <w:t xml:space="preserve"> </w:t>
      </w:r>
      <w:r>
        <w:t>environment</w:t>
      </w:r>
      <w:r w:rsidR="00BF059B">
        <w:t xml:space="preserve"> </w:t>
      </w:r>
      <w:r>
        <w:t>and</w:t>
      </w:r>
      <w:r w:rsidR="00BF059B">
        <w:t xml:space="preserve"> </w:t>
      </w:r>
      <w:r>
        <w:t>nature</w:t>
      </w:r>
      <w:r w:rsidR="00BF059B">
        <w:t xml:space="preserve"> </w:t>
      </w:r>
      <w:r>
        <w:t>and</w:t>
      </w:r>
      <w:r w:rsidR="00BF059B">
        <w:t xml:space="preserve"> </w:t>
      </w:r>
      <w:r>
        <w:t>will</w:t>
      </w:r>
      <w:r w:rsidR="00BF059B">
        <w:t xml:space="preserve"> </w:t>
      </w:r>
      <w:r>
        <w:t>transform</w:t>
      </w:r>
      <w:r w:rsidR="00BF059B">
        <w:t xml:space="preserve"> </w:t>
      </w:r>
      <w:r>
        <w:t>the</w:t>
      </w:r>
      <w:r w:rsidR="00BF059B">
        <w:t xml:space="preserve"> </w:t>
      </w:r>
      <w:r>
        <w:t>Natural</w:t>
      </w:r>
      <w:r w:rsidR="00BF059B">
        <w:t xml:space="preserve"> </w:t>
      </w:r>
      <w:r>
        <w:t>History</w:t>
      </w:r>
      <w:r w:rsidR="00BF059B">
        <w:t xml:space="preserve"> </w:t>
      </w:r>
      <w:r>
        <w:t>Gallery</w:t>
      </w:r>
      <w:r w:rsidR="00BF059B">
        <w:t xml:space="preserve"> </w:t>
      </w:r>
      <w:r>
        <w:t>and</w:t>
      </w:r>
      <w:r w:rsidR="00BF059B">
        <w:t xml:space="preserve"> </w:t>
      </w:r>
      <w:r>
        <w:t>two</w:t>
      </w:r>
      <w:r w:rsidR="00BF059B">
        <w:t xml:space="preserve"> </w:t>
      </w:r>
      <w:r>
        <w:t>neglected</w:t>
      </w:r>
      <w:r w:rsidR="00BF059B">
        <w:t xml:space="preserve"> </w:t>
      </w:r>
      <w:r>
        <w:t>areas</w:t>
      </w:r>
      <w:r w:rsidR="00BF059B">
        <w:t xml:space="preserve"> </w:t>
      </w:r>
      <w:r>
        <w:t>of</w:t>
      </w:r>
      <w:r w:rsidR="00BF059B">
        <w:t xml:space="preserve"> </w:t>
      </w:r>
      <w:r>
        <w:t>the</w:t>
      </w:r>
      <w:r w:rsidR="00BF059B">
        <w:t xml:space="preserve"> </w:t>
      </w:r>
      <w:r>
        <w:t>Gardens.</w:t>
      </w:r>
      <w:r w:rsidR="00BF059B">
        <w:rPr>
          <w:i/>
          <w:color w:val="FF0000"/>
        </w:rPr>
        <w:t xml:space="preserve"> </w:t>
      </w:r>
      <w:r>
        <w:t>Our</w:t>
      </w:r>
      <w:r w:rsidR="00BF059B">
        <w:t xml:space="preserve"> </w:t>
      </w:r>
      <w:r>
        <w:t>project</w:t>
      </w:r>
      <w:r w:rsidR="00BF059B">
        <w:t xml:space="preserve"> </w:t>
      </w:r>
      <w:r>
        <w:t>team,</w:t>
      </w:r>
      <w:r w:rsidR="00BF059B">
        <w:t xml:space="preserve"> </w:t>
      </w:r>
      <w:r>
        <w:t>made</w:t>
      </w:r>
      <w:r w:rsidR="00BF059B">
        <w:t xml:space="preserve"> </w:t>
      </w:r>
      <w:r>
        <w:t>up</w:t>
      </w:r>
      <w:r w:rsidR="00BF059B">
        <w:t xml:space="preserve"> </w:t>
      </w:r>
      <w:r>
        <w:t>of</w:t>
      </w:r>
      <w:r w:rsidR="00BF059B">
        <w:t xml:space="preserve"> </w:t>
      </w:r>
      <w:r>
        <w:t>internal</w:t>
      </w:r>
      <w:r w:rsidR="00BF059B">
        <w:t xml:space="preserve"> </w:t>
      </w:r>
      <w:r>
        <w:t>staff</w:t>
      </w:r>
      <w:r w:rsidR="00BF059B">
        <w:t xml:space="preserve"> </w:t>
      </w:r>
      <w:r>
        <w:t>and</w:t>
      </w:r>
      <w:r w:rsidR="00BF059B">
        <w:t xml:space="preserve"> </w:t>
      </w:r>
      <w:r>
        <w:t>a</w:t>
      </w:r>
      <w:r w:rsidR="00BF059B">
        <w:t xml:space="preserve"> </w:t>
      </w:r>
      <w:r>
        <w:t>range</w:t>
      </w:r>
      <w:r w:rsidR="00BF059B">
        <w:t xml:space="preserve"> </w:t>
      </w:r>
      <w:r>
        <w:t>of</w:t>
      </w:r>
      <w:r w:rsidR="00BF059B">
        <w:t xml:space="preserve"> </w:t>
      </w:r>
      <w:r>
        <w:t>external</w:t>
      </w:r>
      <w:r w:rsidR="00BF059B">
        <w:t xml:space="preserve"> </w:t>
      </w:r>
      <w:r>
        <w:t>architects,</w:t>
      </w:r>
      <w:r w:rsidR="00BF059B">
        <w:t xml:space="preserve"> </w:t>
      </w:r>
      <w:r>
        <w:t>designers,</w:t>
      </w:r>
      <w:r w:rsidR="00BF059B">
        <w:t xml:space="preserve"> </w:t>
      </w:r>
      <w:r>
        <w:t>consultants</w:t>
      </w:r>
      <w:r w:rsidR="00BF059B">
        <w:t xml:space="preserve"> </w:t>
      </w:r>
      <w:r>
        <w:t>and</w:t>
      </w:r>
      <w:r w:rsidR="00BF059B">
        <w:t xml:space="preserve"> </w:t>
      </w:r>
      <w:r>
        <w:t>suppliers,</w:t>
      </w:r>
      <w:r w:rsidR="00BF059B">
        <w:t xml:space="preserve"> </w:t>
      </w:r>
      <w:r>
        <w:t>have</w:t>
      </w:r>
      <w:r w:rsidR="00BF059B">
        <w:t xml:space="preserve"> </w:t>
      </w:r>
      <w:r>
        <w:t>continued</w:t>
      </w:r>
      <w:r w:rsidR="00BF059B">
        <w:t xml:space="preserve"> </w:t>
      </w:r>
      <w:r>
        <w:t>to</w:t>
      </w:r>
      <w:r w:rsidR="00BF059B">
        <w:t xml:space="preserve"> </w:t>
      </w:r>
      <w:r>
        <w:t>work</w:t>
      </w:r>
      <w:r w:rsidR="00BF059B">
        <w:t xml:space="preserve"> </w:t>
      </w:r>
      <w:r>
        <w:t>hard</w:t>
      </w:r>
      <w:r w:rsidR="00BF059B">
        <w:t xml:space="preserve"> </w:t>
      </w:r>
      <w:r>
        <w:t>on</w:t>
      </w:r>
      <w:r w:rsidR="00BF059B">
        <w:t xml:space="preserve"> </w:t>
      </w:r>
      <w:r>
        <w:t>the</w:t>
      </w:r>
      <w:r w:rsidR="00BF059B">
        <w:t xml:space="preserve"> </w:t>
      </w:r>
      <w:r>
        <w:t>project.</w:t>
      </w:r>
      <w:r w:rsidR="00BF059B">
        <w:rPr>
          <w:color w:val="FF0000"/>
        </w:rPr>
        <w:t xml:space="preserve"> </w:t>
      </w:r>
      <w:r>
        <w:t>Our</w:t>
      </w:r>
      <w:r w:rsidR="00BF059B">
        <w:t xml:space="preserve"> </w:t>
      </w:r>
      <w:r>
        <w:t>curatorial</w:t>
      </w:r>
      <w:r w:rsidR="00BF059B">
        <w:t xml:space="preserve"> </w:t>
      </w:r>
      <w:r>
        <w:t>and</w:t>
      </w:r>
      <w:r w:rsidR="00BF059B">
        <w:t xml:space="preserve"> </w:t>
      </w:r>
      <w:r>
        <w:t>collections</w:t>
      </w:r>
      <w:r w:rsidR="00BF059B">
        <w:t xml:space="preserve"> </w:t>
      </w:r>
      <w:r>
        <w:t>teams</w:t>
      </w:r>
      <w:r w:rsidR="00BF059B">
        <w:t xml:space="preserve"> </w:t>
      </w:r>
      <w:r>
        <w:t>successfully</w:t>
      </w:r>
      <w:r w:rsidR="00BF059B">
        <w:t xml:space="preserve"> </w:t>
      </w:r>
      <w:r>
        <w:t>decanted</w:t>
      </w:r>
      <w:r w:rsidR="00BF059B">
        <w:t xml:space="preserve"> </w:t>
      </w:r>
      <w:r>
        <w:t>the</w:t>
      </w:r>
      <w:r w:rsidR="00BF059B">
        <w:t xml:space="preserve"> </w:t>
      </w:r>
      <w:r>
        <w:t>Gallery</w:t>
      </w:r>
      <w:r w:rsidR="00BF059B">
        <w:t xml:space="preserve"> </w:t>
      </w:r>
      <w:r>
        <w:t>by</w:t>
      </w:r>
      <w:r w:rsidR="00BF059B">
        <w:t xml:space="preserve"> </w:t>
      </w:r>
      <w:r>
        <w:t>September</w:t>
      </w:r>
      <w:r w:rsidR="00BF059B">
        <w:t xml:space="preserve"> </w:t>
      </w:r>
      <w:r>
        <w:t>2024</w:t>
      </w:r>
      <w:r w:rsidR="00BF059B">
        <w:t xml:space="preserve"> </w:t>
      </w:r>
      <w:r>
        <w:t>and</w:t>
      </w:r>
      <w:r w:rsidR="00BF059B">
        <w:t xml:space="preserve"> </w:t>
      </w:r>
      <w:r>
        <w:t>then</w:t>
      </w:r>
      <w:r w:rsidR="00BF059B">
        <w:t xml:space="preserve"> </w:t>
      </w:r>
      <w:r>
        <w:t>moved</w:t>
      </w:r>
      <w:r w:rsidR="00BF059B">
        <w:t xml:space="preserve"> </w:t>
      </w:r>
      <w:r>
        <w:t>on</w:t>
      </w:r>
      <w:r w:rsidR="00BF059B">
        <w:t xml:space="preserve"> </w:t>
      </w:r>
      <w:r>
        <w:t>to</w:t>
      </w:r>
      <w:r w:rsidR="00BF059B">
        <w:t xml:space="preserve"> </w:t>
      </w:r>
      <w:r>
        <w:t>the</w:t>
      </w:r>
      <w:r w:rsidR="00BF059B">
        <w:t xml:space="preserve"> </w:t>
      </w:r>
      <w:r>
        <w:t>development</w:t>
      </w:r>
      <w:r w:rsidR="00BF059B">
        <w:t xml:space="preserve"> </w:t>
      </w:r>
      <w:r>
        <w:t>of</w:t>
      </w:r>
      <w:r w:rsidR="00BF059B">
        <w:t xml:space="preserve"> </w:t>
      </w:r>
      <w:r>
        <w:t>case</w:t>
      </w:r>
      <w:r w:rsidR="00BF059B">
        <w:t xml:space="preserve"> </w:t>
      </w:r>
      <w:r>
        <w:t>layouts,</w:t>
      </w:r>
      <w:r w:rsidR="00BF059B">
        <w:t xml:space="preserve"> </w:t>
      </w:r>
      <w:r>
        <w:t>text,</w:t>
      </w:r>
      <w:r w:rsidR="00BF059B">
        <w:t xml:space="preserve"> </w:t>
      </w:r>
      <w:r>
        <w:t>graphics,</w:t>
      </w:r>
      <w:r w:rsidR="00BF059B">
        <w:t xml:space="preserve"> </w:t>
      </w:r>
      <w:r>
        <w:t>AV</w:t>
      </w:r>
      <w:r w:rsidR="00BF059B">
        <w:t xml:space="preserve"> </w:t>
      </w:r>
      <w:r>
        <w:t>/</w:t>
      </w:r>
      <w:r w:rsidR="00BF059B">
        <w:t xml:space="preserve"> </w:t>
      </w:r>
      <w:r>
        <w:t>interactives</w:t>
      </w:r>
      <w:r w:rsidR="00BF059B">
        <w:t xml:space="preserve"> </w:t>
      </w:r>
      <w:r>
        <w:t>and</w:t>
      </w:r>
      <w:r w:rsidR="00BF059B">
        <w:t xml:space="preserve"> </w:t>
      </w:r>
      <w:r>
        <w:t>interpretation</w:t>
      </w:r>
      <w:r w:rsidR="00BF059B">
        <w:t xml:space="preserve"> </w:t>
      </w:r>
      <w:r>
        <w:t>for</w:t>
      </w:r>
      <w:r w:rsidR="00BF059B">
        <w:t xml:space="preserve"> </w:t>
      </w:r>
      <w:r>
        <w:t>the</w:t>
      </w:r>
      <w:r w:rsidR="00BF059B">
        <w:t xml:space="preserve"> </w:t>
      </w:r>
      <w:r>
        <w:t>new</w:t>
      </w:r>
      <w:r w:rsidR="00BF059B">
        <w:t xml:space="preserve"> </w:t>
      </w:r>
      <w:r>
        <w:t>areas;</w:t>
      </w:r>
      <w:r w:rsidR="00BF059B">
        <w:t xml:space="preserve"> </w:t>
      </w:r>
      <w:r>
        <w:t>finalising</w:t>
      </w:r>
      <w:r w:rsidR="00BF059B">
        <w:t xml:space="preserve"> </w:t>
      </w:r>
      <w:r>
        <w:t>object</w:t>
      </w:r>
      <w:r w:rsidR="00BF059B">
        <w:t xml:space="preserve"> </w:t>
      </w:r>
      <w:r>
        <w:t>selections;</w:t>
      </w:r>
      <w:r w:rsidR="00BF059B">
        <w:t xml:space="preserve"> </w:t>
      </w:r>
      <w:r>
        <w:t>object</w:t>
      </w:r>
      <w:r w:rsidR="00BF059B">
        <w:t xml:space="preserve"> </w:t>
      </w:r>
      <w:r>
        <w:t>conservation</w:t>
      </w:r>
      <w:r w:rsidR="00BF059B">
        <w:t xml:space="preserve"> </w:t>
      </w:r>
      <w:r>
        <w:t>and</w:t>
      </w:r>
      <w:r w:rsidR="00BF059B">
        <w:t xml:space="preserve"> </w:t>
      </w:r>
      <w:r>
        <w:t>mount-making;</w:t>
      </w:r>
      <w:r w:rsidR="00BF059B">
        <w:t xml:space="preserve"> </w:t>
      </w:r>
      <w:r>
        <w:t>and</w:t>
      </w:r>
      <w:r w:rsidR="00BF059B">
        <w:t xml:space="preserve"> </w:t>
      </w:r>
      <w:r>
        <w:t>supporting</w:t>
      </w:r>
      <w:r w:rsidR="00BF059B">
        <w:t xml:space="preserve"> </w:t>
      </w:r>
      <w:r>
        <w:t>the</w:t>
      </w:r>
      <w:r w:rsidR="00BF059B">
        <w:t xml:space="preserve"> </w:t>
      </w:r>
      <w:r>
        <w:t>co-development</w:t>
      </w:r>
      <w:r w:rsidR="00BF059B">
        <w:t xml:space="preserve"> </w:t>
      </w:r>
      <w:r>
        <w:t>and</w:t>
      </w:r>
      <w:r w:rsidR="00BF059B">
        <w:t xml:space="preserve"> </w:t>
      </w:r>
      <w:r>
        <w:t>delivery</w:t>
      </w:r>
      <w:r w:rsidR="00BF059B">
        <w:t xml:space="preserve"> </w:t>
      </w:r>
      <w:r>
        <w:t>of</w:t>
      </w:r>
      <w:r w:rsidR="00BF059B">
        <w:t xml:space="preserve"> </w:t>
      </w:r>
      <w:r>
        <w:t>several</w:t>
      </w:r>
      <w:r w:rsidR="00BF059B">
        <w:t xml:space="preserve"> </w:t>
      </w:r>
      <w:r>
        <w:t>areas</w:t>
      </w:r>
      <w:r w:rsidR="00BF059B">
        <w:t xml:space="preserve"> </w:t>
      </w:r>
      <w:r>
        <w:t>of</w:t>
      </w:r>
      <w:r w:rsidR="00BF059B">
        <w:t xml:space="preserve"> </w:t>
      </w:r>
      <w:r>
        <w:t>the</w:t>
      </w:r>
      <w:r w:rsidR="00BF059B">
        <w:t xml:space="preserve"> </w:t>
      </w:r>
      <w:r>
        <w:t>new</w:t>
      </w:r>
      <w:r w:rsidR="00BF059B">
        <w:t xml:space="preserve"> </w:t>
      </w:r>
      <w:r>
        <w:t>gallery</w:t>
      </w:r>
      <w:r w:rsidR="00BF059B">
        <w:t xml:space="preserve"> </w:t>
      </w:r>
      <w:r>
        <w:t>with</w:t>
      </w:r>
      <w:r w:rsidR="00BF059B">
        <w:t xml:space="preserve"> </w:t>
      </w:r>
      <w:r>
        <w:t>schools</w:t>
      </w:r>
      <w:r w:rsidR="00BF059B">
        <w:t xml:space="preserve"> </w:t>
      </w:r>
      <w:r>
        <w:t>and</w:t>
      </w:r>
      <w:r w:rsidR="00BF059B">
        <w:t xml:space="preserve"> </w:t>
      </w:r>
      <w:r>
        <w:t>communities.</w:t>
      </w:r>
      <w:r w:rsidR="00BF059B">
        <w:t xml:space="preserve"> </w:t>
      </w:r>
    </w:p>
    <w:p w14:paraId="5AABADB8" w14:textId="77777777" w:rsidR="00BE13A8" w:rsidRDefault="00BE13A8" w:rsidP="0015265F"/>
    <w:p w14:paraId="073457F8" w14:textId="04127944" w:rsidR="00BE13A8" w:rsidRDefault="00D70530" w:rsidP="0015265F">
      <w:r>
        <w:lastRenderedPageBreak/>
        <w:t>In</w:t>
      </w:r>
      <w:r w:rsidR="00BF059B">
        <w:t xml:space="preserve"> </w:t>
      </w:r>
      <w:r>
        <w:t>addition,</w:t>
      </w:r>
      <w:r w:rsidR="00BF059B">
        <w:t xml:space="preserve"> </w:t>
      </w:r>
      <w:r>
        <w:t>the</w:t>
      </w:r>
      <w:r w:rsidR="00BF059B">
        <w:t xml:space="preserve"> </w:t>
      </w:r>
      <w:r>
        <w:t>curatorial</w:t>
      </w:r>
      <w:r w:rsidR="00BF059B">
        <w:t xml:space="preserve"> </w:t>
      </w:r>
      <w:r>
        <w:t>team</w:t>
      </w:r>
      <w:r w:rsidR="00BF059B">
        <w:t xml:space="preserve"> </w:t>
      </w:r>
      <w:r>
        <w:t>delivered</w:t>
      </w:r>
      <w:r w:rsidR="00BF059B">
        <w:t xml:space="preserve"> </w:t>
      </w:r>
      <w:r>
        <w:t>content</w:t>
      </w:r>
      <w:r w:rsidR="00BF059B">
        <w:t xml:space="preserve"> </w:t>
      </w:r>
      <w:r>
        <w:t>and</w:t>
      </w:r>
      <w:r w:rsidR="00BF059B">
        <w:t xml:space="preserve"> </w:t>
      </w:r>
      <w:r>
        <w:t>interpretation</w:t>
      </w:r>
      <w:r w:rsidR="00BF059B">
        <w:t xml:space="preserve"> </w:t>
      </w:r>
      <w:r>
        <w:t>for</w:t>
      </w:r>
      <w:r w:rsidR="00BF059B">
        <w:t xml:space="preserve"> </w:t>
      </w:r>
      <w:r>
        <w:t>the</w:t>
      </w:r>
      <w:r w:rsidR="00BF059B">
        <w:t xml:space="preserve"> </w:t>
      </w:r>
      <w:r>
        <w:t>new</w:t>
      </w:r>
      <w:r w:rsidR="00BF059B">
        <w:t xml:space="preserve"> </w:t>
      </w:r>
      <w:r>
        <w:t>Natural</w:t>
      </w:r>
      <w:r w:rsidR="00BF059B">
        <w:t xml:space="preserve"> </w:t>
      </w:r>
      <w:r>
        <w:t>History</w:t>
      </w:r>
      <w:r w:rsidR="00BF059B">
        <w:t xml:space="preserve"> </w:t>
      </w:r>
      <w:r>
        <w:t>pop-up</w:t>
      </w:r>
      <w:r w:rsidR="00BF059B">
        <w:t xml:space="preserve"> </w:t>
      </w:r>
      <w:r>
        <w:t>in</w:t>
      </w:r>
      <w:r w:rsidR="00BF059B">
        <w:t xml:space="preserve"> </w:t>
      </w:r>
      <w:r>
        <w:t>the</w:t>
      </w:r>
      <w:r w:rsidR="00BF059B">
        <w:t xml:space="preserve"> </w:t>
      </w:r>
      <w:r>
        <w:t>Studio</w:t>
      </w:r>
      <w:r w:rsidR="00BF059B">
        <w:t xml:space="preserve"> </w:t>
      </w:r>
      <w:r>
        <w:t>and</w:t>
      </w:r>
      <w:r w:rsidR="00BF059B">
        <w:t xml:space="preserve"> </w:t>
      </w:r>
      <w:r>
        <w:t>are</w:t>
      </w:r>
      <w:r w:rsidR="00BF059B">
        <w:t xml:space="preserve"> </w:t>
      </w:r>
      <w:r>
        <w:t>involved</w:t>
      </w:r>
      <w:r w:rsidR="00BF059B">
        <w:t xml:space="preserve"> </w:t>
      </w:r>
      <w:r>
        <w:t>in</w:t>
      </w:r>
      <w:r w:rsidR="00BF059B">
        <w:t xml:space="preserve"> </w:t>
      </w:r>
      <w:r>
        <w:t>the</w:t>
      </w:r>
      <w:r w:rsidR="00BF059B">
        <w:t xml:space="preserve"> </w:t>
      </w:r>
      <w:r>
        <w:t>development</w:t>
      </w:r>
      <w:r w:rsidR="00BF059B">
        <w:t xml:space="preserve"> </w:t>
      </w:r>
      <w:r>
        <w:t>of</w:t>
      </w:r>
      <w:r w:rsidR="00BF059B">
        <w:t xml:space="preserve"> </w:t>
      </w:r>
      <w:r>
        <w:t>a</w:t>
      </w:r>
      <w:r w:rsidR="00BF059B">
        <w:t xml:space="preserve"> </w:t>
      </w:r>
      <w:r>
        <w:t>MAGNET</w:t>
      </w:r>
      <w:r w:rsidR="00BF059B">
        <w:t xml:space="preserve"> </w:t>
      </w:r>
      <w:r>
        <w:t>(Museums</w:t>
      </w:r>
      <w:r w:rsidR="00BF059B">
        <w:t xml:space="preserve"> </w:t>
      </w:r>
      <w:r>
        <w:t>and</w:t>
      </w:r>
      <w:r w:rsidR="00BF059B">
        <w:t xml:space="preserve"> </w:t>
      </w:r>
      <w:r>
        <w:t>Galleries</w:t>
      </w:r>
      <w:r w:rsidR="00BF059B">
        <w:t xml:space="preserve"> </w:t>
      </w:r>
      <w:r>
        <w:t>Network</w:t>
      </w:r>
      <w:r w:rsidR="00BF059B">
        <w:t xml:space="preserve"> </w:t>
      </w:r>
      <w:r>
        <w:t>for</w:t>
      </w:r>
      <w:r w:rsidR="00BF059B">
        <w:t xml:space="preserve"> </w:t>
      </w:r>
      <w:r>
        <w:t>Touring</w:t>
      </w:r>
      <w:r w:rsidR="00BF059B">
        <w:t xml:space="preserve"> </w:t>
      </w:r>
      <w:r>
        <w:t>Exhibitions)</w:t>
      </w:r>
      <w:r w:rsidR="00BF059B">
        <w:t xml:space="preserve"> </w:t>
      </w:r>
      <w:r>
        <w:t>exhibition,</w:t>
      </w:r>
      <w:r w:rsidR="00BF059B">
        <w:t xml:space="preserve"> </w:t>
      </w:r>
      <w:r>
        <w:t>Human</w:t>
      </w:r>
      <w:r w:rsidR="00BF059B">
        <w:t xml:space="preserve"> </w:t>
      </w:r>
      <w:r>
        <w:t>Natures,</w:t>
      </w:r>
      <w:r w:rsidR="00BF059B">
        <w:t xml:space="preserve"> </w:t>
      </w:r>
      <w:r>
        <w:t>which</w:t>
      </w:r>
      <w:r w:rsidR="00BF059B">
        <w:t xml:space="preserve"> </w:t>
      </w:r>
      <w:r>
        <w:t>will</w:t>
      </w:r>
      <w:r w:rsidR="00BF059B">
        <w:t xml:space="preserve"> </w:t>
      </w:r>
      <w:r>
        <w:t>tour</w:t>
      </w:r>
      <w:r w:rsidR="00BF059B">
        <w:t xml:space="preserve"> </w:t>
      </w:r>
      <w:r>
        <w:t>to</w:t>
      </w:r>
      <w:r w:rsidR="00BF059B">
        <w:t xml:space="preserve"> </w:t>
      </w:r>
      <w:r>
        <w:t>the</w:t>
      </w:r>
      <w:r w:rsidR="00BF059B">
        <w:t xml:space="preserve"> </w:t>
      </w:r>
      <w:r>
        <w:t>Horniman</w:t>
      </w:r>
      <w:r w:rsidR="00BF059B">
        <w:t xml:space="preserve"> </w:t>
      </w:r>
      <w:r>
        <w:t>in</w:t>
      </w:r>
      <w:r w:rsidR="00BF059B">
        <w:t xml:space="preserve"> </w:t>
      </w:r>
      <w:r>
        <w:t>2027.</w:t>
      </w:r>
    </w:p>
    <w:p w14:paraId="7E1F7CB0" w14:textId="77777777" w:rsidR="00BE13A8" w:rsidRDefault="00BE13A8" w:rsidP="0015265F">
      <w:pPr>
        <w:rPr>
          <w:color w:val="FF0000"/>
        </w:rPr>
      </w:pPr>
    </w:p>
    <w:p w14:paraId="18FF639A" w14:textId="2B0B8E53" w:rsidR="00BE13A8" w:rsidRDefault="00D70530" w:rsidP="0015265F">
      <w:r>
        <w:t>We</w:t>
      </w:r>
      <w:r w:rsidR="00BF059B">
        <w:t xml:space="preserve"> </w:t>
      </w:r>
      <w:r>
        <w:t>have</w:t>
      </w:r>
      <w:r w:rsidR="00BF059B">
        <w:t xml:space="preserve"> </w:t>
      </w:r>
      <w:r>
        <w:t>made</w:t>
      </w:r>
      <w:r w:rsidR="00BF059B">
        <w:t xml:space="preserve"> </w:t>
      </w:r>
      <w:r>
        <w:t>good</w:t>
      </w:r>
      <w:r w:rsidR="00BF059B">
        <w:t xml:space="preserve"> </w:t>
      </w:r>
      <w:r>
        <w:t>progress</w:t>
      </w:r>
      <w:r w:rsidR="00BF059B">
        <w:t xml:space="preserve"> </w:t>
      </w:r>
      <w:r>
        <w:t>on</w:t>
      </w:r>
      <w:r w:rsidR="00BF059B">
        <w:t xml:space="preserve"> </w:t>
      </w:r>
      <w:r>
        <w:t>the</w:t>
      </w:r>
      <w:r w:rsidR="00BF059B">
        <w:t xml:space="preserve"> </w:t>
      </w:r>
      <w:r>
        <w:t>Nature</w:t>
      </w:r>
      <w:r w:rsidR="00BF059B">
        <w:t xml:space="preserve"> </w:t>
      </w:r>
      <w:r>
        <w:t>+</w:t>
      </w:r>
      <w:r w:rsidR="00BF059B">
        <w:t xml:space="preserve"> </w:t>
      </w:r>
      <w:r>
        <w:t>Love</w:t>
      </w:r>
      <w:r w:rsidR="00BF059B">
        <w:t xml:space="preserve"> </w:t>
      </w:r>
      <w:r>
        <w:t>Activity</w:t>
      </w:r>
      <w:r w:rsidR="00BF059B">
        <w:t xml:space="preserve"> </w:t>
      </w:r>
      <w:r>
        <w:t>Plan,</w:t>
      </w:r>
      <w:r w:rsidR="00BF059B">
        <w:t xml:space="preserve"> </w:t>
      </w:r>
      <w:r>
        <w:t>including</w:t>
      </w:r>
      <w:r w:rsidR="00BF059B">
        <w:t xml:space="preserve"> </w:t>
      </w:r>
      <w:r>
        <w:t>new</w:t>
      </w:r>
      <w:r w:rsidR="00BF059B">
        <w:t xml:space="preserve"> </w:t>
      </w:r>
      <w:r>
        <w:t>volunteer-led</w:t>
      </w:r>
      <w:r w:rsidR="00BF059B">
        <w:t xml:space="preserve"> </w:t>
      </w:r>
      <w:r>
        <w:t>nature</w:t>
      </w:r>
      <w:r w:rsidR="00BF059B">
        <w:t xml:space="preserve"> </w:t>
      </w:r>
      <w:r>
        <w:t>themed</w:t>
      </w:r>
      <w:r w:rsidR="00BF059B">
        <w:t xml:space="preserve"> </w:t>
      </w:r>
      <w:r>
        <w:t>activities</w:t>
      </w:r>
      <w:r w:rsidR="00BF059B">
        <w:t xml:space="preserve"> </w:t>
      </w:r>
      <w:r>
        <w:t>indoors</w:t>
      </w:r>
      <w:r w:rsidR="00BF059B">
        <w:t xml:space="preserve"> </w:t>
      </w:r>
      <w:r>
        <w:t>and</w:t>
      </w:r>
      <w:r w:rsidR="00BF059B">
        <w:t xml:space="preserve"> </w:t>
      </w:r>
      <w:r>
        <w:t>outdoors,</w:t>
      </w:r>
      <w:r w:rsidR="00BF059B">
        <w:t xml:space="preserve"> </w:t>
      </w:r>
      <w:r>
        <w:t>outreach</w:t>
      </w:r>
      <w:r w:rsidR="00BF059B">
        <w:t xml:space="preserve"> </w:t>
      </w:r>
      <w:r>
        <w:t>focused</w:t>
      </w:r>
      <w:r w:rsidR="00BF059B">
        <w:t xml:space="preserve"> </w:t>
      </w:r>
      <w:r>
        <w:t>on</w:t>
      </w:r>
      <w:r w:rsidR="00BF059B">
        <w:t xml:space="preserve"> </w:t>
      </w:r>
      <w:r>
        <w:t>young</w:t>
      </w:r>
      <w:r w:rsidR="00BF059B">
        <w:t xml:space="preserve"> </w:t>
      </w:r>
      <w:r>
        <w:t>people</w:t>
      </w:r>
      <w:r w:rsidR="00BF059B">
        <w:t xml:space="preserve"> </w:t>
      </w:r>
      <w:r>
        <w:t>and</w:t>
      </w:r>
      <w:r w:rsidR="00BF059B">
        <w:t xml:space="preserve"> </w:t>
      </w:r>
      <w:r>
        <w:t>families,</w:t>
      </w:r>
      <w:r w:rsidR="00BF059B">
        <w:t xml:space="preserve"> </w:t>
      </w:r>
      <w:r>
        <w:t>co-producing</w:t>
      </w:r>
      <w:r w:rsidR="00BF059B">
        <w:t xml:space="preserve"> </w:t>
      </w:r>
      <w:r>
        <w:t>content</w:t>
      </w:r>
      <w:r w:rsidR="00BF059B">
        <w:t xml:space="preserve"> </w:t>
      </w:r>
      <w:r>
        <w:t>with</w:t>
      </w:r>
      <w:r w:rsidR="00BF059B">
        <w:t xml:space="preserve"> </w:t>
      </w:r>
      <w:r>
        <w:t>primary</w:t>
      </w:r>
      <w:r w:rsidR="00BF059B">
        <w:t xml:space="preserve"> </w:t>
      </w:r>
      <w:r>
        <w:t>and</w:t>
      </w:r>
      <w:r w:rsidR="00BF059B">
        <w:t xml:space="preserve"> </w:t>
      </w:r>
      <w:r>
        <w:t>secondary</w:t>
      </w:r>
      <w:r w:rsidR="00BF059B">
        <w:t xml:space="preserve"> </w:t>
      </w:r>
      <w:r>
        <w:t>schools</w:t>
      </w:r>
      <w:r w:rsidR="00BF059B">
        <w:t xml:space="preserve"> </w:t>
      </w:r>
      <w:r>
        <w:t>for</w:t>
      </w:r>
      <w:r w:rsidR="00BF059B">
        <w:t xml:space="preserve"> </w:t>
      </w:r>
      <w:r>
        <w:t>the</w:t>
      </w:r>
      <w:r w:rsidR="00BF059B">
        <w:t xml:space="preserve"> </w:t>
      </w:r>
      <w:r>
        <w:t>new</w:t>
      </w:r>
      <w:r w:rsidR="00BF059B">
        <w:t xml:space="preserve"> </w:t>
      </w:r>
      <w:r>
        <w:t>gallery,</w:t>
      </w:r>
      <w:r w:rsidR="00BF059B">
        <w:t xml:space="preserve"> </w:t>
      </w:r>
      <w:r>
        <w:t>and</w:t>
      </w:r>
      <w:r w:rsidR="00BF059B">
        <w:t xml:space="preserve"> </w:t>
      </w:r>
      <w:r>
        <w:t>ongoing</w:t>
      </w:r>
      <w:r w:rsidR="00BF059B">
        <w:t xml:space="preserve"> </w:t>
      </w:r>
      <w:r>
        <w:t>consultation</w:t>
      </w:r>
      <w:r w:rsidR="00BF059B">
        <w:t xml:space="preserve"> </w:t>
      </w:r>
      <w:r>
        <w:t>with</w:t>
      </w:r>
      <w:r w:rsidR="00BF059B">
        <w:t xml:space="preserve"> </w:t>
      </w:r>
      <w:r>
        <w:t>communities,</w:t>
      </w:r>
      <w:r w:rsidR="00BF059B">
        <w:t xml:space="preserve"> </w:t>
      </w:r>
      <w:r>
        <w:t>subject</w:t>
      </w:r>
      <w:r w:rsidR="00BF059B">
        <w:t xml:space="preserve"> </w:t>
      </w:r>
      <w:r>
        <w:t>matter</w:t>
      </w:r>
      <w:r w:rsidR="00BF059B">
        <w:t xml:space="preserve"> </w:t>
      </w:r>
      <w:r>
        <w:t>experts</w:t>
      </w:r>
      <w:r w:rsidR="00BF059B">
        <w:t xml:space="preserve"> </w:t>
      </w:r>
      <w:r>
        <w:t>and</w:t>
      </w:r>
      <w:r w:rsidR="00BF059B">
        <w:t xml:space="preserve"> </w:t>
      </w:r>
      <w:r>
        <w:t>critical</w:t>
      </w:r>
      <w:r w:rsidR="00BF059B">
        <w:t xml:space="preserve"> </w:t>
      </w:r>
      <w:r>
        <w:t>friends,</w:t>
      </w:r>
      <w:r w:rsidR="00BF059B">
        <w:t xml:space="preserve"> </w:t>
      </w:r>
      <w:r>
        <w:t>to</w:t>
      </w:r>
      <w:r w:rsidR="00BF059B">
        <w:t xml:space="preserve"> </w:t>
      </w:r>
      <w:r>
        <w:t>support</w:t>
      </w:r>
      <w:r w:rsidR="00BF059B">
        <w:t xml:space="preserve"> </w:t>
      </w:r>
      <w:r>
        <w:t>the</w:t>
      </w:r>
      <w:r w:rsidR="00BF059B">
        <w:t xml:space="preserve"> </w:t>
      </w:r>
      <w:r>
        <w:t>development</w:t>
      </w:r>
      <w:r w:rsidR="00BF059B">
        <w:t xml:space="preserve"> </w:t>
      </w:r>
      <w:r>
        <w:t>of</w:t>
      </w:r>
      <w:r w:rsidR="00BF059B">
        <w:t xml:space="preserve"> </w:t>
      </w:r>
      <w:r>
        <w:t>the</w:t>
      </w:r>
      <w:r w:rsidR="00BF059B">
        <w:t xml:space="preserve"> </w:t>
      </w:r>
      <w:r>
        <w:t>new</w:t>
      </w:r>
      <w:r w:rsidR="00BF059B">
        <w:t xml:space="preserve"> </w:t>
      </w:r>
      <w:r>
        <w:t>spaces</w:t>
      </w:r>
      <w:r w:rsidR="00BF059B">
        <w:t xml:space="preserve"> </w:t>
      </w:r>
      <w:r>
        <w:t>and</w:t>
      </w:r>
      <w:r w:rsidR="00BF059B">
        <w:t xml:space="preserve"> </w:t>
      </w:r>
      <w:r>
        <w:t>activities.</w:t>
      </w:r>
      <w:r w:rsidR="00BF059B">
        <w:t xml:space="preserve"> </w:t>
      </w:r>
    </w:p>
    <w:p w14:paraId="189CC192" w14:textId="77777777" w:rsidR="00BE13A8" w:rsidRDefault="00BE13A8" w:rsidP="0015265F">
      <w:pPr>
        <w:rPr>
          <w:i/>
          <w:color w:val="FF0000"/>
        </w:rPr>
      </w:pPr>
    </w:p>
    <w:p w14:paraId="50BAC179" w14:textId="58DD15B0" w:rsidR="00BE13A8" w:rsidRDefault="00D70530" w:rsidP="0015265F">
      <w:pPr>
        <w:shd w:val="clear" w:color="auto" w:fill="FFFFFF"/>
      </w:pPr>
      <w:r>
        <w:t>The</w:t>
      </w:r>
      <w:r w:rsidR="00BF059B">
        <w:t xml:space="preserve"> </w:t>
      </w:r>
      <w:r>
        <w:t>Living</w:t>
      </w:r>
      <w:r w:rsidR="00BF059B">
        <w:t xml:space="preserve"> </w:t>
      </w:r>
      <w:r>
        <w:t>Collections</w:t>
      </w:r>
      <w:r w:rsidR="00BF059B">
        <w:t xml:space="preserve"> </w:t>
      </w:r>
      <w:r>
        <w:t>team</w:t>
      </w:r>
      <w:r w:rsidR="00BF059B">
        <w:t xml:space="preserve"> </w:t>
      </w:r>
      <w:r>
        <w:t>continued</w:t>
      </w:r>
      <w:r w:rsidR="00BF059B">
        <w:t xml:space="preserve"> </w:t>
      </w:r>
      <w:r>
        <w:t>to</w:t>
      </w:r>
      <w:r w:rsidR="00BF059B">
        <w:t xml:space="preserve"> </w:t>
      </w:r>
      <w:r>
        <w:t>manage</w:t>
      </w:r>
      <w:r w:rsidR="00BF059B">
        <w:t xml:space="preserve"> </w:t>
      </w:r>
      <w:r>
        <w:t>the</w:t>
      </w:r>
      <w:r w:rsidR="00BF059B">
        <w:t xml:space="preserve"> </w:t>
      </w:r>
      <w:r>
        <w:t>Aquarium,</w:t>
      </w:r>
      <w:r w:rsidR="00BF059B">
        <w:t xml:space="preserve"> </w:t>
      </w:r>
      <w:r>
        <w:t>Animal</w:t>
      </w:r>
      <w:r w:rsidR="00BF059B">
        <w:t xml:space="preserve"> </w:t>
      </w:r>
      <w:r>
        <w:t>Walk</w:t>
      </w:r>
      <w:r w:rsidR="00BF059B">
        <w:t xml:space="preserve"> </w:t>
      </w:r>
      <w:r>
        <w:t>and</w:t>
      </w:r>
      <w:r w:rsidR="00BF059B">
        <w:t xml:space="preserve"> </w:t>
      </w:r>
      <w:r>
        <w:t>Butterfly</w:t>
      </w:r>
      <w:r w:rsidR="00BF059B">
        <w:t xml:space="preserve"> </w:t>
      </w:r>
      <w:r>
        <w:t>House</w:t>
      </w:r>
      <w:r w:rsidR="00BF059B">
        <w:t xml:space="preserve"> </w:t>
      </w:r>
      <w:r>
        <w:t>venues</w:t>
      </w:r>
      <w:r w:rsidR="00BF059B">
        <w:t xml:space="preserve"> </w:t>
      </w:r>
      <w:r>
        <w:t>and</w:t>
      </w:r>
      <w:r w:rsidR="00BF059B">
        <w:t xml:space="preserve"> </w:t>
      </w:r>
      <w:r>
        <w:t>behind-the-scenes</w:t>
      </w:r>
      <w:r w:rsidR="00BF059B">
        <w:t xml:space="preserve"> </w:t>
      </w:r>
      <w:r>
        <w:t>coordinated</w:t>
      </w:r>
      <w:r w:rsidR="00BF059B">
        <w:t xml:space="preserve"> </w:t>
      </w:r>
      <w:r>
        <w:t>multiple</w:t>
      </w:r>
      <w:r w:rsidR="00BF059B">
        <w:t xml:space="preserve"> </w:t>
      </w:r>
      <w:r>
        <w:t>successful</w:t>
      </w:r>
      <w:r w:rsidR="00BF059B">
        <w:t xml:space="preserve"> </w:t>
      </w:r>
      <w:r>
        <w:t>coral</w:t>
      </w:r>
      <w:r w:rsidR="00BF059B">
        <w:t xml:space="preserve"> </w:t>
      </w:r>
      <w:r>
        <w:t>and</w:t>
      </w:r>
      <w:r w:rsidR="00BF059B">
        <w:t xml:space="preserve"> </w:t>
      </w:r>
      <w:r>
        <w:t>sea</w:t>
      </w:r>
      <w:r w:rsidR="00BF059B">
        <w:t xml:space="preserve"> </w:t>
      </w:r>
      <w:r>
        <w:t>urchin</w:t>
      </w:r>
      <w:r w:rsidR="00BF059B">
        <w:t xml:space="preserve"> </w:t>
      </w:r>
      <w:r>
        <w:t>spawning</w:t>
      </w:r>
      <w:r w:rsidR="00BF059B">
        <w:t xml:space="preserve"> </w:t>
      </w:r>
      <w:r>
        <w:t>events,</w:t>
      </w:r>
      <w:r w:rsidR="00BF059B">
        <w:t xml:space="preserve"> </w:t>
      </w:r>
      <w:r>
        <w:t>embryo</w:t>
      </w:r>
      <w:r w:rsidR="00BF059B">
        <w:t xml:space="preserve"> </w:t>
      </w:r>
      <w:r>
        <w:t>rearing</w:t>
      </w:r>
      <w:r w:rsidR="00BF059B">
        <w:t xml:space="preserve"> </w:t>
      </w:r>
      <w:r>
        <w:t>and</w:t>
      </w:r>
      <w:r w:rsidR="00BF059B">
        <w:t xml:space="preserve"> </w:t>
      </w:r>
      <w:r>
        <w:t>coral</w:t>
      </w:r>
      <w:r w:rsidR="00BF059B">
        <w:t xml:space="preserve"> </w:t>
      </w:r>
      <w:r>
        <w:t>grow</w:t>
      </w:r>
      <w:r w:rsidR="00BF059B">
        <w:t xml:space="preserve"> </w:t>
      </w:r>
      <w:r>
        <w:t>out</w:t>
      </w:r>
      <w:r w:rsidR="00BF059B">
        <w:t xml:space="preserve"> </w:t>
      </w:r>
      <w:r>
        <w:t>in</w:t>
      </w:r>
      <w:r w:rsidR="00BF059B">
        <w:t xml:space="preserve"> </w:t>
      </w:r>
      <w:r>
        <w:t>2024.</w:t>
      </w:r>
      <w:r w:rsidR="00BF059B">
        <w:t xml:space="preserve"> </w:t>
      </w:r>
      <w:r>
        <w:t>The</w:t>
      </w:r>
      <w:r w:rsidR="00BF059B">
        <w:t xml:space="preserve"> </w:t>
      </w:r>
      <w:r>
        <w:t>material</w:t>
      </w:r>
      <w:r w:rsidR="00BF059B">
        <w:t xml:space="preserve"> </w:t>
      </w:r>
      <w:r>
        <w:t>from</w:t>
      </w:r>
      <w:r w:rsidR="00BF059B">
        <w:t xml:space="preserve"> </w:t>
      </w:r>
      <w:r>
        <w:t>these</w:t>
      </w:r>
      <w:r w:rsidR="00BF059B">
        <w:rPr>
          <w:color w:val="FF0000"/>
        </w:rPr>
        <w:t xml:space="preserve"> </w:t>
      </w:r>
      <w:r>
        <w:t>have</w:t>
      </w:r>
      <w:r w:rsidR="00BF059B">
        <w:t xml:space="preserve"> </w:t>
      </w:r>
      <w:r>
        <w:t>been</w:t>
      </w:r>
      <w:r w:rsidR="00BF059B">
        <w:t xml:space="preserve"> </w:t>
      </w:r>
      <w:r>
        <w:t>used</w:t>
      </w:r>
      <w:r w:rsidR="00BF059B">
        <w:t xml:space="preserve"> </w:t>
      </w:r>
      <w:r>
        <w:t>to</w:t>
      </w:r>
      <w:r w:rsidR="00BF059B">
        <w:t xml:space="preserve"> </w:t>
      </w:r>
      <w:r>
        <w:t>support</w:t>
      </w:r>
      <w:r w:rsidR="00BF059B">
        <w:t xml:space="preserve"> </w:t>
      </w:r>
      <w:r>
        <w:t>the</w:t>
      </w:r>
      <w:r w:rsidR="00BF059B">
        <w:t xml:space="preserve"> </w:t>
      </w:r>
      <w:r>
        <w:t>following</w:t>
      </w:r>
      <w:r w:rsidR="00BF059B">
        <w:t xml:space="preserve"> </w:t>
      </w:r>
      <w:r>
        <w:t>external</w:t>
      </w:r>
      <w:r w:rsidR="00BF059B">
        <w:t xml:space="preserve"> </w:t>
      </w:r>
      <w:r>
        <w:t>research</w:t>
      </w:r>
      <w:r w:rsidR="00BF059B">
        <w:t xml:space="preserve"> </w:t>
      </w:r>
      <w:r>
        <w:t>projects:</w:t>
      </w:r>
      <w:r w:rsidR="00BF059B">
        <w:t xml:space="preserve"> </w:t>
      </w:r>
      <w:r>
        <w:t>collecting</w:t>
      </w:r>
      <w:r w:rsidR="00BF059B">
        <w:t xml:space="preserve"> </w:t>
      </w:r>
      <w:r>
        <w:t>video</w:t>
      </w:r>
      <w:r w:rsidR="00BF059B">
        <w:t xml:space="preserve"> </w:t>
      </w:r>
      <w:r>
        <w:t>data</w:t>
      </w:r>
      <w:r w:rsidR="00BF059B">
        <w:t xml:space="preserve"> </w:t>
      </w:r>
      <w:r>
        <w:t>of</w:t>
      </w:r>
      <w:r w:rsidR="00BF059B">
        <w:t xml:space="preserve"> </w:t>
      </w:r>
      <w:r>
        <w:t>the</w:t>
      </w:r>
      <w:r w:rsidR="00BF059B">
        <w:t xml:space="preserve"> </w:t>
      </w:r>
      <w:r>
        <w:t>coral</w:t>
      </w:r>
      <w:r w:rsidR="00BF059B">
        <w:t xml:space="preserve"> </w:t>
      </w:r>
      <w:r>
        <w:t>larvae</w:t>
      </w:r>
      <w:r w:rsidR="00BF059B">
        <w:t xml:space="preserve"> </w:t>
      </w:r>
      <w:r>
        <w:t>to</w:t>
      </w:r>
      <w:r w:rsidR="00BF059B">
        <w:t xml:space="preserve"> </w:t>
      </w:r>
      <w:r>
        <w:t>observe</w:t>
      </w:r>
      <w:r w:rsidR="00BF059B">
        <w:t xml:space="preserve"> </w:t>
      </w:r>
      <w:r>
        <w:t>their</w:t>
      </w:r>
      <w:r w:rsidR="00BF059B">
        <w:t xml:space="preserve"> </w:t>
      </w:r>
      <w:r>
        <w:t>movements</w:t>
      </w:r>
      <w:r w:rsidR="00BF059B">
        <w:t xml:space="preserve"> </w:t>
      </w:r>
      <w:r>
        <w:t>during</w:t>
      </w:r>
      <w:r w:rsidR="00BF059B">
        <w:t xml:space="preserve"> </w:t>
      </w:r>
      <w:r>
        <w:t>settlement</w:t>
      </w:r>
      <w:r w:rsidR="00BF059B">
        <w:t xml:space="preserve"> </w:t>
      </w:r>
      <w:r>
        <w:t>periods;</w:t>
      </w:r>
      <w:r w:rsidR="00BF059B">
        <w:t xml:space="preserve"> </w:t>
      </w:r>
      <w:r>
        <w:t>the</w:t>
      </w:r>
      <w:r w:rsidR="00BF059B">
        <w:t xml:space="preserve"> </w:t>
      </w:r>
      <w:r>
        <w:t>use</w:t>
      </w:r>
      <w:r w:rsidR="00BF059B">
        <w:t xml:space="preserve"> </w:t>
      </w:r>
      <w:r>
        <w:t>of</w:t>
      </w:r>
      <w:r w:rsidR="00BF059B">
        <w:t xml:space="preserve"> </w:t>
      </w:r>
      <w:r>
        <w:t>larvae</w:t>
      </w:r>
      <w:r w:rsidR="00BF059B">
        <w:t xml:space="preserve"> </w:t>
      </w:r>
      <w:r>
        <w:t>to</w:t>
      </w:r>
      <w:r w:rsidR="00BF059B">
        <w:t xml:space="preserve"> </w:t>
      </w:r>
      <w:r>
        <w:t>explore</w:t>
      </w:r>
      <w:r w:rsidR="00BF059B">
        <w:t xml:space="preserve"> </w:t>
      </w:r>
      <w:r>
        <w:t>questions</w:t>
      </w:r>
      <w:r w:rsidR="00BF059B">
        <w:t xml:space="preserve"> </w:t>
      </w:r>
      <w:r>
        <w:t>about</w:t>
      </w:r>
      <w:r w:rsidR="00BF059B">
        <w:t xml:space="preserve"> </w:t>
      </w:r>
      <w:r>
        <w:t>the</w:t>
      </w:r>
      <w:r w:rsidR="00BF059B">
        <w:t xml:space="preserve"> </w:t>
      </w:r>
      <w:r>
        <w:t>evolution</w:t>
      </w:r>
      <w:r w:rsidR="00BF059B">
        <w:t xml:space="preserve"> </w:t>
      </w:r>
      <w:r>
        <w:t>of</w:t>
      </w:r>
      <w:r w:rsidR="00BF059B">
        <w:t xml:space="preserve"> </w:t>
      </w:r>
      <w:r>
        <w:t>the</w:t>
      </w:r>
      <w:r w:rsidR="00BF059B">
        <w:t xml:space="preserve"> </w:t>
      </w:r>
      <w:r>
        <w:t>nervous</w:t>
      </w:r>
      <w:r w:rsidR="00BF059B">
        <w:t xml:space="preserve"> </w:t>
      </w:r>
      <w:r>
        <w:t>system;</w:t>
      </w:r>
      <w:r w:rsidR="00BF059B">
        <w:t xml:space="preserve"> </w:t>
      </w:r>
      <w:r>
        <w:t>the</w:t>
      </w:r>
      <w:r w:rsidR="00BF059B">
        <w:t xml:space="preserve"> </w:t>
      </w:r>
      <w:r>
        <w:t>use</w:t>
      </w:r>
      <w:r w:rsidR="00BF059B">
        <w:t xml:space="preserve"> </w:t>
      </w:r>
      <w:r>
        <w:t>of</w:t>
      </w:r>
      <w:r w:rsidR="00BF059B">
        <w:t xml:space="preserve"> </w:t>
      </w:r>
      <w:r>
        <w:t>time-lapse</w:t>
      </w:r>
      <w:r w:rsidR="00BF059B">
        <w:t xml:space="preserve"> </w:t>
      </w:r>
      <w:r>
        <w:t>imagery</w:t>
      </w:r>
      <w:r w:rsidR="00BF059B">
        <w:t xml:space="preserve"> </w:t>
      </w:r>
      <w:r>
        <w:t>to</w:t>
      </w:r>
      <w:r w:rsidR="00BF059B">
        <w:t xml:space="preserve"> </w:t>
      </w:r>
      <w:r>
        <w:t>investigate</w:t>
      </w:r>
      <w:r w:rsidR="00BF059B">
        <w:t xml:space="preserve"> </w:t>
      </w:r>
      <w:r>
        <w:t>methods</w:t>
      </w:r>
      <w:r w:rsidR="00BF059B">
        <w:t xml:space="preserve"> </w:t>
      </w:r>
      <w:r>
        <w:t>for</w:t>
      </w:r>
      <w:r w:rsidR="00BF059B">
        <w:t xml:space="preserve"> </w:t>
      </w:r>
      <w:r>
        <w:t>stimulating</w:t>
      </w:r>
      <w:r w:rsidR="00BF059B">
        <w:t xml:space="preserve"> </w:t>
      </w:r>
      <w:r>
        <w:t>enhanced</w:t>
      </w:r>
      <w:r w:rsidR="00BF059B">
        <w:t xml:space="preserve"> </w:t>
      </w:r>
      <w:r>
        <w:t>larval</w:t>
      </w:r>
      <w:r w:rsidR="00BF059B">
        <w:t xml:space="preserve"> </w:t>
      </w:r>
      <w:r>
        <w:t>settlement,</w:t>
      </w:r>
      <w:r w:rsidR="00BF059B">
        <w:t xml:space="preserve"> </w:t>
      </w:r>
      <w:r>
        <w:t>and</w:t>
      </w:r>
      <w:r w:rsidR="00BF059B">
        <w:t xml:space="preserve"> </w:t>
      </w:r>
      <w:r>
        <w:t>pink</w:t>
      </w:r>
      <w:r w:rsidR="00BF059B">
        <w:t xml:space="preserve"> </w:t>
      </w:r>
      <w:r>
        <w:t>sea</w:t>
      </w:r>
      <w:r w:rsidR="00BF059B">
        <w:t xml:space="preserve"> </w:t>
      </w:r>
      <w:r>
        <w:t>fan</w:t>
      </w:r>
      <w:r w:rsidR="00BF059B">
        <w:t xml:space="preserve"> </w:t>
      </w:r>
      <w:r>
        <w:t>research,</w:t>
      </w:r>
      <w:r w:rsidR="00BF059B">
        <w:t xml:space="preserve"> </w:t>
      </w:r>
      <w:r>
        <w:t>examining</w:t>
      </w:r>
      <w:r w:rsidR="00BF059B">
        <w:t xml:space="preserve"> </w:t>
      </w:r>
      <w:r>
        <w:t>the</w:t>
      </w:r>
      <w:r w:rsidR="00BF059B">
        <w:t xml:space="preserve"> </w:t>
      </w:r>
      <w:r>
        <w:t>impacts</w:t>
      </w:r>
      <w:r w:rsidR="00BF059B">
        <w:t xml:space="preserve"> </w:t>
      </w:r>
      <w:r>
        <w:t>of</w:t>
      </w:r>
      <w:r w:rsidR="00BF059B">
        <w:t xml:space="preserve"> </w:t>
      </w:r>
      <w:r>
        <w:t>temperature</w:t>
      </w:r>
      <w:r w:rsidR="00BF059B">
        <w:t xml:space="preserve"> </w:t>
      </w:r>
      <w:r>
        <w:t>on</w:t>
      </w:r>
      <w:r w:rsidR="00BF059B">
        <w:t xml:space="preserve"> </w:t>
      </w:r>
      <w:r>
        <w:t>larval</w:t>
      </w:r>
      <w:r w:rsidR="00BF059B">
        <w:t xml:space="preserve"> </w:t>
      </w:r>
      <w:r>
        <w:t>duration.</w:t>
      </w:r>
    </w:p>
    <w:p w14:paraId="279D2B15" w14:textId="77777777" w:rsidR="00BE13A8" w:rsidRDefault="00BE13A8" w:rsidP="0015265F">
      <w:pPr>
        <w:shd w:val="clear" w:color="auto" w:fill="FFFFFF"/>
      </w:pPr>
    </w:p>
    <w:p w14:paraId="538A7C3A" w14:textId="07C52D5A" w:rsidR="00BE13A8" w:rsidRDefault="00D70530" w:rsidP="0015265F">
      <w:pPr>
        <w:shd w:val="clear" w:color="auto" w:fill="FFFFFF"/>
        <w:rPr>
          <w:color w:val="FF0000"/>
        </w:rPr>
      </w:pPr>
      <w:r>
        <w:t>In</w:t>
      </w:r>
      <w:r w:rsidR="00BF059B">
        <w:t xml:space="preserve"> </w:t>
      </w:r>
      <w:r>
        <w:t>addition,</w:t>
      </w:r>
      <w:r w:rsidR="00BF059B">
        <w:t xml:space="preserve"> </w:t>
      </w:r>
      <w:r>
        <w:t>a</w:t>
      </w:r>
      <w:r w:rsidR="00BF059B">
        <w:t xml:space="preserve"> </w:t>
      </w:r>
      <w:r>
        <w:t>new</w:t>
      </w:r>
      <w:r w:rsidR="00BF059B">
        <w:t xml:space="preserve"> </w:t>
      </w:r>
      <w:r>
        <w:t>collaboration</w:t>
      </w:r>
      <w:r w:rsidR="00BF059B">
        <w:t xml:space="preserve"> </w:t>
      </w:r>
      <w:r>
        <w:t>with</w:t>
      </w:r>
      <w:r w:rsidR="00BF059B">
        <w:t xml:space="preserve"> </w:t>
      </w:r>
      <w:r>
        <w:t>Tullis</w:t>
      </w:r>
      <w:r w:rsidR="00BF059B">
        <w:t xml:space="preserve"> </w:t>
      </w:r>
      <w:r>
        <w:t>Matson,</w:t>
      </w:r>
      <w:r w:rsidR="00BF059B">
        <w:t xml:space="preserve"> </w:t>
      </w:r>
      <w:r>
        <w:t>Founder</w:t>
      </w:r>
      <w:r w:rsidR="00BF059B">
        <w:t xml:space="preserve"> </w:t>
      </w:r>
      <w:r>
        <w:t>and</w:t>
      </w:r>
      <w:r w:rsidR="00BF059B">
        <w:t xml:space="preserve"> </w:t>
      </w:r>
      <w:r>
        <w:t>Chair</w:t>
      </w:r>
      <w:r w:rsidR="00BF059B">
        <w:t xml:space="preserve"> </w:t>
      </w:r>
      <w:r>
        <w:t>of</w:t>
      </w:r>
      <w:r w:rsidR="00BF059B">
        <w:t xml:space="preserve"> </w:t>
      </w:r>
      <w:r>
        <w:t>wildlife</w:t>
      </w:r>
      <w:r w:rsidR="00BF059B">
        <w:t xml:space="preserve"> </w:t>
      </w:r>
      <w:r>
        <w:t>biobanking</w:t>
      </w:r>
      <w:r w:rsidR="00BF059B">
        <w:t xml:space="preserve"> </w:t>
      </w:r>
      <w:r>
        <w:t>charity</w:t>
      </w:r>
      <w:r w:rsidR="00BF059B">
        <w:t xml:space="preserve"> </w:t>
      </w:r>
      <w:r>
        <w:t>Nature’s</w:t>
      </w:r>
      <w:r w:rsidR="00BF059B">
        <w:t xml:space="preserve"> </w:t>
      </w:r>
      <w:r>
        <w:t>SAFE</w:t>
      </w:r>
      <w:r w:rsidR="00BF059B">
        <w:t xml:space="preserve"> </w:t>
      </w:r>
      <w:r>
        <w:t>saw</w:t>
      </w:r>
      <w:r w:rsidR="00BF059B">
        <w:t xml:space="preserve"> </w:t>
      </w:r>
      <w:r>
        <w:t>us</w:t>
      </w:r>
      <w:r w:rsidR="00BF059B">
        <w:t xml:space="preserve"> </w:t>
      </w:r>
      <w:r>
        <w:t>cryopreserve</w:t>
      </w:r>
      <w:r w:rsidR="00BF059B">
        <w:t xml:space="preserve"> </w:t>
      </w:r>
      <w:r>
        <w:t>coral</w:t>
      </w:r>
      <w:r w:rsidR="00BF059B">
        <w:t xml:space="preserve"> </w:t>
      </w:r>
      <w:r>
        <w:t>sperm</w:t>
      </w:r>
      <w:r w:rsidR="00BF059B">
        <w:t xml:space="preserve"> </w:t>
      </w:r>
      <w:r>
        <w:t>from</w:t>
      </w:r>
      <w:r w:rsidR="00BF059B">
        <w:t xml:space="preserve"> </w:t>
      </w:r>
      <w:r>
        <w:t>two</w:t>
      </w:r>
      <w:r w:rsidR="00BF059B">
        <w:t xml:space="preserve"> </w:t>
      </w:r>
      <w:r>
        <w:t>Australian</w:t>
      </w:r>
      <w:r w:rsidR="00BF059B">
        <w:t xml:space="preserve"> </w:t>
      </w:r>
      <w:r>
        <w:t>species.</w:t>
      </w:r>
      <w:r w:rsidR="00BF059B">
        <w:t xml:space="preserve"> </w:t>
      </w:r>
      <w:r>
        <w:t>A</w:t>
      </w:r>
      <w:r w:rsidR="00BF059B">
        <w:t xml:space="preserve"> </w:t>
      </w:r>
      <w:r>
        <w:t>subset</w:t>
      </w:r>
      <w:r w:rsidR="00BF059B">
        <w:t xml:space="preserve"> </w:t>
      </w:r>
      <w:r>
        <w:t>of</w:t>
      </w:r>
      <w:r w:rsidR="00BF059B">
        <w:t xml:space="preserve"> </w:t>
      </w:r>
      <w:r>
        <w:t>these</w:t>
      </w:r>
      <w:r w:rsidR="00BF059B">
        <w:t xml:space="preserve"> </w:t>
      </w:r>
      <w:r>
        <w:t>were</w:t>
      </w:r>
      <w:r w:rsidR="00BF059B">
        <w:t xml:space="preserve"> </w:t>
      </w:r>
      <w:r>
        <w:t>successfully</w:t>
      </w:r>
      <w:r w:rsidR="00BF059B">
        <w:t xml:space="preserve"> </w:t>
      </w:r>
      <w:r>
        <w:t>thawed</w:t>
      </w:r>
      <w:r w:rsidR="00BF059B">
        <w:t xml:space="preserve"> </w:t>
      </w:r>
      <w:r>
        <w:t>and</w:t>
      </w:r>
      <w:r w:rsidR="00BF059B">
        <w:t xml:space="preserve"> </w:t>
      </w:r>
      <w:r>
        <w:t>Europe’s</w:t>
      </w:r>
      <w:r w:rsidR="00BF059B">
        <w:t xml:space="preserve"> </w:t>
      </w:r>
      <w:r>
        <w:t>first</w:t>
      </w:r>
      <w:r w:rsidR="00BF059B">
        <w:t xml:space="preserve"> </w:t>
      </w:r>
      <w:proofErr w:type="spellStart"/>
      <w:r>
        <w:t>cryo</w:t>
      </w:r>
      <w:proofErr w:type="spellEnd"/>
      <w:r w:rsidR="00BF059B">
        <w:t xml:space="preserve"> </w:t>
      </w:r>
      <w:r>
        <w:t>coral</w:t>
      </w:r>
      <w:r w:rsidR="00BF059B">
        <w:t xml:space="preserve"> </w:t>
      </w:r>
      <w:r>
        <w:t>juveniles</w:t>
      </w:r>
      <w:r w:rsidR="00BF059B">
        <w:t xml:space="preserve"> </w:t>
      </w:r>
      <w:r>
        <w:t>have</w:t>
      </w:r>
      <w:r w:rsidR="00BF059B">
        <w:t xml:space="preserve"> </w:t>
      </w:r>
      <w:r>
        <w:t>been</w:t>
      </w:r>
      <w:r w:rsidR="00BF059B">
        <w:t xml:space="preserve"> </w:t>
      </w:r>
      <w:r>
        <w:t>created.</w:t>
      </w:r>
    </w:p>
    <w:p w14:paraId="02CC8E5F" w14:textId="77777777" w:rsidR="00BE13A8" w:rsidRDefault="00BE13A8" w:rsidP="0015265F">
      <w:pPr>
        <w:shd w:val="clear" w:color="auto" w:fill="FFFFFF"/>
        <w:rPr>
          <w:color w:val="FF0000"/>
        </w:rPr>
      </w:pPr>
    </w:p>
    <w:p w14:paraId="7C7E890E" w14:textId="290D1D89" w:rsidR="00BE13A8" w:rsidRDefault="00D70530" w:rsidP="0015265F">
      <w:pPr>
        <w:rPr>
          <w:color w:val="FF0000"/>
        </w:rPr>
      </w:pPr>
      <w:r>
        <w:t>The</w:t>
      </w:r>
      <w:r w:rsidR="00BF059B">
        <w:t xml:space="preserve"> </w:t>
      </w:r>
      <w:r>
        <w:t>Gardens</w:t>
      </w:r>
      <w:r w:rsidR="00BF059B">
        <w:t xml:space="preserve"> </w:t>
      </w:r>
      <w:r>
        <w:t>team</w:t>
      </w:r>
      <w:r w:rsidR="00BF059B">
        <w:t xml:space="preserve"> </w:t>
      </w:r>
      <w:r>
        <w:t>continued</w:t>
      </w:r>
      <w:r w:rsidR="00BF059B">
        <w:t xml:space="preserve"> </w:t>
      </w:r>
      <w:r>
        <w:t>to</w:t>
      </w:r>
      <w:r w:rsidR="00BF059B">
        <w:t xml:space="preserve"> </w:t>
      </w:r>
      <w:r>
        <w:t>manage</w:t>
      </w:r>
      <w:r w:rsidR="00BF059B">
        <w:t xml:space="preserve"> </w:t>
      </w:r>
      <w:r>
        <w:t>our</w:t>
      </w:r>
      <w:r w:rsidR="00BF059B">
        <w:t xml:space="preserve"> </w:t>
      </w:r>
      <w:r>
        <w:t>16</w:t>
      </w:r>
      <w:r w:rsidR="00BF059B">
        <w:t xml:space="preserve"> </w:t>
      </w:r>
      <w:r>
        <w:t>acres</w:t>
      </w:r>
      <w:r w:rsidR="00BF059B">
        <w:t xml:space="preserve"> </w:t>
      </w:r>
      <w:r>
        <w:t>of</w:t>
      </w:r>
      <w:r w:rsidR="00BF059B">
        <w:t xml:space="preserve"> </w:t>
      </w:r>
      <w:r>
        <w:t>gardens,</w:t>
      </w:r>
      <w:r w:rsidR="00BF059B">
        <w:t xml:space="preserve"> </w:t>
      </w:r>
      <w:r>
        <w:t>focusing</w:t>
      </w:r>
      <w:r w:rsidR="00BF059B">
        <w:t xml:space="preserve"> </w:t>
      </w:r>
      <w:r>
        <w:t>this</w:t>
      </w:r>
      <w:r w:rsidR="00BF059B">
        <w:t xml:space="preserve"> </w:t>
      </w:r>
      <w:r>
        <w:t>year</w:t>
      </w:r>
      <w:r w:rsidR="00BF059B">
        <w:t xml:space="preserve"> </w:t>
      </w:r>
      <w:r>
        <w:t>on</w:t>
      </w:r>
      <w:r w:rsidR="00BF059B">
        <w:t xml:space="preserve"> </w:t>
      </w:r>
      <w:r>
        <w:t>preparation</w:t>
      </w:r>
      <w:r w:rsidR="00BF059B">
        <w:t xml:space="preserve"> </w:t>
      </w:r>
      <w:r>
        <w:t>for</w:t>
      </w:r>
      <w:r w:rsidR="00BF059B">
        <w:t xml:space="preserve"> </w:t>
      </w:r>
      <w:r>
        <w:t>Nature</w:t>
      </w:r>
      <w:r w:rsidR="00BF059B">
        <w:t xml:space="preserve"> </w:t>
      </w:r>
      <w:r>
        <w:t>+</w:t>
      </w:r>
      <w:r w:rsidR="00BF059B">
        <w:t xml:space="preserve"> </w:t>
      </w:r>
      <w:r>
        <w:t>Love</w:t>
      </w:r>
      <w:r w:rsidR="00BF059B">
        <w:t xml:space="preserve"> </w:t>
      </w:r>
      <w:r>
        <w:t>construction</w:t>
      </w:r>
      <w:r w:rsidR="00BF059B">
        <w:t xml:space="preserve"> </w:t>
      </w:r>
      <w:r>
        <w:t>work</w:t>
      </w:r>
      <w:r w:rsidR="00BF059B">
        <w:t xml:space="preserve"> </w:t>
      </w:r>
      <w:r>
        <w:t>on</w:t>
      </w:r>
      <w:r w:rsidR="00BF059B">
        <w:t xml:space="preserve"> </w:t>
      </w:r>
      <w:r>
        <w:t>site,</w:t>
      </w:r>
      <w:r w:rsidR="00BF059B">
        <w:t xml:space="preserve"> </w:t>
      </w:r>
      <w:r>
        <w:t>decanting</w:t>
      </w:r>
      <w:r w:rsidR="00BF059B">
        <w:t xml:space="preserve"> </w:t>
      </w:r>
      <w:r>
        <w:t>their</w:t>
      </w:r>
      <w:r w:rsidR="00BF059B">
        <w:t xml:space="preserve"> </w:t>
      </w:r>
      <w:r>
        <w:t>existing</w:t>
      </w:r>
      <w:r w:rsidR="00BF059B">
        <w:t xml:space="preserve"> </w:t>
      </w:r>
      <w:r>
        <w:t>nursery</w:t>
      </w:r>
      <w:r w:rsidR="00BF059B">
        <w:t xml:space="preserve"> </w:t>
      </w:r>
      <w:r>
        <w:t>to</w:t>
      </w:r>
      <w:r w:rsidR="00BF059B">
        <w:t xml:space="preserve"> </w:t>
      </w:r>
      <w:r>
        <w:t>a</w:t>
      </w:r>
      <w:r w:rsidR="00BF059B">
        <w:t xml:space="preserve"> </w:t>
      </w:r>
      <w:r>
        <w:t>temporary</w:t>
      </w:r>
      <w:r w:rsidR="00BF059B">
        <w:t xml:space="preserve"> </w:t>
      </w:r>
      <w:r>
        <w:t>poly</w:t>
      </w:r>
      <w:r w:rsidR="00BF059B">
        <w:t xml:space="preserve"> </w:t>
      </w:r>
      <w:r>
        <w:t>tunnel</w:t>
      </w:r>
      <w:r w:rsidR="00BF059B">
        <w:t xml:space="preserve"> </w:t>
      </w:r>
      <w:r>
        <w:t>and</w:t>
      </w:r>
      <w:r w:rsidR="00BF059B">
        <w:t xml:space="preserve"> </w:t>
      </w:r>
      <w:r>
        <w:t>worked</w:t>
      </w:r>
      <w:r w:rsidR="00BF059B">
        <w:t xml:space="preserve"> </w:t>
      </w:r>
      <w:r>
        <w:t>closely</w:t>
      </w:r>
      <w:r w:rsidR="00BF059B">
        <w:t xml:space="preserve"> </w:t>
      </w:r>
      <w:r>
        <w:t>with</w:t>
      </w:r>
      <w:r w:rsidR="00BF059B">
        <w:t xml:space="preserve"> </w:t>
      </w:r>
      <w:r>
        <w:t>contractors</w:t>
      </w:r>
      <w:r w:rsidR="00BF059B">
        <w:t xml:space="preserve"> </w:t>
      </w:r>
      <w:r>
        <w:t>to</w:t>
      </w:r>
      <w:r w:rsidR="00BF059B">
        <w:t xml:space="preserve"> </w:t>
      </w:r>
      <w:r>
        <w:t>ensure</w:t>
      </w:r>
      <w:r w:rsidR="00BF059B">
        <w:t xml:space="preserve"> </w:t>
      </w:r>
      <w:r>
        <w:t>the</w:t>
      </w:r>
      <w:r w:rsidR="00BF059B">
        <w:t xml:space="preserve"> </w:t>
      </w:r>
      <w:r>
        <w:t>new</w:t>
      </w:r>
      <w:r w:rsidR="00BF059B">
        <w:t xml:space="preserve"> </w:t>
      </w:r>
      <w:r>
        <w:t>glasshouse</w:t>
      </w:r>
      <w:r w:rsidR="00BF059B">
        <w:t xml:space="preserve"> </w:t>
      </w:r>
      <w:r>
        <w:t>designs</w:t>
      </w:r>
      <w:r w:rsidR="00BF059B">
        <w:t xml:space="preserve"> </w:t>
      </w:r>
      <w:r>
        <w:t>meet</w:t>
      </w:r>
      <w:r w:rsidR="00BF059B">
        <w:t xml:space="preserve"> </w:t>
      </w:r>
      <w:r>
        <w:t>their</w:t>
      </w:r>
      <w:r w:rsidR="00BF059B">
        <w:t xml:space="preserve"> </w:t>
      </w:r>
      <w:r>
        <w:t>needs.</w:t>
      </w:r>
      <w:r w:rsidR="00BF059B">
        <w:t xml:space="preserve"> </w:t>
      </w:r>
      <w:r>
        <w:t>They</w:t>
      </w:r>
      <w:r w:rsidR="00BF059B">
        <w:t xml:space="preserve"> </w:t>
      </w:r>
      <w:r>
        <w:t>also</w:t>
      </w:r>
      <w:r w:rsidR="00BF059B">
        <w:t xml:space="preserve"> </w:t>
      </w:r>
      <w:r>
        <w:t>developed</w:t>
      </w:r>
      <w:r w:rsidR="00BF059B">
        <w:t xml:space="preserve"> </w:t>
      </w:r>
      <w:r>
        <w:t>new</w:t>
      </w:r>
      <w:r w:rsidR="00BF059B">
        <w:t xml:space="preserve"> </w:t>
      </w:r>
      <w:r>
        <w:t>planting</w:t>
      </w:r>
      <w:r w:rsidR="00BF059B">
        <w:t xml:space="preserve"> </w:t>
      </w:r>
      <w:r>
        <w:t>around</w:t>
      </w:r>
      <w:r w:rsidR="00BF059B">
        <w:t xml:space="preserve"> </w:t>
      </w:r>
      <w:r>
        <w:t>the</w:t>
      </w:r>
      <w:r w:rsidR="00BF059B">
        <w:t xml:space="preserve"> </w:t>
      </w:r>
      <w:r>
        <w:t>Sunken</w:t>
      </w:r>
      <w:r w:rsidR="00BF059B">
        <w:t xml:space="preserve"> </w:t>
      </w:r>
      <w:r>
        <w:t>Gardens,</w:t>
      </w:r>
      <w:r w:rsidR="00BF059B">
        <w:t xml:space="preserve"> </w:t>
      </w:r>
      <w:r>
        <w:t>removing</w:t>
      </w:r>
      <w:r w:rsidR="00BF059B">
        <w:t xml:space="preserve"> </w:t>
      </w:r>
      <w:r>
        <w:t>the</w:t>
      </w:r>
      <w:r w:rsidR="00BF059B">
        <w:t xml:space="preserve"> </w:t>
      </w:r>
      <w:r>
        <w:t>Buxus</w:t>
      </w:r>
      <w:r w:rsidR="00BF059B">
        <w:t xml:space="preserve"> </w:t>
      </w:r>
      <w:r>
        <w:t>hedge</w:t>
      </w:r>
      <w:r w:rsidR="00BF059B">
        <w:t xml:space="preserve"> </w:t>
      </w:r>
      <w:r>
        <w:t>to</w:t>
      </w:r>
      <w:r w:rsidR="00BF059B">
        <w:t xml:space="preserve"> </w:t>
      </w:r>
      <w:r>
        <w:t>make</w:t>
      </w:r>
      <w:r w:rsidR="00BF059B">
        <w:t xml:space="preserve"> </w:t>
      </w:r>
      <w:r>
        <w:t>way</w:t>
      </w:r>
      <w:r w:rsidR="00BF059B">
        <w:t xml:space="preserve"> </w:t>
      </w:r>
      <w:r>
        <w:t>for</w:t>
      </w:r>
      <w:r w:rsidR="00BF059B">
        <w:t xml:space="preserve"> </w:t>
      </w:r>
      <w:r>
        <w:t>a</w:t>
      </w:r>
      <w:r w:rsidR="00BF059B">
        <w:t xml:space="preserve"> </w:t>
      </w:r>
      <w:r>
        <w:t>new</w:t>
      </w:r>
      <w:r w:rsidR="00BF059B">
        <w:t xml:space="preserve"> </w:t>
      </w:r>
      <w:r>
        <w:t>planting</w:t>
      </w:r>
      <w:r w:rsidR="00BF059B">
        <w:t xml:space="preserve"> </w:t>
      </w:r>
      <w:r>
        <w:t>of</w:t>
      </w:r>
      <w:r w:rsidR="00BF059B">
        <w:t xml:space="preserve"> </w:t>
      </w:r>
      <w:r>
        <w:t>step-over</w:t>
      </w:r>
      <w:r w:rsidR="00BF059B">
        <w:t xml:space="preserve"> </w:t>
      </w:r>
      <w:r>
        <w:t>apple</w:t>
      </w:r>
      <w:r w:rsidR="00BF059B">
        <w:t xml:space="preserve"> </w:t>
      </w:r>
      <w:r>
        <w:t>trees.</w:t>
      </w:r>
      <w:r w:rsidR="00BF059B">
        <w:t xml:space="preserve"> </w:t>
      </w:r>
      <w:r>
        <w:t>The</w:t>
      </w:r>
      <w:r w:rsidR="00BF059B">
        <w:t xml:space="preserve"> </w:t>
      </w:r>
      <w:r>
        <w:t>Gardens</w:t>
      </w:r>
      <w:r w:rsidR="00BF059B">
        <w:t xml:space="preserve"> </w:t>
      </w:r>
      <w:r>
        <w:t>also</w:t>
      </w:r>
      <w:r w:rsidR="00BF059B">
        <w:t xml:space="preserve"> </w:t>
      </w:r>
      <w:r>
        <w:t>received</w:t>
      </w:r>
      <w:r w:rsidR="00BF059B">
        <w:t xml:space="preserve"> </w:t>
      </w:r>
      <w:r>
        <w:t>a</w:t>
      </w:r>
      <w:r w:rsidR="00BF059B">
        <w:t xml:space="preserve"> </w:t>
      </w:r>
      <w:r>
        <w:t>London</w:t>
      </w:r>
      <w:r w:rsidR="00BF059B">
        <w:t xml:space="preserve"> </w:t>
      </w:r>
      <w:r>
        <w:t>in</w:t>
      </w:r>
      <w:r w:rsidR="00BF059B">
        <w:t xml:space="preserve"> </w:t>
      </w:r>
      <w:r>
        <w:t>Bloom</w:t>
      </w:r>
      <w:r w:rsidR="00BF059B">
        <w:t xml:space="preserve"> </w:t>
      </w:r>
      <w:r>
        <w:t>gold</w:t>
      </w:r>
      <w:r w:rsidR="00BF059B">
        <w:t xml:space="preserve"> </w:t>
      </w:r>
      <w:r>
        <w:t>award</w:t>
      </w:r>
      <w:r w:rsidR="00BF059B">
        <w:t xml:space="preserve"> </w:t>
      </w:r>
      <w:r>
        <w:t>and</w:t>
      </w:r>
      <w:r w:rsidR="00BF059B">
        <w:t xml:space="preserve"> </w:t>
      </w:r>
      <w:r>
        <w:t>overall</w:t>
      </w:r>
      <w:r w:rsidR="00BF059B">
        <w:t xml:space="preserve"> </w:t>
      </w:r>
      <w:r>
        <w:t>winner</w:t>
      </w:r>
      <w:r w:rsidR="00BF059B">
        <w:t xml:space="preserve"> </w:t>
      </w:r>
      <w:r>
        <w:t>in</w:t>
      </w:r>
      <w:r w:rsidR="00BF059B">
        <w:t xml:space="preserve"> </w:t>
      </w:r>
      <w:r>
        <w:t>the</w:t>
      </w:r>
      <w:r w:rsidR="00BF059B">
        <w:t xml:space="preserve"> </w:t>
      </w:r>
      <w:r>
        <w:t>Heritage</w:t>
      </w:r>
      <w:r w:rsidR="00BF059B">
        <w:t xml:space="preserve"> </w:t>
      </w:r>
      <w:r>
        <w:t>Park/</w:t>
      </w:r>
      <w:r w:rsidR="00BF059B">
        <w:t xml:space="preserve"> </w:t>
      </w:r>
      <w:r>
        <w:t>Garden</w:t>
      </w:r>
      <w:r w:rsidR="00BF059B">
        <w:t xml:space="preserve"> </w:t>
      </w:r>
      <w:r>
        <w:t>category,</w:t>
      </w:r>
      <w:r w:rsidR="00BF059B">
        <w:t xml:space="preserve"> </w:t>
      </w:r>
      <w:r>
        <w:t>the</w:t>
      </w:r>
      <w:r w:rsidR="00BF059B">
        <w:t xml:space="preserve"> </w:t>
      </w:r>
      <w:r>
        <w:t>fourth</w:t>
      </w:r>
      <w:r w:rsidR="00BF059B">
        <w:t xml:space="preserve"> </w:t>
      </w:r>
      <w:r>
        <w:t>consecutive</w:t>
      </w:r>
      <w:r w:rsidR="00BF059B">
        <w:t xml:space="preserve"> </w:t>
      </w:r>
      <w:r>
        <w:t>time</w:t>
      </w:r>
      <w:r w:rsidR="00BF059B">
        <w:t xml:space="preserve"> </w:t>
      </w:r>
      <w:r>
        <w:t>that</w:t>
      </w:r>
      <w:r w:rsidR="00BF059B">
        <w:t xml:space="preserve"> </w:t>
      </w:r>
      <w:r>
        <w:t>we</w:t>
      </w:r>
      <w:r w:rsidR="00BF059B">
        <w:t xml:space="preserve"> </w:t>
      </w:r>
      <w:r>
        <w:t>have</w:t>
      </w:r>
      <w:r w:rsidR="00BF059B">
        <w:t xml:space="preserve"> </w:t>
      </w:r>
      <w:r>
        <w:t>won</w:t>
      </w:r>
      <w:r w:rsidR="00BF059B">
        <w:t xml:space="preserve"> </w:t>
      </w:r>
      <w:r>
        <w:t>gold</w:t>
      </w:r>
      <w:r w:rsidR="00BF059B">
        <w:t xml:space="preserve"> </w:t>
      </w:r>
      <w:r>
        <w:t>and</w:t>
      </w:r>
      <w:r w:rsidR="00BF059B">
        <w:t xml:space="preserve"> </w:t>
      </w:r>
      <w:r>
        <w:t>best</w:t>
      </w:r>
      <w:r w:rsidR="00BF059B">
        <w:t xml:space="preserve"> </w:t>
      </w:r>
      <w:r>
        <w:t>in</w:t>
      </w:r>
      <w:r w:rsidR="00BF059B">
        <w:t xml:space="preserve"> </w:t>
      </w:r>
      <w:r>
        <w:t>category</w:t>
      </w:r>
      <w:r w:rsidR="00BF059B">
        <w:t xml:space="preserve"> </w:t>
      </w:r>
      <w:r>
        <w:t>since</w:t>
      </w:r>
      <w:r w:rsidR="00BF059B">
        <w:t xml:space="preserve"> </w:t>
      </w:r>
      <w:r>
        <w:t>we</w:t>
      </w:r>
      <w:r w:rsidR="00BF059B">
        <w:t xml:space="preserve"> </w:t>
      </w:r>
      <w:r>
        <w:t>first</w:t>
      </w:r>
      <w:r w:rsidR="00BF059B">
        <w:t xml:space="preserve"> </w:t>
      </w:r>
      <w:r>
        <w:t>entered</w:t>
      </w:r>
      <w:r w:rsidR="00BF059B">
        <w:t xml:space="preserve"> </w:t>
      </w:r>
      <w:r>
        <w:t>the</w:t>
      </w:r>
      <w:r w:rsidR="00BF059B">
        <w:t xml:space="preserve"> </w:t>
      </w:r>
      <w:r>
        <w:t>competition</w:t>
      </w:r>
      <w:r w:rsidR="00BF059B">
        <w:t xml:space="preserve"> </w:t>
      </w:r>
      <w:r>
        <w:t>in</w:t>
      </w:r>
      <w:r w:rsidR="00BF059B">
        <w:t xml:space="preserve"> </w:t>
      </w:r>
      <w:r>
        <w:t>2021.</w:t>
      </w:r>
    </w:p>
    <w:p w14:paraId="1D5CE749" w14:textId="77777777" w:rsidR="00BE13A8" w:rsidRDefault="00BE13A8" w:rsidP="0015265F">
      <w:pPr>
        <w:rPr>
          <w:b/>
          <w:i/>
          <w:color w:val="FF0000"/>
        </w:rPr>
      </w:pPr>
    </w:p>
    <w:p w14:paraId="1021960B" w14:textId="0E4E8FC4" w:rsidR="00BE13A8" w:rsidRDefault="00D70530" w:rsidP="0015265F">
      <w:pPr>
        <w:pStyle w:val="Heading4"/>
        <w:jc w:val="left"/>
      </w:pPr>
      <w:r>
        <w:t>2.3</w:t>
      </w:r>
      <w:r w:rsidR="00BF059B">
        <w:t xml:space="preserve"> </w:t>
      </w:r>
      <w:r>
        <w:t>Musical</w:t>
      </w:r>
      <w:r w:rsidR="00BF059B">
        <w:t xml:space="preserve"> </w:t>
      </w:r>
      <w:r>
        <w:t>Instruments</w:t>
      </w:r>
    </w:p>
    <w:p w14:paraId="7385D226" w14:textId="55BBC86E" w:rsidR="00BE13A8" w:rsidRDefault="00D70530" w:rsidP="0015265F">
      <w:r>
        <w:t>Our</w:t>
      </w:r>
      <w:r w:rsidR="00BF059B">
        <w:t xml:space="preserve"> </w:t>
      </w:r>
      <w:r>
        <w:t>work</w:t>
      </w:r>
      <w:r w:rsidR="00BF059B">
        <w:t xml:space="preserve"> </w:t>
      </w:r>
      <w:r>
        <w:t>on</w:t>
      </w:r>
      <w:r w:rsidR="00BF059B">
        <w:t xml:space="preserve"> </w:t>
      </w:r>
      <w:r>
        <w:t>music</w:t>
      </w:r>
      <w:r w:rsidR="00BF059B">
        <w:t xml:space="preserve"> </w:t>
      </w:r>
      <w:r>
        <w:t>programming</w:t>
      </w:r>
      <w:r w:rsidR="00BF059B">
        <w:t xml:space="preserve"> </w:t>
      </w:r>
      <w:r>
        <w:t>included</w:t>
      </w:r>
      <w:r w:rsidR="00BF059B">
        <w:t xml:space="preserve"> </w:t>
      </w:r>
      <w:r>
        <w:t>support</w:t>
      </w:r>
      <w:r w:rsidR="00BF059B">
        <w:t xml:space="preserve"> </w:t>
      </w:r>
      <w:r>
        <w:t>for</w:t>
      </w:r>
      <w:r w:rsidR="00BF059B">
        <w:t xml:space="preserve"> </w:t>
      </w:r>
      <w:r>
        <w:t>the</w:t>
      </w:r>
      <w:r w:rsidR="00BF059B">
        <w:t xml:space="preserve"> </w:t>
      </w:r>
      <w:r>
        <w:t>final</w:t>
      </w:r>
      <w:r w:rsidR="00BF059B">
        <w:t xml:space="preserve"> </w:t>
      </w:r>
      <w:r>
        <w:t>live</w:t>
      </w:r>
      <w:r w:rsidR="00BF059B">
        <w:t xml:space="preserve"> </w:t>
      </w:r>
      <w:r>
        <w:t>events</w:t>
      </w:r>
      <w:r w:rsidR="00BF059B">
        <w:t xml:space="preserve"> </w:t>
      </w:r>
      <w:r>
        <w:t>for</w:t>
      </w:r>
      <w:r w:rsidR="00BF059B">
        <w:t xml:space="preserve"> </w:t>
      </w:r>
      <w:r>
        <w:t>the</w:t>
      </w:r>
      <w:r w:rsidR="00BF059B">
        <w:t xml:space="preserve"> </w:t>
      </w:r>
      <w:r>
        <w:t>first</w:t>
      </w:r>
      <w:r w:rsidR="00BF059B">
        <w:t xml:space="preserve"> </w:t>
      </w:r>
      <w:r>
        <w:t>cohort</w:t>
      </w:r>
      <w:r w:rsidR="00BF059B">
        <w:t xml:space="preserve"> </w:t>
      </w:r>
      <w:r>
        <w:t>of</w:t>
      </w:r>
      <w:r w:rsidR="00BF059B">
        <w:t xml:space="preserve"> </w:t>
      </w:r>
      <w:r>
        <w:t>Musicians</w:t>
      </w:r>
      <w:r w:rsidR="00BF059B">
        <w:t xml:space="preserve"> </w:t>
      </w:r>
      <w:r>
        <w:t>in</w:t>
      </w:r>
      <w:r w:rsidR="00BF059B">
        <w:t xml:space="preserve"> </w:t>
      </w:r>
      <w:r>
        <w:t>Residence,</w:t>
      </w:r>
      <w:r w:rsidR="00BF059B">
        <w:t xml:space="preserve"> </w:t>
      </w:r>
      <w:r>
        <w:t>and</w:t>
      </w:r>
      <w:r w:rsidR="00BF059B">
        <w:t xml:space="preserve"> </w:t>
      </w:r>
      <w:r>
        <w:t>recruiting</w:t>
      </w:r>
      <w:r w:rsidR="00BF059B">
        <w:t xml:space="preserve"> </w:t>
      </w:r>
      <w:r>
        <w:t>and</w:t>
      </w:r>
      <w:r w:rsidR="00BF059B">
        <w:t xml:space="preserve"> </w:t>
      </w:r>
      <w:r>
        <w:t>supporting</w:t>
      </w:r>
      <w:r w:rsidR="00BF059B">
        <w:t xml:space="preserve"> </w:t>
      </w:r>
      <w:r>
        <w:t>the</w:t>
      </w:r>
      <w:r w:rsidR="00BF059B">
        <w:t xml:space="preserve"> </w:t>
      </w:r>
      <w:r>
        <w:t>second</w:t>
      </w:r>
      <w:r w:rsidR="00BF059B">
        <w:t xml:space="preserve"> </w:t>
      </w:r>
      <w:r>
        <w:t>cohort’s</w:t>
      </w:r>
      <w:r w:rsidR="00BF059B">
        <w:t xml:space="preserve"> </w:t>
      </w:r>
      <w:r>
        <w:t>residencies.</w:t>
      </w:r>
      <w:r w:rsidR="00BF059B">
        <w:t xml:space="preserve"> </w:t>
      </w:r>
      <w:r>
        <w:t>Hear</w:t>
      </w:r>
      <w:r w:rsidR="00BF059B">
        <w:t xml:space="preserve"> </w:t>
      </w:r>
      <w:r>
        <w:t>it</w:t>
      </w:r>
      <w:r w:rsidR="00BF059B">
        <w:t xml:space="preserve"> </w:t>
      </w:r>
      <w:r>
        <w:t>Live!</w:t>
      </w:r>
      <w:r w:rsidR="00BF059B">
        <w:t xml:space="preserve"> </w:t>
      </w:r>
      <w:r>
        <w:t>drop</w:t>
      </w:r>
      <w:r w:rsidR="00BF059B">
        <w:t xml:space="preserve"> </w:t>
      </w:r>
      <w:r>
        <w:t>in</w:t>
      </w:r>
      <w:r w:rsidR="00BF059B">
        <w:t xml:space="preserve"> </w:t>
      </w:r>
      <w:r>
        <w:t>performances</w:t>
      </w:r>
      <w:r w:rsidR="00BF059B">
        <w:t xml:space="preserve"> </w:t>
      </w:r>
      <w:r>
        <w:t>presented</w:t>
      </w:r>
      <w:r w:rsidR="00BF059B">
        <w:t xml:space="preserve"> </w:t>
      </w:r>
      <w:r>
        <w:t>a</w:t>
      </w:r>
      <w:r w:rsidR="00BF059B">
        <w:t xml:space="preserve"> </w:t>
      </w:r>
      <w:r>
        <w:t>wide</w:t>
      </w:r>
      <w:r w:rsidR="00BF059B">
        <w:t xml:space="preserve"> </w:t>
      </w:r>
      <w:r>
        <w:t>range</w:t>
      </w:r>
      <w:r w:rsidR="00BF059B">
        <w:t xml:space="preserve"> </w:t>
      </w:r>
      <w:r>
        <w:t>of</w:t>
      </w:r>
      <w:r w:rsidR="00BF059B">
        <w:t xml:space="preserve"> </w:t>
      </w:r>
      <w:r>
        <w:t>live</w:t>
      </w:r>
      <w:r w:rsidR="00BF059B">
        <w:t xml:space="preserve"> </w:t>
      </w:r>
      <w:r>
        <w:t>music</w:t>
      </w:r>
      <w:r w:rsidR="00BF059B">
        <w:t xml:space="preserve"> </w:t>
      </w:r>
      <w:r>
        <w:t>–</w:t>
      </w:r>
      <w:r w:rsidR="00BF059B">
        <w:t xml:space="preserve"> </w:t>
      </w:r>
      <w:r>
        <w:t>from</w:t>
      </w:r>
      <w:r w:rsidR="00BF059B">
        <w:t xml:space="preserve"> </w:t>
      </w:r>
      <w:r>
        <w:t>work</w:t>
      </w:r>
      <w:r w:rsidR="00BF059B">
        <w:t xml:space="preserve"> </w:t>
      </w:r>
      <w:r>
        <w:t>in</w:t>
      </w:r>
      <w:r w:rsidR="00BF059B">
        <w:t xml:space="preserve"> </w:t>
      </w:r>
      <w:r>
        <w:t>progress</w:t>
      </w:r>
      <w:r w:rsidR="00BF059B">
        <w:t xml:space="preserve"> </w:t>
      </w:r>
      <w:r>
        <w:t>from</w:t>
      </w:r>
      <w:r w:rsidR="00BF059B">
        <w:t xml:space="preserve"> </w:t>
      </w:r>
      <w:r>
        <w:t>our</w:t>
      </w:r>
      <w:r w:rsidR="00BF059B">
        <w:t xml:space="preserve"> </w:t>
      </w:r>
      <w:r>
        <w:t>Resident</w:t>
      </w:r>
      <w:r w:rsidR="00BF059B">
        <w:t xml:space="preserve"> </w:t>
      </w:r>
      <w:r>
        <w:t>Musicians</w:t>
      </w:r>
      <w:r w:rsidR="00BF059B">
        <w:t xml:space="preserve"> </w:t>
      </w:r>
      <w:r>
        <w:t>to</w:t>
      </w:r>
      <w:r w:rsidR="00BF059B">
        <w:t xml:space="preserve"> </w:t>
      </w:r>
      <w:r>
        <w:t>18</w:t>
      </w:r>
      <w:r>
        <w:rPr>
          <w:vertAlign w:val="superscript"/>
        </w:rPr>
        <w:t>th</w:t>
      </w:r>
      <w:r w:rsidR="00BF059B">
        <w:t xml:space="preserve"> </w:t>
      </w:r>
      <w:r>
        <w:t>Century</w:t>
      </w:r>
      <w:r w:rsidR="00BF059B">
        <w:t xml:space="preserve"> </w:t>
      </w:r>
      <w:r>
        <w:t>Latin</w:t>
      </w:r>
      <w:r w:rsidR="00BF059B">
        <w:t xml:space="preserve"> </w:t>
      </w:r>
      <w:r>
        <w:t>American</w:t>
      </w:r>
      <w:r w:rsidR="00BF059B">
        <w:t xml:space="preserve"> </w:t>
      </w:r>
      <w:r>
        <w:t>music</w:t>
      </w:r>
      <w:r w:rsidR="00BF059B">
        <w:t xml:space="preserve"> </w:t>
      </w:r>
      <w:r>
        <w:t>and</w:t>
      </w:r>
      <w:r w:rsidR="00BF059B">
        <w:t xml:space="preserve"> </w:t>
      </w:r>
      <w:r>
        <w:t>an</w:t>
      </w:r>
      <w:r w:rsidR="00BF059B">
        <w:t xml:space="preserve"> </w:t>
      </w:r>
      <w:r>
        <w:t>acoustic</w:t>
      </w:r>
      <w:r w:rsidR="00BF059B">
        <w:t xml:space="preserve"> </w:t>
      </w:r>
      <w:r>
        <w:t>performance</w:t>
      </w:r>
      <w:r w:rsidR="00BF059B">
        <w:t xml:space="preserve"> </w:t>
      </w:r>
      <w:r>
        <w:t>of</w:t>
      </w:r>
      <w:r w:rsidR="00BF059B">
        <w:t xml:space="preserve"> </w:t>
      </w:r>
      <w:r>
        <w:t>Afrobeats</w:t>
      </w:r>
      <w:r w:rsidR="00BF059B">
        <w:t xml:space="preserve"> </w:t>
      </w:r>
      <w:r>
        <w:t>and</w:t>
      </w:r>
      <w:r w:rsidR="00BF059B">
        <w:t xml:space="preserve"> </w:t>
      </w:r>
      <w:proofErr w:type="spellStart"/>
      <w:r>
        <w:t>Amapiano</w:t>
      </w:r>
      <w:proofErr w:type="spellEnd"/>
      <w:r>
        <w:t>.</w:t>
      </w:r>
      <w:r w:rsidR="00BF059B">
        <w:t xml:space="preserve"> </w:t>
      </w:r>
      <w:r>
        <w:t>Instruments</w:t>
      </w:r>
      <w:r w:rsidR="00BF059B">
        <w:t xml:space="preserve"> </w:t>
      </w:r>
      <w:r>
        <w:t>featured</w:t>
      </w:r>
      <w:r w:rsidR="00BF059B">
        <w:t xml:space="preserve"> </w:t>
      </w:r>
      <w:r>
        <w:t>included</w:t>
      </w:r>
      <w:r w:rsidR="00BF059B">
        <w:t xml:space="preserve"> </w:t>
      </w:r>
      <w:r>
        <w:t>virginals,</w:t>
      </w:r>
      <w:r w:rsidR="00BF059B">
        <w:t xml:space="preserve"> </w:t>
      </w:r>
      <w:r>
        <w:t>harpsichord,</w:t>
      </w:r>
      <w:r w:rsidR="00BF059B">
        <w:t xml:space="preserve"> </w:t>
      </w:r>
      <w:r>
        <w:t>sitar,</w:t>
      </w:r>
      <w:r w:rsidR="00BF059B">
        <w:t xml:space="preserve"> </w:t>
      </w:r>
      <w:proofErr w:type="spellStart"/>
      <w:r>
        <w:t>tabla</w:t>
      </w:r>
      <w:proofErr w:type="spellEnd"/>
      <w:r>
        <w:t>,</w:t>
      </w:r>
      <w:r w:rsidR="00BF059B">
        <w:t xml:space="preserve"> </w:t>
      </w:r>
      <w:r>
        <w:t>guzheng,</w:t>
      </w:r>
      <w:r w:rsidR="00BF059B">
        <w:t xml:space="preserve"> </w:t>
      </w:r>
      <w:r>
        <w:t>conch,</w:t>
      </w:r>
      <w:r w:rsidR="00BF059B">
        <w:t xml:space="preserve"> </w:t>
      </w:r>
      <w:r>
        <w:t>steel</w:t>
      </w:r>
      <w:r w:rsidR="00BF059B">
        <w:t xml:space="preserve"> </w:t>
      </w:r>
      <w:r>
        <w:t>pans,</w:t>
      </w:r>
      <w:r w:rsidR="00BF059B">
        <w:t xml:space="preserve"> </w:t>
      </w:r>
      <w:r>
        <w:t>and</w:t>
      </w:r>
      <w:r w:rsidR="00BF059B">
        <w:t xml:space="preserve"> </w:t>
      </w:r>
      <w:r>
        <w:t>the</w:t>
      </w:r>
      <w:r w:rsidR="00BF059B">
        <w:t xml:space="preserve"> </w:t>
      </w:r>
      <w:proofErr w:type="gramStart"/>
      <w:r>
        <w:t>rarely-heard</w:t>
      </w:r>
      <w:proofErr w:type="gramEnd"/>
      <w:r w:rsidR="00BF059B">
        <w:t xml:space="preserve"> </w:t>
      </w:r>
      <w:r>
        <w:t>tromba</w:t>
      </w:r>
      <w:r w:rsidR="00BF059B">
        <w:rPr>
          <w:color w:val="FF0000"/>
        </w:rPr>
        <w:t xml:space="preserve"> </w:t>
      </w:r>
      <w:r>
        <w:t>marina.</w:t>
      </w:r>
      <w:r w:rsidR="00BF059B">
        <w:t xml:space="preserve"> </w:t>
      </w:r>
    </w:p>
    <w:p w14:paraId="6FDBF7CF" w14:textId="77777777" w:rsidR="00BE13A8" w:rsidRDefault="00BE13A8" w:rsidP="0015265F"/>
    <w:p w14:paraId="64BEB1B7" w14:textId="70196C01" w:rsidR="00BE13A8" w:rsidRDefault="00D70530" w:rsidP="0015265F">
      <w:r>
        <w:t>Hey</w:t>
      </w:r>
      <w:r w:rsidR="00BF059B">
        <w:t xml:space="preserve"> </w:t>
      </w:r>
      <w:proofErr w:type="gramStart"/>
      <w:r>
        <w:t>Jukebox!,</w:t>
      </w:r>
      <w:proofErr w:type="gramEnd"/>
      <w:r w:rsidR="00BF059B">
        <w:t xml:space="preserve"> </w:t>
      </w:r>
      <w:r>
        <w:t>our</w:t>
      </w:r>
      <w:r w:rsidR="00BF059B">
        <w:t xml:space="preserve"> </w:t>
      </w:r>
      <w:r>
        <w:t>monthly</w:t>
      </w:r>
      <w:r w:rsidR="00BF059B">
        <w:t xml:space="preserve"> </w:t>
      </w:r>
      <w:r>
        <w:t>Spotify</w:t>
      </w:r>
      <w:r w:rsidR="00BF059B">
        <w:t xml:space="preserve"> </w:t>
      </w:r>
      <w:r>
        <w:t>playlist</w:t>
      </w:r>
      <w:r w:rsidR="00BF059B">
        <w:t xml:space="preserve"> </w:t>
      </w:r>
      <w:r>
        <w:t>and</w:t>
      </w:r>
      <w:r w:rsidR="00BF059B">
        <w:t xml:space="preserve"> </w:t>
      </w:r>
      <w:r>
        <w:t>blog,</w:t>
      </w:r>
      <w:r w:rsidR="00BF059B">
        <w:t xml:space="preserve"> </w:t>
      </w:r>
      <w:r>
        <w:t>encompassed</w:t>
      </w:r>
      <w:r w:rsidR="00BF059B">
        <w:t xml:space="preserve"> </w:t>
      </w:r>
      <w:r>
        <w:t>themes</w:t>
      </w:r>
      <w:r w:rsidR="00BF059B">
        <w:t xml:space="preserve"> </w:t>
      </w:r>
      <w:r>
        <w:t>linked</w:t>
      </w:r>
      <w:r w:rsidR="00BF059B">
        <w:t xml:space="preserve"> </w:t>
      </w:r>
      <w:r>
        <w:t>to</w:t>
      </w:r>
      <w:r w:rsidR="00BF059B">
        <w:t xml:space="preserve"> </w:t>
      </w:r>
      <w:r>
        <w:t>programming,</w:t>
      </w:r>
      <w:r w:rsidR="00BF059B">
        <w:t xml:space="preserve"> </w:t>
      </w:r>
      <w:r>
        <w:t>annual</w:t>
      </w:r>
      <w:r w:rsidR="00BF059B">
        <w:t xml:space="preserve"> </w:t>
      </w:r>
      <w:r>
        <w:t>events</w:t>
      </w:r>
      <w:r w:rsidR="00BF059B">
        <w:t xml:space="preserve"> </w:t>
      </w:r>
      <w:r>
        <w:t>and</w:t>
      </w:r>
      <w:r w:rsidR="00BF059B">
        <w:t xml:space="preserve"> </w:t>
      </w:r>
      <w:r>
        <w:t>the</w:t>
      </w:r>
      <w:r w:rsidR="00BF059B">
        <w:t xml:space="preserve"> </w:t>
      </w:r>
      <w:r>
        <w:t>music</w:t>
      </w:r>
      <w:r w:rsidR="00BF059B">
        <w:t xml:space="preserve"> </w:t>
      </w:r>
      <w:r>
        <w:t>collections,</w:t>
      </w:r>
      <w:r w:rsidR="00BF059B">
        <w:t xml:space="preserve"> </w:t>
      </w:r>
      <w:r>
        <w:t>including</w:t>
      </w:r>
      <w:r w:rsidR="00BF059B">
        <w:t xml:space="preserve"> </w:t>
      </w:r>
      <w:r>
        <w:t>Indo-Jazz</w:t>
      </w:r>
      <w:r w:rsidR="00BF059B">
        <w:t xml:space="preserve"> </w:t>
      </w:r>
      <w:r>
        <w:t>with</w:t>
      </w:r>
      <w:r w:rsidR="00BF059B">
        <w:t xml:space="preserve"> </w:t>
      </w:r>
      <w:r>
        <w:t>public</w:t>
      </w:r>
      <w:r w:rsidR="00BF059B">
        <w:t xml:space="preserve"> </w:t>
      </w:r>
      <w:r>
        <w:t>programme</w:t>
      </w:r>
      <w:r w:rsidR="00BF059B">
        <w:t xml:space="preserve"> </w:t>
      </w:r>
      <w:r>
        <w:t>partner</w:t>
      </w:r>
      <w:r w:rsidR="00BF059B">
        <w:t xml:space="preserve"> </w:t>
      </w:r>
      <w:proofErr w:type="spellStart"/>
      <w:r>
        <w:t>Daytimers</w:t>
      </w:r>
      <w:proofErr w:type="spellEnd"/>
      <w:r>
        <w:t>,</w:t>
      </w:r>
      <w:r w:rsidR="00BF059B">
        <w:t xml:space="preserve"> </w:t>
      </w:r>
      <w:r>
        <w:t>Pride,</w:t>
      </w:r>
      <w:r w:rsidR="00BF059B">
        <w:t xml:space="preserve"> </w:t>
      </w:r>
      <w:r>
        <w:t>Brass</w:t>
      </w:r>
      <w:r w:rsidR="00BF059B">
        <w:t xml:space="preserve"> </w:t>
      </w:r>
      <w:r>
        <w:t>Bands,</w:t>
      </w:r>
      <w:r w:rsidR="00BF059B">
        <w:t xml:space="preserve"> </w:t>
      </w:r>
      <w:r>
        <w:t>Fusion;</w:t>
      </w:r>
      <w:r w:rsidR="00BF059B">
        <w:t xml:space="preserve"> </w:t>
      </w:r>
      <w:r>
        <w:t>Sounds</w:t>
      </w:r>
      <w:r w:rsidR="00BF059B">
        <w:t xml:space="preserve"> </w:t>
      </w:r>
      <w:r>
        <w:t>of</w:t>
      </w:r>
      <w:r w:rsidR="00BF059B">
        <w:t xml:space="preserve"> </w:t>
      </w:r>
      <w:r>
        <w:t>Benin</w:t>
      </w:r>
      <w:r w:rsidR="00BF059B">
        <w:t xml:space="preserve"> </w:t>
      </w:r>
      <w:r>
        <w:t>curated</w:t>
      </w:r>
      <w:r w:rsidR="00BF059B">
        <w:t xml:space="preserve"> </w:t>
      </w:r>
      <w:r>
        <w:t>with</w:t>
      </w:r>
      <w:r w:rsidR="00BF059B">
        <w:t xml:space="preserve"> </w:t>
      </w:r>
      <w:r>
        <w:t>WNDRLST,</w:t>
      </w:r>
      <w:r w:rsidR="00BF059B">
        <w:t xml:space="preserve"> </w:t>
      </w:r>
      <w:r>
        <w:t>anger</w:t>
      </w:r>
      <w:r w:rsidR="00BF059B">
        <w:t xml:space="preserve"> </w:t>
      </w:r>
      <w:r>
        <w:t>management,</w:t>
      </w:r>
      <w:r w:rsidR="00BF059B">
        <w:t xml:space="preserve"> </w:t>
      </w:r>
      <w:r>
        <w:t>Black</w:t>
      </w:r>
      <w:r w:rsidR="00BF059B">
        <w:t xml:space="preserve"> </w:t>
      </w:r>
      <w:r>
        <w:t>Hair</w:t>
      </w:r>
      <w:r w:rsidR="00BF059B">
        <w:t xml:space="preserve"> </w:t>
      </w:r>
      <w:r>
        <w:t>Day</w:t>
      </w:r>
      <w:r w:rsidR="00BF059B">
        <w:t xml:space="preserve"> </w:t>
      </w:r>
      <w:r>
        <w:t>in</w:t>
      </w:r>
      <w:r w:rsidR="00BF059B">
        <w:t xml:space="preserve"> </w:t>
      </w:r>
      <w:r>
        <w:t>partnership</w:t>
      </w:r>
      <w:r w:rsidR="00BF059B">
        <w:t xml:space="preserve"> </w:t>
      </w:r>
      <w:r>
        <w:t>with</w:t>
      </w:r>
      <w:r w:rsidR="00BF059B">
        <w:t xml:space="preserve"> </w:t>
      </w:r>
      <w:r>
        <w:t>FACE,</w:t>
      </w:r>
      <w:r w:rsidR="00BF059B">
        <w:t xml:space="preserve"> </w:t>
      </w:r>
      <w:r>
        <w:t>and</w:t>
      </w:r>
      <w:r w:rsidR="00BF059B">
        <w:t xml:space="preserve"> </w:t>
      </w:r>
      <w:r>
        <w:t>staff-picked</w:t>
      </w:r>
      <w:r w:rsidR="00BF059B">
        <w:t xml:space="preserve"> </w:t>
      </w:r>
      <w:r>
        <w:t>guitar</w:t>
      </w:r>
      <w:r w:rsidR="00BF059B">
        <w:t xml:space="preserve"> </w:t>
      </w:r>
      <w:r>
        <w:t>music.</w:t>
      </w:r>
      <w:r w:rsidR="00BF059B">
        <w:t xml:space="preserve"> </w:t>
      </w:r>
    </w:p>
    <w:p w14:paraId="02B49A84" w14:textId="77777777" w:rsidR="00BE13A8" w:rsidRDefault="00BE13A8" w:rsidP="0015265F"/>
    <w:p w14:paraId="6598760B" w14:textId="565C20AA" w:rsidR="00BE13A8" w:rsidRDefault="00D70530" w:rsidP="0015265F">
      <w:r>
        <w:t>We</w:t>
      </w:r>
      <w:r w:rsidR="00BF059B">
        <w:t xml:space="preserve"> </w:t>
      </w:r>
      <w:r>
        <w:t>opened</w:t>
      </w:r>
      <w:r w:rsidR="00BF059B">
        <w:t xml:space="preserve"> </w:t>
      </w:r>
      <w:r>
        <w:t>a</w:t>
      </w:r>
      <w:r w:rsidR="00BF059B">
        <w:t xml:space="preserve"> </w:t>
      </w:r>
      <w:r>
        <w:t>pop-up</w:t>
      </w:r>
      <w:r w:rsidR="00BF059B">
        <w:t xml:space="preserve"> </w:t>
      </w:r>
      <w:r>
        <w:t>display</w:t>
      </w:r>
      <w:r w:rsidR="00BF059B">
        <w:t xml:space="preserve"> </w:t>
      </w:r>
      <w:r>
        <w:t>in</w:t>
      </w:r>
      <w:r w:rsidR="00BF059B">
        <w:t xml:space="preserve"> </w:t>
      </w:r>
      <w:r>
        <w:t>the</w:t>
      </w:r>
      <w:r w:rsidR="00BF059B">
        <w:t xml:space="preserve"> </w:t>
      </w:r>
      <w:r>
        <w:t>Music</w:t>
      </w:r>
      <w:r w:rsidR="00BF059B">
        <w:t xml:space="preserve"> </w:t>
      </w:r>
      <w:r>
        <w:t>Gallery</w:t>
      </w:r>
      <w:r w:rsidR="00BF059B">
        <w:t xml:space="preserve"> </w:t>
      </w:r>
      <w:r>
        <w:t>to</w:t>
      </w:r>
      <w:r w:rsidR="00BF059B">
        <w:t xml:space="preserve"> </w:t>
      </w:r>
      <w:r>
        <w:t>complement</w:t>
      </w:r>
      <w:r w:rsidR="00BF059B">
        <w:t xml:space="preserve"> </w:t>
      </w:r>
      <w:r>
        <w:t>the</w:t>
      </w:r>
      <w:r w:rsidR="00BF059B">
        <w:t xml:space="preserve"> </w:t>
      </w:r>
      <w:r>
        <w:t>new</w:t>
      </w:r>
      <w:r w:rsidR="00BF059B">
        <w:t xml:space="preserve"> </w:t>
      </w:r>
      <w:r>
        <w:t>Natural</w:t>
      </w:r>
      <w:r w:rsidR="00BF059B">
        <w:t xml:space="preserve"> </w:t>
      </w:r>
      <w:r>
        <w:t>History</w:t>
      </w:r>
      <w:r w:rsidR="00BF059B">
        <w:t xml:space="preserve"> </w:t>
      </w:r>
      <w:r>
        <w:t>pop-up</w:t>
      </w:r>
      <w:r w:rsidR="00BF059B">
        <w:t xml:space="preserve"> </w:t>
      </w:r>
      <w:r>
        <w:t>in</w:t>
      </w:r>
      <w:r w:rsidR="00BF059B">
        <w:t xml:space="preserve"> </w:t>
      </w:r>
      <w:r>
        <w:t>the</w:t>
      </w:r>
      <w:r w:rsidR="00BF059B">
        <w:t xml:space="preserve"> </w:t>
      </w:r>
      <w:r>
        <w:t>Studio,</w:t>
      </w:r>
      <w:r w:rsidR="00BF059B">
        <w:t xml:space="preserve"> </w:t>
      </w:r>
      <w:r>
        <w:t>and</w:t>
      </w:r>
      <w:r w:rsidR="00BF059B">
        <w:t xml:space="preserve"> </w:t>
      </w:r>
      <w:r>
        <w:t>developed</w:t>
      </w:r>
      <w:r w:rsidR="00BF059B">
        <w:t xml:space="preserve"> </w:t>
      </w:r>
      <w:r>
        <w:t>new</w:t>
      </w:r>
      <w:r w:rsidR="00BF059B">
        <w:t xml:space="preserve"> </w:t>
      </w:r>
      <w:r>
        <w:t>interpretation</w:t>
      </w:r>
      <w:r w:rsidR="00BF059B">
        <w:t xml:space="preserve"> </w:t>
      </w:r>
      <w:r>
        <w:t>for</w:t>
      </w:r>
      <w:r w:rsidR="00BF059B">
        <w:t xml:space="preserve"> </w:t>
      </w:r>
      <w:r>
        <w:t>the</w:t>
      </w:r>
      <w:r w:rsidR="00BF059B">
        <w:t xml:space="preserve"> </w:t>
      </w:r>
      <w:r>
        <w:t>Benin</w:t>
      </w:r>
      <w:r w:rsidR="00BF059B">
        <w:t xml:space="preserve"> </w:t>
      </w:r>
      <w:r>
        <w:t>objects</w:t>
      </w:r>
      <w:r w:rsidR="00BF059B">
        <w:t xml:space="preserve"> </w:t>
      </w:r>
      <w:r>
        <w:t>on</w:t>
      </w:r>
      <w:r w:rsidR="00BF059B">
        <w:t xml:space="preserve"> </w:t>
      </w:r>
      <w:r>
        <w:t>display</w:t>
      </w:r>
      <w:r w:rsidR="00BF059B">
        <w:t xml:space="preserve"> </w:t>
      </w:r>
      <w:r>
        <w:t>in</w:t>
      </w:r>
      <w:r w:rsidR="00BF059B">
        <w:t xml:space="preserve"> </w:t>
      </w:r>
      <w:r>
        <w:lastRenderedPageBreak/>
        <w:t>the</w:t>
      </w:r>
      <w:r w:rsidR="00BF059B">
        <w:t xml:space="preserve"> </w:t>
      </w:r>
      <w:r>
        <w:t>Music</w:t>
      </w:r>
      <w:r w:rsidR="00BF059B">
        <w:t xml:space="preserve"> </w:t>
      </w:r>
      <w:r>
        <w:t>Gallery,</w:t>
      </w:r>
      <w:r w:rsidR="00BF059B">
        <w:t xml:space="preserve"> </w:t>
      </w:r>
      <w:r>
        <w:t>which</w:t>
      </w:r>
      <w:r w:rsidR="00BF059B">
        <w:t xml:space="preserve"> </w:t>
      </w:r>
      <w:r>
        <w:t>was</w:t>
      </w:r>
      <w:r w:rsidR="00BF059B">
        <w:t xml:space="preserve"> </w:t>
      </w:r>
      <w:r>
        <w:t>unveiled</w:t>
      </w:r>
      <w:r w:rsidR="00BF059B">
        <w:t xml:space="preserve"> </w:t>
      </w:r>
      <w:r>
        <w:t>in</w:t>
      </w:r>
      <w:r w:rsidR="00BF059B">
        <w:t xml:space="preserve"> </w:t>
      </w:r>
      <w:r>
        <w:t>December</w:t>
      </w:r>
      <w:r w:rsidR="00BF059B">
        <w:t xml:space="preserve"> </w:t>
      </w:r>
      <w:r>
        <w:t>alongside</w:t>
      </w:r>
      <w:r w:rsidR="00BF059B">
        <w:t xml:space="preserve"> </w:t>
      </w:r>
      <w:r>
        <w:t>the</w:t>
      </w:r>
      <w:r w:rsidR="00BF059B">
        <w:t xml:space="preserve"> </w:t>
      </w:r>
      <w:r>
        <w:t>new</w:t>
      </w:r>
      <w:r w:rsidR="00BF059B">
        <w:t xml:space="preserve"> </w:t>
      </w:r>
      <w:r>
        <w:t>World</w:t>
      </w:r>
      <w:r w:rsidR="00BF059B">
        <w:t xml:space="preserve"> </w:t>
      </w:r>
      <w:r>
        <w:t>Gallery</w:t>
      </w:r>
      <w:r w:rsidR="00BF059B">
        <w:t xml:space="preserve"> </w:t>
      </w:r>
      <w:r>
        <w:t>displays.</w:t>
      </w:r>
    </w:p>
    <w:p w14:paraId="780056AB" w14:textId="2AA65757" w:rsidR="00BE13A8" w:rsidRDefault="00D70530" w:rsidP="0015265F">
      <w:r>
        <w:t>In</w:t>
      </w:r>
      <w:r w:rsidR="00BF059B">
        <w:t xml:space="preserve"> </w:t>
      </w:r>
      <w:r>
        <w:t>September,</w:t>
      </w:r>
      <w:r w:rsidR="00BF059B">
        <w:t xml:space="preserve"> </w:t>
      </w:r>
      <w:r>
        <w:t>‘Mouth</w:t>
      </w:r>
      <w:r w:rsidR="00BF059B">
        <w:t xml:space="preserve"> </w:t>
      </w:r>
      <w:r>
        <w:t>of</w:t>
      </w:r>
      <w:r w:rsidR="00BF059B">
        <w:t xml:space="preserve"> </w:t>
      </w:r>
      <w:r>
        <w:t>the</w:t>
      </w:r>
      <w:r w:rsidR="00BF059B">
        <w:t xml:space="preserve"> </w:t>
      </w:r>
      <w:r>
        <w:t>Gods’</w:t>
      </w:r>
      <w:r w:rsidR="00BF059B">
        <w:t xml:space="preserve"> </w:t>
      </w:r>
      <w:r>
        <w:t>a</w:t>
      </w:r>
      <w:r w:rsidR="00BF059B">
        <w:t xml:space="preserve"> </w:t>
      </w:r>
      <w:r>
        <w:t>partnership</w:t>
      </w:r>
      <w:r w:rsidR="00BF059B">
        <w:t xml:space="preserve"> </w:t>
      </w:r>
      <w:r>
        <w:t>with</w:t>
      </w:r>
      <w:r w:rsidR="00BF059B">
        <w:t xml:space="preserve"> </w:t>
      </w:r>
      <w:r>
        <w:t>Border</w:t>
      </w:r>
      <w:r w:rsidR="00BF059B">
        <w:t xml:space="preserve"> </w:t>
      </w:r>
      <w:r>
        <w:t>Crossings</w:t>
      </w:r>
      <w:r w:rsidR="00BF059B">
        <w:t xml:space="preserve"> </w:t>
      </w:r>
      <w:r>
        <w:t>exploring</w:t>
      </w:r>
      <w:r w:rsidR="00BF059B">
        <w:t xml:space="preserve"> </w:t>
      </w:r>
      <w:r>
        <w:t>18th-century</w:t>
      </w:r>
      <w:r w:rsidR="00BF059B">
        <w:t xml:space="preserve"> </w:t>
      </w:r>
      <w:r>
        <w:t>Latin</w:t>
      </w:r>
      <w:r w:rsidR="00BF059B">
        <w:t xml:space="preserve"> </w:t>
      </w:r>
      <w:r>
        <w:t>American</w:t>
      </w:r>
      <w:r w:rsidR="00BF059B">
        <w:t xml:space="preserve"> </w:t>
      </w:r>
      <w:r>
        <w:t>musical</w:t>
      </w:r>
      <w:r w:rsidR="00BF059B">
        <w:t xml:space="preserve"> </w:t>
      </w:r>
      <w:r>
        <w:t>instruments</w:t>
      </w:r>
      <w:r w:rsidR="00BF059B">
        <w:t xml:space="preserve"> </w:t>
      </w:r>
      <w:r>
        <w:t>and</w:t>
      </w:r>
      <w:r w:rsidR="00BF059B">
        <w:t xml:space="preserve"> </w:t>
      </w:r>
      <w:r>
        <w:t>music,</w:t>
      </w:r>
      <w:r w:rsidR="00BF059B">
        <w:t xml:space="preserve"> </w:t>
      </w:r>
      <w:r>
        <w:t>included</w:t>
      </w:r>
      <w:r w:rsidR="00BF059B">
        <w:t xml:space="preserve"> </w:t>
      </w:r>
      <w:r>
        <w:t>an</w:t>
      </w:r>
      <w:r w:rsidR="00BF059B">
        <w:t xml:space="preserve"> </w:t>
      </w:r>
      <w:r>
        <w:t>SCC</w:t>
      </w:r>
      <w:r w:rsidR="00BF059B">
        <w:t xml:space="preserve"> </w:t>
      </w:r>
      <w:r>
        <w:t>visit</w:t>
      </w:r>
      <w:r w:rsidR="00BF059B">
        <w:t xml:space="preserve"> </w:t>
      </w:r>
      <w:r>
        <w:t>exploring</w:t>
      </w:r>
      <w:r w:rsidR="00BF059B">
        <w:t xml:space="preserve"> </w:t>
      </w:r>
      <w:r>
        <w:t>Andean</w:t>
      </w:r>
      <w:r w:rsidR="00BF059B">
        <w:t xml:space="preserve"> </w:t>
      </w:r>
      <w:r>
        <w:t>objects</w:t>
      </w:r>
      <w:r w:rsidR="00BF059B">
        <w:t xml:space="preserve"> </w:t>
      </w:r>
      <w:r>
        <w:t>with</w:t>
      </w:r>
      <w:r w:rsidR="00BF059B">
        <w:t xml:space="preserve"> </w:t>
      </w:r>
      <w:r>
        <w:t>the</w:t>
      </w:r>
      <w:r w:rsidR="00BF059B">
        <w:t xml:space="preserve"> </w:t>
      </w:r>
      <w:r>
        <w:t>Indigenous</w:t>
      </w:r>
      <w:r w:rsidR="00BF059B">
        <w:t xml:space="preserve"> </w:t>
      </w:r>
      <w:r>
        <w:t>partners,</w:t>
      </w:r>
      <w:r w:rsidR="00BF059B">
        <w:t xml:space="preserve"> </w:t>
      </w:r>
      <w:r>
        <w:t>a</w:t>
      </w:r>
      <w:r w:rsidR="00BF059B">
        <w:t xml:space="preserve"> </w:t>
      </w:r>
      <w:r>
        <w:t>filmed</w:t>
      </w:r>
      <w:r w:rsidR="00BF059B">
        <w:t xml:space="preserve"> </w:t>
      </w:r>
      <w:r>
        <w:t>tour</w:t>
      </w:r>
      <w:r w:rsidR="00BF059B">
        <w:t xml:space="preserve"> </w:t>
      </w:r>
      <w:r>
        <w:t>of</w:t>
      </w:r>
      <w:r w:rsidR="00BF059B">
        <w:t xml:space="preserve"> </w:t>
      </w:r>
      <w:r>
        <w:t>the</w:t>
      </w:r>
      <w:r w:rsidR="00BF059B">
        <w:t xml:space="preserve"> </w:t>
      </w:r>
      <w:r>
        <w:t>Music</w:t>
      </w:r>
      <w:r w:rsidR="00BF059B">
        <w:t xml:space="preserve"> </w:t>
      </w:r>
      <w:r>
        <w:t>Gallery</w:t>
      </w:r>
      <w:r w:rsidR="00BF059B">
        <w:t xml:space="preserve"> </w:t>
      </w:r>
      <w:r>
        <w:t>and</w:t>
      </w:r>
      <w:r w:rsidR="00BF059B">
        <w:t xml:space="preserve"> </w:t>
      </w:r>
      <w:r>
        <w:t>recorded</w:t>
      </w:r>
      <w:r w:rsidR="00BF059B">
        <w:t xml:space="preserve"> </w:t>
      </w:r>
      <w:r>
        <w:t>Q&amp;A</w:t>
      </w:r>
      <w:r w:rsidR="00BF059B">
        <w:t xml:space="preserve"> </w:t>
      </w:r>
      <w:r>
        <w:t>for</w:t>
      </w:r>
      <w:r w:rsidR="00BF059B">
        <w:t xml:space="preserve"> </w:t>
      </w:r>
      <w:r>
        <w:t>participating</w:t>
      </w:r>
      <w:r w:rsidR="00BF059B">
        <w:t xml:space="preserve"> </w:t>
      </w:r>
      <w:r>
        <w:t>schools,</w:t>
      </w:r>
      <w:r w:rsidR="00BF059B">
        <w:t xml:space="preserve"> </w:t>
      </w:r>
      <w:r>
        <w:t>and</w:t>
      </w:r>
      <w:r w:rsidR="00BF059B">
        <w:t xml:space="preserve"> </w:t>
      </w:r>
      <w:r>
        <w:t>a</w:t>
      </w:r>
      <w:r w:rsidR="00BF059B">
        <w:t xml:space="preserve"> </w:t>
      </w:r>
      <w:r>
        <w:t>Hear</w:t>
      </w:r>
      <w:r w:rsidR="00BF059B">
        <w:t xml:space="preserve"> </w:t>
      </w:r>
      <w:r>
        <w:t>it</w:t>
      </w:r>
      <w:r w:rsidR="00BF059B">
        <w:t xml:space="preserve"> </w:t>
      </w:r>
      <w:r>
        <w:t>Live!</w:t>
      </w:r>
      <w:r w:rsidR="00BF059B">
        <w:t xml:space="preserve"> </w:t>
      </w:r>
      <w:r>
        <w:t>performance.</w:t>
      </w:r>
      <w:r w:rsidR="00BF059B">
        <w:t xml:space="preserve"> </w:t>
      </w:r>
    </w:p>
    <w:p w14:paraId="4009CE5D" w14:textId="77777777" w:rsidR="00BE13A8" w:rsidRDefault="00BE13A8" w:rsidP="0015265F"/>
    <w:p w14:paraId="533EA385" w14:textId="7B80A604" w:rsidR="00BE13A8" w:rsidRDefault="00D70530" w:rsidP="0015265F">
      <w:r>
        <w:t>Hear</w:t>
      </w:r>
      <w:r w:rsidR="00BF059B">
        <w:t xml:space="preserve"> </w:t>
      </w:r>
      <w:r>
        <w:t>it</w:t>
      </w:r>
      <w:r w:rsidR="00BF059B">
        <w:t xml:space="preserve"> </w:t>
      </w:r>
      <w:r>
        <w:t>Live!</w:t>
      </w:r>
      <w:r w:rsidR="00BF059B">
        <w:t xml:space="preserve"> </w:t>
      </w:r>
      <w:r>
        <w:t>musicians</w:t>
      </w:r>
      <w:r w:rsidR="00BF059B">
        <w:t xml:space="preserve"> </w:t>
      </w:r>
      <w:r>
        <w:t>are</w:t>
      </w:r>
      <w:r w:rsidR="00BF059B">
        <w:t xml:space="preserve"> </w:t>
      </w:r>
      <w:r>
        <w:t>now</w:t>
      </w:r>
      <w:r w:rsidR="00BF059B">
        <w:t xml:space="preserve"> </w:t>
      </w:r>
      <w:r>
        <w:t>taking</w:t>
      </w:r>
      <w:r w:rsidR="00BF059B">
        <w:t xml:space="preserve"> </w:t>
      </w:r>
      <w:r>
        <w:t>part</w:t>
      </w:r>
      <w:r w:rsidR="00BF059B">
        <w:t xml:space="preserve"> </w:t>
      </w:r>
      <w:r>
        <w:t>in</w:t>
      </w:r>
      <w:r w:rsidR="00BF059B">
        <w:t xml:space="preserve"> </w:t>
      </w:r>
      <w:r>
        <w:t>Community</w:t>
      </w:r>
      <w:r w:rsidR="00BF059B">
        <w:t xml:space="preserve"> </w:t>
      </w:r>
      <w:r>
        <w:t>Thursdays</w:t>
      </w:r>
      <w:r w:rsidR="00BF059B">
        <w:t xml:space="preserve"> </w:t>
      </w:r>
      <w:r>
        <w:t>in</w:t>
      </w:r>
      <w:r w:rsidR="00BF059B">
        <w:t xml:space="preserve"> </w:t>
      </w:r>
      <w:r>
        <w:t>the</w:t>
      </w:r>
      <w:r w:rsidR="00BF059B">
        <w:t xml:space="preserve"> </w:t>
      </w:r>
      <w:r>
        <w:t>Hands-on</w:t>
      </w:r>
      <w:r w:rsidR="00BF059B">
        <w:t xml:space="preserve"> </w:t>
      </w:r>
      <w:r>
        <w:t>Base</w:t>
      </w:r>
      <w:r w:rsidR="00BF059B">
        <w:t xml:space="preserve"> </w:t>
      </w:r>
      <w:r>
        <w:t>after</w:t>
      </w:r>
      <w:r w:rsidR="00BF059B">
        <w:t xml:space="preserve"> </w:t>
      </w:r>
      <w:r>
        <w:t>each</w:t>
      </w:r>
      <w:r w:rsidR="00BF059B">
        <w:t xml:space="preserve"> </w:t>
      </w:r>
      <w:r>
        <w:t>performance.</w:t>
      </w:r>
      <w:r w:rsidR="00BF059B">
        <w:t xml:space="preserve"> </w:t>
      </w:r>
      <w:r>
        <w:t>The</w:t>
      </w:r>
      <w:r w:rsidR="00BF059B">
        <w:t xml:space="preserve"> </w:t>
      </w:r>
      <w:r>
        <w:t>team</w:t>
      </w:r>
      <w:r w:rsidR="00BF059B">
        <w:t xml:space="preserve"> </w:t>
      </w:r>
      <w:r>
        <w:t>also</w:t>
      </w:r>
      <w:r w:rsidR="00BF059B">
        <w:t xml:space="preserve"> </w:t>
      </w:r>
      <w:r>
        <w:t>supported</w:t>
      </w:r>
      <w:r w:rsidR="00BF059B">
        <w:t xml:space="preserve"> </w:t>
      </w:r>
      <w:r>
        <w:t>GCSE</w:t>
      </w:r>
      <w:r w:rsidR="00BF059B">
        <w:t xml:space="preserve"> </w:t>
      </w:r>
      <w:r>
        <w:t>Music</w:t>
      </w:r>
      <w:r w:rsidR="00BF059B">
        <w:t xml:space="preserve"> </w:t>
      </w:r>
      <w:r>
        <w:t>day,</w:t>
      </w:r>
      <w:r w:rsidR="00BF059B">
        <w:t xml:space="preserve"> </w:t>
      </w:r>
      <w:r>
        <w:t>which</w:t>
      </w:r>
      <w:r w:rsidR="00BF059B">
        <w:t xml:space="preserve"> </w:t>
      </w:r>
      <w:r>
        <w:t>included</w:t>
      </w:r>
      <w:r w:rsidR="00BF059B">
        <w:t xml:space="preserve"> </w:t>
      </w:r>
      <w:r>
        <w:t>a</w:t>
      </w:r>
      <w:r w:rsidR="00BF059B">
        <w:t xml:space="preserve"> </w:t>
      </w:r>
      <w:r>
        <w:t>full</w:t>
      </w:r>
      <w:r w:rsidR="00BF059B">
        <w:t xml:space="preserve"> </w:t>
      </w:r>
      <w:r>
        <w:t>day</w:t>
      </w:r>
      <w:r w:rsidR="00BF059B">
        <w:t xml:space="preserve"> </w:t>
      </w:r>
      <w:r>
        <w:t>of</w:t>
      </w:r>
      <w:r w:rsidR="00BF059B">
        <w:t xml:space="preserve"> </w:t>
      </w:r>
      <w:r>
        <w:t>schools’</w:t>
      </w:r>
      <w:r w:rsidR="00BF059B">
        <w:t xml:space="preserve"> </w:t>
      </w:r>
      <w:r>
        <w:t>workshops,</w:t>
      </w:r>
      <w:r w:rsidR="00BF059B">
        <w:t xml:space="preserve"> </w:t>
      </w:r>
      <w:r>
        <w:t>a</w:t>
      </w:r>
      <w:r w:rsidR="00BF059B">
        <w:t xml:space="preserve"> </w:t>
      </w:r>
      <w:r>
        <w:t>Hear</w:t>
      </w:r>
      <w:r w:rsidR="00BF059B">
        <w:t xml:space="preserve"> </w:t>
      </w:r>
      <w:r>
        <w:t>it</w:t>
      </w:r>
      <w:r w:rsidR="00BF059B">
        <w:t xml:space="preserve"> </w:t>
      </w:r>
      <w:r>
        <w:t>Live!</w:t>
      </w:r>
      <w:r w:rsidR="00BF059B">
        <w:t xml:space="preserve"> </w:t>
      </w:r>
      <w:r>
        <w:t>performance</w:t>
      </w:r>
      <w:r w:rsidR="00BF059B">
        <w:t xml:space="preserve"> </w:t>
      </w:r>
      <w:r>
        <w:t>and</w:t>
      </w:r>
      <w:r w:rsidR="00BF059B">
        <w:t xml:space="preserve"> </w:t>
      </w:r>
      <w:r>
        <w:t>a</w:t>
      </w:r>
      <w:r w:rsidR="00BF059B">
        <w:t xml:space="preserve"> </w:t>
      </w:r>
      <w:r>
        <w:t>co-production</w:t>
      </w:r>
      <w:r w:rsidR="00BF059B">
        <w:t xml:space="preserve"> </w:t>
      </w:r>
      <w:r>
        <w:t>session</w:t>
      </w:r>
      <w:r w:rsidR="00BF059B">
        <w:t xml:space="preserve"> </w:t>
      </w:r>
      <w:r>
        <w:t>with</w:t>
      </w:r>
      <w:r w:rsidR="00BF059B">
        <w:t xml:space="preserve"> </w:t>
      </w:r>
      <w:r>
        <w:t>Bantu</w:t>
      </w:r>
      <w:r w:rsidR="00BF059B">
        <w:t xml:space="preserve"> </w:t>
      </w:r>
      <w:r>
        <w:t>Arts,</w:t>
      </w:r>
      <w:r w:rsidR="00BF059B">
        <w:t xml:space="preserve"> </w:t>
      </w:r>
      <w:r>
        <w:t>participated</w:t>
      </w:r>
      <w:r w:rsidR="00BF059B">
        <w:t xml:space="preserve"> </w:t>
      </w:r>
      <w:r>
        <w:t>in</w:t>
      </w:r>
      <w:r w:rsidR="00BF059B">
        <w:t xml:space="preserve"> </w:t>
      </w:r>
      <w:r>
        <w:t>a</w:t>
      </w:r>
      <w:r w:rsidR="00BF059B">
        <w:t xml:space="preserve"> </w:t>
      </w:r>
      <w:r>
        <w:t>careers’</w:t>
      </w:r>
      <w:r w:rsidR="00BF059B">
        <w:t xml:space="preserve"> </w:t>
      </w:r>
      <w:r>
        <w:t>day</w:t>
      </w:r>
      <w:r w:rsidR="00BF059B">
        <w:t xml:space="preserve"> </w:t>
      </w:r>
      <w:r>
        <w:t>for</w:t>
      </w:r>
      <w:r w:rsidR="00BF059B">
        <w:t xml:space="preserve"> </w:t>
      </w:r>
      <w:r>
        <w:t>schools,</w:t>
      </w:r>
      <w:r w:rsidR="00BF059B">
        <w:t xml:space="preserve"> </w:t>
      </w:r>
      <w:r>
        <w:t>and</w:t>
      </w:r>
      <w:r w:rsidR="00BF059B">
        <w:t xml:space="preserve"> </w:t>
      </w:r>
      <w:r>
        <w:t>presented</w:t>
      </w:r>
      <w:r w:rsidR="00BF059B">
        <w:t xml:space="preserve"> </w:t>
      </w:r>
      <w:r>
        <w:t>on</w:t>
      </w:r>
      <w:r w:rsidR="00BF059B">
        <w:t xml:space="preserve"> </w:t>
      </w:r>
      <w:r>
        <w:t>museum</w:t>
      </w:r>
      <w:r w:rsidR="00BF059B">
        <w:t xml:space="preserve"> </w:t>
      </w:r>
      <w:r>
        <w:t>careers</w:t>
      </w:r>
      <w:r w:rsidR="00BF059B">
        <w:t xml:space="preserve"> </w:t>
      </w:r>
      <w:r>
        <w:t>to</w:t>
      </w:r>
      <w:r w:rsidR="00BF059B">
        <w:t xml:space="preserve"> </w:t>
      </w:r>
      <w:r>
        <w:t>young</w:t>
      </w:r>
      <w:r w:rsidR="00BF059B">
        <w:t xml:space="preserve"> </w:t>
      </w:r>
      <w:r>
        <w:t>people</w:t>
      </w:r>
      <w:r w:rsidR="00BF059B">
        <w:t xml:space="preserve"> </w:t>
      </w:r>
      <w:r>
        <w:t>at</w:t>
      </w:r>
      <w:r w:rsidR="00BF059B">
        <w:t xml:space="preserve"> </w:t>
      </w:r>
      <w:r>
        <w:t>a</w:t>
      </w:r>
      <w:r w:rsidR="00BF059B">
        <w:t xml:space="preserve"> </w:t>
      </w:r>
      <w:r>
        <w:t>local</w:t>
      </w:r>
      <w:r w:rsidR="00BF059B">
        <w:t xml:space="preserve"> </w:t>
      </w:r>
      <w:r>
        <w:t>job</w:t>
      </w:r>
      <w:r w:rsidR="00BF059B">
        <w:t xml:space="preserve"> </w:t>
      </w:r>
      <w:r>
        <w:t>centre.</w:t>
      </w:r>
      <w:r w:rsidR="00BF059B">
        <w:t xml:space="preserve"> </w:t>
      </w:r>
    </w:p>
    <w:p w14:paraId="25140813" w14:textId="77777777" w:rsidR="00BE13A8" w:rsidRDefault="00BE13A8" w:rsidP="0015265F"/>
    <w:p w14:paraId="0C8683D1" w14:textId="14E76DFB" w:rsidR="00BE13A8" w:rsidRDefault="00D70530" w:rsidP="0015265F">
      <w:r>
        <w:rPr>
          <w:color w:val="000000"/>
        </w:rPr>
        <w:t>We</w:t>
      </w:r>
      <w:r w:rsidR="00BF059B">
        <w:rPr>
          <w:color w:val="000000"/>
        </w:rPr>
        <w:t xml:space="preserve"> </w:t>
      </w:r>
      <w:r>
        <w:rPr>
          <w:color w:val="000000"/>
        </w:rPr>
        <w:t>were</w:t>
      </w:r>
      <w:r w:rsidR="00BF059B">
        <w:rPr>
          <w:color w:val="000000"/>
        </w:rPr>
        <w:t xml:space="preserve"> </w:t>
      </w:r>
      <w:r>
        <w:rPr>
          <w:color w:val="000000"/>
        </w:rPr>
        <w:t>pleased</w:t>
      </w:r>
      <w:r w:rsidR="00BF059B">
        <w:rPr>
          <w:color w:val="000000"/>
        </w:rPr>
        <w:t xml:space="preserve"> </w:t>
      </w:r>
      <w:r>
        <w:rPr>
          <w:color w:val="000000"/>
        </w:rPr>
        <w:t>to</w:t>
      </w:r>
      <w:r w:rsidR="00BF059B">
        <w:rPr>
          <w:color w:val="000000"/>
        </w:rPr>
        <w:t xml:space="preserve"> </w:t>
      </w:r>
      <w:r>
        <w:rPr>
          <w:color w:val="000000"/>
        </w:rPr>
        <w:t>host</w:t>
      </w:r>
      <w:r w:rsidR="00BF059B">
        <w:rPr>
          <w:color w:val="000000"/>
        </w:rPr>
        <w:t xml:space="preserve"> </w:t>
      </w:r>
      <w:r>
        <w:rPr>
          <w:color w:val="000000"/>
        </w:rPr>
        <w:t>a</w:t>
      </w:r>
      <w:r w:rsidR="00BF059B">
        <w:rPr>
          <w:color w:val="000000"/>
        </w:rPr>
        <w:t xml:space="preserve"> </w:t>
      </w:r>
      <w:r>
        <w:rPr>
          <w:color w:val="000000"/>
        </w:rPr>
        <w:t>Clore</w:t>
      </w:r>
      <w:r w:rsidR="00BF059B">
        <w:rPr>
          <w:color w:val="000000"/>
        </w:rPr>
        <w:t xml:space="preserve"> </w:t>
      </w:r>
      <w:r>
        <w:rPr>
          <w:color w:val="000000"/>
        </w:rPr>
        <w:t>Fellow,</w:t>
      </w:r>
      <w:r w:rsidR="00BF059B">
        <w:rPr>
          <w:color w:val="000000"/>
        </w:rPr>
        <w:t xml:space="preserve"> </w:t>
      </w:r>
      <w:r>
        <w:rPr>
          <w:color w:val="000000"/>
        </w:rPr>
        <w:t>Kim</w:t>
      </w:r>
      <w:r w:rsidR="00BF059B">
        <w:rPr>
          <w:color w:val="000000"/>
        </w:rPr>
        <w:t xml:space="preserve"> </w:t>
      </w:r>
      <w:r>
        <w:rPr>
          <w:color w:val="000000"/>
        </w:rPr>
        <w:t>Sykes,</w:t>
      </w:r>
      <w:r w:rsidR="00BF059B">
        <w:rPr>
          <w:color w:val="000000"/>
        </w:rPr>
        <w:t xml:space="preserve"> </w:t>
      </w:r>
      <w:r>
        <w:rPr>
          <w:color w:val="000000"/>
        </w:rPr>
        <w:t>to</w:t>
      </w:r>
      <w:r w:rsidR="00BF059B">
        <w:rPr>
          <w:color w:val="000000"/>
        </w:rPr>
        <w:t xml:space="preserve"> </w:t>
      </w:r>
      <w:r>
        <w:rPr>
          <w:color w:val="000000"/>
        </w:rPr>
        <w:t>carry</w:t>
      </w:r>
      <w:r w:rsidR="00BF059B">
        <w:rPr>
          <w:color w:val="000000"/>
        </w:rPr>
        <w:t xml:space="preserve"> </w:t>
      </w:r>
      <w:r>
        <w:rPr>
          <w:color w:val="000000"/>
        </w:rPr>
        <w:t>out</w:t>
      </w:r>
      <w:r w:rsidR="00BF059B">
        <w:rPr>
          <w:color w:val="000000"/>
        </w:rPr>
        <w:t xml:space="preserve"> </w:t>
      </w:r>
      <w:r>
        <w:rPr>
          <w:color w:val="000000"/>
        </w:rPr>
        <w:t>a</w:t>
      </w:r>
      <w:r w:rsidR="00BF059B">
        <w:rPr>
          <w:color w:val="000000"/>
        </w:rPr>
        <w:t xml:space="preserve"> </w:t>
      </w:r>
      <w:r>
        <w:rPr>
          <w:color w:val="000000"/>
        </w:rPr>
        <w:t>review</w:t>
      </w:r>
      <w:r w:rsidR="00BF059B">
        <w:rPr>
          <w:color w:val="000000"/>
        </w:rPr>
        <w:t xml:space="preserve"> </w:t>
      </w:r>
      <w:r>
        <w:rPr>
          <w:color w:val="000000"/>
        </w:rPr>
        <w:t>of</w:t>
      </w:r>
      <w:r w:rsidR="00BF059B">
        <w:rPr>
          <w:color w:val="000000"/>
        </w:rPr>
        <w:t xml:space="preserve"> </w:t>
      </w:r>
      <w:r>
        <w:rPr>
          <w:color w:val="000000"/>
        </w:rPr>
        <w:t>our</w:t>
      </w:r>
      <w:r w:rsidR="00BF059B">
        <w:rPr>
          <w:color w:val="000000"/>
        </w:rPr>
        <w:t xml:space="preserve"> </w:t>
      </w:r>
      <w:r>
        <w:rPr>
          <w:color w:val="000000"/>
        </w:rPr>
        <w:t>music</w:t>
      </w:r>
      <w:r w:rsidR="00BF059B">
        <w:rPr>
          <w:color w:val="000000"/>
        </w:rPr>
        <w:t xml:space="preserve"> </w:t>
      </w:r>
      <w:r>
        <w:rPr>
          <w:color w:val="000000"/>
        </w:rPr>
        <w:t>programming</w:t>
      </w:r>
      <w:r w:rsidR="00BF059B">
        <w:rPr>
          <w:color w:val="000000"/>
        </w:rPr>
        <w:t xml:space="preserve"> </w:t>
      </w:r>
      <w:r>
        <w:rPr>
          <w:color w:val="000000"/>
        </w:rPr>
        <w:t>and</w:t>
      </w:r>
      <w:r w:rsidR="00BF059B">
        <w:rPr>
          <w:color w:val="000000"/>
        </w:rPr>
        <w:t xml:space="preserve"> </w:t>
      </w:r>
      <w:r>
        <w:rPr>
          <w:color w:val="000000"/>
        </w:rPr>
        <w:t>develop</w:t>
      </w:r>
      <w:r w:rsidR="00BF059B">
        <w:rPr>
          <w:color w:val="000000"/>
        </w:rPr>
        <w:t xml:space="preserve"> </w:t>
      </w:r>
      <w:r>
        <w:rPr>
          <w:color w:val="000000"/>
        </w:rPr>
        <w:t>a</w:t>
      </w:r>
      <w:r w:rsidR="00BF059B">
        <w:rPr>
          <w:color w:val="000000"/>
        </w:rPr>
        <w:t xml:space="preserve"> </w:t>
      </w:r>
      <w:r>
        <w:rPr>
          <w:color w:val="000000"/>
        </w:rPr>
        <w:t>strategic</w:t>
      </w:r>
      <w:r w:rsidR="00BF059B">
        <w:rPr>
          <w:color w:val="000000"/>
        </w:rPr>
        <w:t xml:space="preserve"> </w:t>
      </w:r>
      <w:r>
        <w:rPr>
          <w:color w:val="000000"/>
        </w:rPr>
        <w:t>approach</w:t>
      </w:r>
      <w:r w:rsidR="00BF059B">
        <w:rPr>
          <w:color w:val="000000"/>
        </w:rPr>
        <w:t xml:space="preserve"> </w:t>
      </w:r>
      <w:r>
        <w:rPr>
          <w:color w:val="000000"/>
        </w:rPr>
        <w:t>and</w:t>
      </w:r>
      <w:r w:rsidR="00BF059B">
        <w:rPr>
          <w:color w:val="000000"/>
        </w:rPr>
        <w:t xml:space="preserve"> </w:t>
      </w:r>
      <w:r>
        <w:rPr>
          <w:color w:val="000000"/>
        </w:rPr>
        <w:t>recommendations</w:t>
      </w:r>
      <w:r w:rsidR="00BF059B">
        <w:rPr>
          <w:color w:val="000000"/>
        </w:rPr>
        <w:t xml:space="preserve"> </w:t>
      </w:r>
      <w:r>
        <w:rPr>
          <w:color w:val="000000"/>
        </w:rPr>
        <w:t>that</w:t>
      </w:r>
      <w:r w:rsidR="00BF059B">
        <w:rPr>
          <w:color w:val="000000"/>
        </w:rPr>
        <w:t xml:space="preserve"> </w:t>
      </w:r>
      <w:r>
        <w:rPr>
          <w:color w:val="000000"/>
        </w:rPr>
        <w:t>will</w:t>
      </w:r>
      <w:r w:rsidR="00BF059B">
        <w:rPr>
          <w:color w:val="000000"/>
        </w:rPr>
        <w:t xml:space="preserve"> </w:t>
      </w:r>
      <w:r>
        <w:rPr>
          <w:color w:val="000000"/>
        </w:rPr>
        <w:t>inform</w:t>
      </w:r>
      <w:r w:rsidR="00BF059B">
        <w:rPr>
          <w:color w:val="000000"/>
        </w:rPr>
        <w:t xml:space="preserve"> </w:t>
      </w:r>
      <w:r>
        <w:rPr>
          <w:color w:val="000000"/>
        </w:rPr>
        <w:t>programming</w:t>
      </w:r>
      <w:r w:rsidR="00BF059B">
        <w:rPr>
          <w:color w:val="000000"/>
        </w:rPr>
        <w:t xml:space="preserve"> </w:t>
      </w:r>
      <w:r>
        <w:rPr>
          <w:color w:val="000000"/>
        </w:rPr>
        <w:t>in</w:t>
      </w:r>
      <w:r w:rsidR="00BF059B">
        <w:rPr>
          <w:color w:val="000000"/>
        </w:rPr>
        <w:t xml:space="preserve"> </w:t>
      </w:r>
      <w:r>
        <w:rPr>
          <w:color w:val="000000"/>
        </w:rPr>
        <w:t>2025/26</w:t>
      </w:r>
      <w:r w:rsidR="00BF059B">
        <w:rPr>
          <w:color w:val="000000"/>
        </w:rPr>
        <w:t xml:space="preserve"> </w:t>
      </w:r>
      <w:r>
        <w:rPr>
          <w:color w:val="000000"/>
        </w:rPr>
        <w:t>onwards</w:t>
      </w:r>
    </w:p>
    <w:p w14:paraId="1F7BA445" w14:textId="77777777" w:rsidR="00BE13A8" w:rsidRDefault="00BE13A8" w:rsidP="0015265F">
      <w:pPr>
        <w:rPr>
          <w:i/>
          <w:color w:val="FF0000"/>
        </w:rPr>
      </w:pPr>
    </w:p>
    <w:p w14:paraId="6559BF82" w14:textId="469FE277" w:rsidR="00BE13A8" w:rsidRDefault="00D70530" w:rsidP="0015265F">
      <w:pPr>
        <w:pStyle w:val="Heading4"/>
        <w:jc w:val="left"/>
      </w:pPr>
      <w:bookmarkStart w:id="4" w:name="_heading=h.6mfs3350egdz" w:colFirst="0" w:colLast="0"/>
      <w:bookmarkEnd w:id="4"/>
      <w:r>
        <w:t>2.4</w:t>
      </w:r>
      <w:r w:rsidR="00BF059B">
        <w:t xml:space="preserve"> </w:t>
      </w:r>
      <w:r>
        <w:t>Handling</w:t>
      </w:r>
      <w:r w:rsidR="00BF059B">
        <w:t xml:space="preserve"> </w:t>
      </w:r>
      <w:r>
        <w:t>Collection</w:t>
      </w:r>
    </w:p>
    <w:p w14:paraId="3F14D344" w14:textId="010B34FE" w:rsidR="00BE13A8" w:rsidRDefault="00D70530" w:rsidP="0015265F">
      <w:r>
        <w:t>We</w:t>
      </w:r>
      <w:r w:rsidR="00BF059B">
        <w:t xml:space="preserve"> </w:t>
      </w:r>
      <w:r>
        <w:t>added</w:t>
      </w:r>
      <w:r w:rsidR="00BF059B">
        <w:t xml:space="preserve"> </w:t>
      </w:r>
      <w:r>
        <w:t>c.140</w:t>
      </w:r>
      <w:r w:rsidR="00BF059B">
        <w:t xml:space="preserve"> </w:t>
      </w:r>
      <w:r>
        <w:t>new</w:t>
      </w:r>
      <w:r w:rsidR="00BF059B">
        <w:t xml:space="preserve"> </w:t>
      </w:r>
      <w:r>
        <w:t>acquisitions</w:t>
      </w:r>
      <w:r w:rsidR="00BF059B">
        <w:t xml:space="preserve"> </w:t>
      </w:r>
      <w:r>
        <w:t>to</w:t>
      </w:r>
      <w:r w:rsidR="00BF059B">
        <w:t xml:space="preserve"> </w:t>
      </w:r>
      <w:r>
        <w:t>the</w:t>
      </w:r>
      <w:r w:rsidR="00BF059B">
        <w:t xml:space="preserve"> </w:t>
      </w:r>
      <w:r>
        <w:t>Handling</w:t>
      </w:r>
      <w:r w:rsidR="00BF059B">
        <w:t xml:space="preserve"> </w:t>
      </w:r>
      <w:r>
        <w:t>Collection</w:t>
      </w:r>
      <w:r w:rsidR="00BF059B">
        <w:t xml:space="preserve"> </w:t>
      </w:r>
      <w:r>
        <w:t>this</w:t>
      </w:r>
      <w:r w:rsidR="00BF059B">
        <w:t xml:space="preserve"> </w:t>
      </w:r>
      <w:r>
        <w:t>year,</w:t>
      </w:r>
      <w:r w:rsidR="00BF059B">
        <w:t xml:space="preserve"> </w:t>
      </w:r>
      <w:r>
        <w:t>including</w:t>
      </w:r>
      <w:r w:rsidR="00BF059B">
        <w:t xml:space="preserve"> </w:t>
      </w:r>
      <w:r>
        <w:t>a</w:t>
      </w:r>
      <w:r w:rsidR="00BF059B">
        <w:t xml:space="preserve"> </w:t>
      </w:r>
      <w:r>
        <w:t>range</w:t>
      </w:r>
      <w:r w:rsidR="00BF059B">
        <w:t xml:space="preserve"> </w:t>
      </w:r>
      <w:r>
        <w:t>of</w:t>
      </w:r>
      <w:r w:rsidR="00BF059B">
        <w:t xml:space="preserve"> </w:t>
      </w:r>
      <w:r>
        <w:t>objects</w:t>
      </w:r>
      <w:r w:rsidR="00BF059B">
        <w:t xml:space="preserve"> </w:t>
      </w:r>
      <w:r>
        <w:t>acquired</w:t>
      </w:r>
      <w:r w:rsidR="00BF059B">
        <w:t xml:space="preserve"> </w:t>
      </w:r>
      <w:r>
        <w:t>in</w:t>
      </w:r>
      <w:r w:rsidR="00BF059B">
        <w:t xml:space="preserve"> </w:t>
      </w:r>
      <w:r>
        <w:t>partnership</w:t>
      </w:r>
      <w:r w:rsidR="00BF059B">
        <w:t xml:space="preserve"> </w:t>
      </w:r>
      <w:r>
        <w:t>with</w:t>
      </w:r>
      <w:r w:rsidR="00BF059B">
        <w:t xml:space="preserve"> </w:t>
      </w:r>
      <w:r>
        <w:t>critical</w:t>
      </w:r>
      <w:r w:rsidR="00BF059B">
        <w:t xml:space="preserve"> </w:t>
      </w:r>
      <w:r>
        <w:t>friends</w:t>
      </w:r>
      <w:r w:rsidR="00BF059B">
        <w:t xml:space="preserve"> </w:t>
      </w:r>
      <w:r>
        <w:t>from</w:t>
      </w:r>
      <w:r w:rsidR="00BF059B">
        <w:t xml:space="preserve"> </w:t>
      </w:r>
      <w:r>
        <w:t>Benin</w:t>
      </w:r>
      <w:r w:rsidR="00BF059B">
        <w:t xml:space="preserve"> </w:t>
      </w:r>
      <w:r>
        <w:t>City</w:t>
      </w:r>
      <w:r w:rsidR="00BF059B">
        <w:t xml:space="preserve"> </w:t>
      </w:r>
      <w:r>
        <w:t>as</w:t>
      </w:r>
      <w:r w:rsidR="00BF059B">
        <w:t xml:space="preserve"> </w:t>
      </w:r>
      <w:r>
        <w:t>part</w:t>
      </w:r>
      <w:r w:rsidR="00BF059B">
        <w:t xml:space="preserve"> </w:t>
      </w:r>
      <w:r>
        <w:t>of</w:t>
      </w:r>
      <w:r w:rsidR="00BF059B">
        <w:t xml:space="preserve"> </w:t>
      </w:r>
      <w:r>
        <w:t>the</w:t>
      </w:r>
      <w:r w:rsidR="00BF059B">
        <w:t xml:space="preserve"> </w:t>
      </w:r>
      <w:r>
        <w:t>development</w:t>
      </w:r>
      <w:r w:rsidR="00BF059B">
        <w:t xml:space="preserve"> </w:t>
      </w:r>
      <w:r>
        <w:t>of</w:t>
      </w:r>
      <w:r w:rsidR="00BF059B">
        <w:t xml:space="preserve"> </w:t>
      </w:r>
      <w:r>
        <w:t>a</w:t>
      </w:r>
      <w:r w:rsidR="00BF059B">
        <w:t xml:space="preserve"> </w:t>
      </w:r>
      <w:r>
        <w:t>new</w:t>
      </w:r>
      <w:r w:rsidR="00BF059B">
        <w:t xml:space="preserve"> </w:t>
      </w:r>
      <w:r>
        <w:t>'African</w:t>
      </w:r>
      <w:r w:rsidR="00BF059B">
        <w:t xml:space="preserve"> </w:t>
      </w:r>
      <w:r>
        <w:t>Kingdoms'</w:t>
      </w:r>
      <w:r w:rsidR="00BF059B">
        <w:t xml:space="preserve"> </w:t>
      </w:r>
      <w:r>
        <w:t>workshop,</w:t>
      </w:r>
      <w:r w:rsidR="00BF059B">
        <w:t xml:space="preserve"> </w:t>
      </w:r>
      <w:r>
        <w:t>and</w:t>
      </w:r>
      <w:r w:rsidR="00BF059B">
        <w:t xml:space="preserve"> </w:t>
      </w:r>
      <w:r>
        <w:t>a</w:t>
      </w:r>
      <w:r w:rsidR="00BF059B">
        <w:t xml:space="preserve"> </w:t>
      </w:r>
      <w:r>
        <w:t>large</w:t>
      </w:r>
      <w:r w:rsidR="00BF059B">
        <w:t xml:space="preserve"> </w:t>
      </w:r>
      <w:r>
        <w:t>donation</w:t>
      </w:r>
      <w:r w:rsidR="00BF059B">
        <w:t xml:space="preserve"> </w:t>
      </w:r>
      <w:r>
        <w:t>of</w:t>
      </w:r>
      <w:r w:rsidR="00BF059B">
        <w:t xml:space="preserve"> </w:t>
      </w:r>
      <w:r>
        <w:t>fossils</w:t>
      </w:r>
      <w:r w:rsidR="00BF059B">
        <w:t xml:space="preserve"> </w:t>
      </w:r>
      <w:r>
        <w:t>received</w:t>
      </w:r>
      <w:r w:rsidR="00BF059B">
        <w:t xml:space="preserve"> </w:t>
      </w:r>
      <w:r>
        <w:t>in</w:t>
      </w:r>
      <w:r w:rsidR="00BF059B">
        <w:t xml:space="preserve"> </w:t>
      </w:r>
      <w:r>
        <w:t>late</w:t>
      </w:r>
      <w:r w:rsidR="00BF059B">
        <w:t xml:space="preserve"> </w:t>
      </w:r>
      <w:r>
        <w:t>2024.</w:t>
      </w:r>
      <w:r w:rsidR="00BF059B">
        <w:t xml:space="preserve"> </w:t>
      </w:r>
      <w:r>
        <w:t>We</w:t>
      </w:r>
      <w:r w:rsidR="00BF059B">
        <w:t xml:space="preserve"> </w:t>
      </w:r>
      <w:r>
        <w:t>also</w:t>
      </w:r>
      <w:r w:rsidR="00BF059B">
        <w:t xml:space="preserve"> </w:t>
      </w:r>
      <w:r>
        <w:t>engaged</w:t>
      </w:r>
      <w:r w:rsidR="00BF059B">
        <w:t xml:space="preserve"> </w:t>
      </w:r>
      <w:r>
        <w:t>328</w:t>
      </w:r>
      <w:r w:rsidR="00BF059B">
        <w:t xml:space="preserve"> </w:t>
      </w:r>
      <w:r>
        <w:t>learners</w:t>
      </w:r>
      <w:r w:rsidR="00BF059B">
        <w:t xml:space="preserve"> </w:t>
      </w:r>
      <w:r>
        <w:t>through</w:t>
      </w:r>
      <w:r w:rsidR="00BF059B">
        <w:t xml:space="preserve"> </w:t>
      </w:r>
      <w:r>
        <w:t>object</w:t>
      </w:r>
      <w:r w:rsidR="00BF059B">
        <w:t xml:space="preserve"> </w:t>
      </w:r>
      <w:r>
        <w:t>loans.</w:t>
      </w:r>
    </w:p>
    <w:p w14:paraId="1CF9A6E8" w14:textId="77777777" w:rsidR="00BE13A8" w:rsidRDefault="00BE13A8" w:rsidP="0015265F"/>
    <w:p w14:paraId="7EFECE85" w14:textId="638C4861" w:rsidR="00BE13A8" w:rsidRDefault="00D70530" w:rsidP="0015265F">
      <w:pPr>
        <w:pStyle w:val="Heading4"/>
        <w:jc w:val="left"/>
        <w:rPr>
          <w:color w:val="FF0000"/>
        </w:rPr>
      </w:pPr>
      <w:r>
        <w:t>2.5</w:t>
      </w:r>
      <w:r w:rsidR="00BF059B">
        <w:t xml:space="preserve"> </w:t>
      </w:r>
      <w:r>
        <w:t>Social</w:t>
      </w:r>
      <w:r w:rsidR="00BF059B">
        <w:t xml:space="preserve"> </w:t>
      </w:r>
      <w:r>
        <w:t>Practice</w:t>
      </w:r>
    </w:p>
    <w:p w14:paraId="1045B7EF" w14:textId="5D5FE67D" w:rsidR="00BE13A8" w:rsidRDefault="00D70530" w:rsidP="0015265F">
      <w:pPr>
        <w:pBdr>
          <w:top w:val="nil"/>
          <w:left w:val="nil"/>
          <w:bottom w:val="nil"/>
          <w:right w:val="nil"/>
          <w:between w:val="nil"/>
        </w:pBdr>
        <w:shd w:val="clear" w:color="auto" w:fill="FFFFFF"/>
        <w:rPr>
          <w:color w:val="000000"/>
        </w:rPr>
      </w:pPr>
      <w:r>
        <w:rPr>
          <w:rFonts w:ascii="Times New Roman" w:eastAsia="Times New Roman" w:hAnsi="Times New Roman" w:cs="Times New Roman"/>
          <w:color w:val="000000"/>
        </w:rPr>
        <w:t>The</w:t>
      </w:r>
      <w:r w:rsidR="00BF059B">
        <w:rPr>
          <w:rFonts w:ascii="Times New Roman" w:eastAsia="Times New Roman" w:hAnsi="Times New Roman" w:cs="Times New Roman"/>
          <w:color w:val="000000"/>
        </w:rPr>
        <w:t xml:space="preserve"> </w:t>
      </w:r>
      <w:r>
        <w:rPr>
          <w:rFonts w:ascii="MS Gothic" w:eastAsia="MS Gothic" w:hAnsi="MS Gothic" w:cs="MS Gothic"/>
          <w:b/>
          <w:color w:val="000000"/>
        </w:rPr>
        <w:t>茶</w:t>
      </w:r>
      <w:r>
        <w:rPr>
          <w:rFonts w:ascii="Times New Roman" w:eastAsia="Times New Roman" w:hAnsi="Times New Roman" w:cs="Times New Roman"/>
          <w:b/>
          <w:color w:val="000000"/>
        </w:rPr>
        <w:t>,</w:t>
      </w:r>
      <w:r w:rsidR="00BF059B">
        <w:rPr>
          <w:rFonts w:ascii="Times New Roman" w:eastAsia="Times New Roman" w:hAnsi="Times New Roman" w:cs="Times New Roman"/>
          <w:b/>
          <w:color w:val="000000"/>
        </w:rPr>
        <w:t xml:space="preserve"> </w:t>
      </w:r>
      <w:proofErr w:type="spellStart"/>
      <w:r>
        <w:rPr>
          <w:rFonts w:ascii="Nirmala UI" w:eastAsia="Nirmala UI" w:hAnsi="Nirmala UI" w:cs="Nirmala UI"/>
          <w:b/>
          <w:color w:val="000000"/>
        </w:rPr>
        <w:t>चाय</w:t>
      </w:r>
      <w:proofErr w:type="spellEnd"/>
      <w:r>
        <w:rPr>
          <w:b/>
          <w:color w:val="000000"/>
        </w:rPr>
        <w:t>,</w:t>
      </w:r>
      <w:r w:rsidR="00BF059B">
        <w:rPr>
          <w:b/>
          <w:color w:val="000000"/>
        </w:rPr>
        <w:t xml:space="preserve"> </w:t>
      </w:r>
      <w:r>
        <w:rPr>
          <w:b/>
          <w:color w:val="000000"/>
        </w:rPr>
        <w:t>Tea</w:t>
      </w:r>
      <w:r w:rsidR="00BF059B">
        <w:rPr>
          <w:b/>
          <w:color w:val="000000"/>
        </w:rPr>
        <w:t xml:space="preserve"> </w:t>
      </w:r>
      <w:r>
        <w:rPr>
          <w:b/>
          <w:color w:val="000000"/>
        </w:rPr>
        <w:t>exhibition</w:t>
      </w:r>
      <w:r w:rsidR="00BF059B">
        <w:rPr>
          <w:b/>
          <w:color w:val="000000"/>
        </w:rPr>
        <w:t xml:space="preserve"> </w:t>
      </w:r>
      <w:r>
        <w:rPr>
          <w:color w:val="000000"/>
        </w:rPr>
        <w:t>was</w:t>
      </w:r>
      <w:r w:rsidR="00BF059B">
        <w:rPr>
          <w:color w:val="000000"/>
        </w:rPr>
        <w:t xml:space="preserve"> </w:t>
      </w:r>
      <w:r>
        <w:rPr>
          <w:color w:val="000000"/>
        </w:rPr>
        <w:t>shortlisted</w:t>
      </w:r>
      <w:r w:rsidR="00BF059B">
        <w:rPr>
          <w:color w:val="000000"/>
        </w:rPr>
        <w:t xml:space="preserve"> </w:t>
      </w:r>
      <w:r>
        <w:rPr>
          <w:color w:val="000000"/>
        </w:rPr>
        <w:t>for</w:t>
      </w:r>
      <w:r w:rsidR="00BF059B">
        <w:rPr>
          <w:color w:val="000000"/>
        </w:rPr>
        <w:t xml:space="preserve"> </w:t>
      </w:r>
      <w:r>
        <w:rPr>
          <w:color w:val="000000"/>
        </w:rPr>
        <w:t>the</w:t>
      </w:r>
      <w:r w:rsidR="00BF059B">
        <w:rPr>
          <w:color w:val="000000"/>
        </w:rPr>
        <w:t xml:space="preserve"> </w:t>
      </w:r>
      <w:r>
        <w:rPr>
          <w:color w:val="000000"/>
        </w:rPr>
        <w:t>Museums</w:t>
      </w:r>
      <w:r w:rsidR="00BF059B">
        <w:rPr>
          <w:color w:val="000000"/>
        </w:rPr>
        <w:t xml:space="preserve"> </w:t>
      </w:r>
      <w:r>
        <w:rPr>
          <w:color w:val="000000"/>
        </w:rPr>
        <w:t>+</w:t>
      </w:r>
      <w:r w:rsidR="00BF059B">
        <w:rPr>
          <w:color w:val="000000"/>
        </w:rPr>
        <w:t xml:space="preserve"> </w:t>
      </w:r>
      <w:r>
        <w:rPr>
          <w:color w:val="000000"/>
        </w:rPr>
        <w:t>Heritage</w:t>
      </w:r>
      <w:r w:rsidR="00BF059B">
        <w:rPr>
          <w:color w:val="000000"/>
        </w:rPr>
        <w:t xml:space="preserve"> </w:t>
      </w:r>
      <w:r>
        <w:rPr>
          <w:color w:val="000000"/>
        </w:rPr>
        <w:t>Awards</w:t>
      </w:r>
      <w:r w:rsidR="00BF059B">
        <w:rPr>
          <w:color w:val="000000"/>
        </w:rPr>
        <w:t xml:space="preserve"> </w:t>
      </w:r>
      <w:r>
        <w:rPr>
          <w:color w:val="000000"/>
        </w:rPr>
        <w:t>exhibition</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year</w:t>
      </w:r>
      <w:r w:rsidR="00BF059B">
        <w:rPr>
          <w:color w:val="000000"/>
        </w:rPr>
        <w:t xml:space="preserve"> </w:t>
      </w:r>
      <w:r>
        <w:rPr>
          <w:color w:val="000000"/>
        </w:rPr>
        <w:t>in</w:t>
      </w:r>
      <w:r w:rsidR="00BF059B">
        <w:rPr>
          <w:color w:val="000000"/>
        </w:rPr>
        <w:t xml:space="preserve"> </w:t>
      </w:r>
      <w:r>
        <w:rPr>
          <w:color w:val="000000"/>
        </w:rPr>
        <w:t>the</w:t>
      </w:r>
      <w:r w:rsidR="00BF059B">
        <w:rPr>
          <w:color w:val="000000"/>
        </w:rPr>
        <w:t xml:space="preserve"> </w:t>
      </w:r>
      <w:r>
        <w:rPr>
          <w:color w:val="000000"/>
        </w:rPr>
        <w:t>under</w:t>
      </w:r>
      <w:r w:rsidR="00BF059B">
        <w:rPr>
          <w:color w:val="000000"/>
        </w:rPr>
        <w:t xml:space="preserve"> </w:t>
      </w:r>
      <w:r>
        <w:rPr>
          <w:color w:val="000000"/>
        </w:rPr>
        <w:t>£80k</w:t>
      </w:r>
      <w:r w:rsidR="00BF059B">
        <w:rPr>
          <w:color w:val="000000"/>
        </w:rPr>
        <w:t xml:space="preserve"> </w:t>
      </w:r>
      <w:r>
        <w:rPr>
          <w:color w:val="000000"/>
        </w:rPr>
        <w:t>category.</w:t>
      </w:r>
      <w:r w:rsidR="00BF059B">
        <w:rPr>
          <w:color w:val="000000"/>
        </w:rPr>
        <w:t xml:space="preserve"> </w:t>
      </w:r>
      <w:r>
        <w:rPr>
          <w:color w:val="000000"/>
        </w:rPr>
        <w:t>The</w:t>
      </w:r>
      <w:r w:rsidR="00BF059B">
        <w:rPr>
          <w:color w:val="000000"/>
        </w:rPr>
        <w:t xml:space="preserve"> </w:t>
      </w:r>
      <w:r>
        <w:rPr>
          <w:color w:val="000000"/>
        </w:rPr>
        <w:t>external</w:t>
      </w:r>
      <w:r w:rsidR="00BF059B">
        <w:rPr>
          <w:color w:val="000000"/>
        </w:rPr>
        <w:t xml:space="preserve"> </w:t>
      </w:r>
      <w:r>
        <w:rPr>
          <w:color w:val="000000"/>
        </w:rPr>
        <w:t>exhibition</w:t>
      </w:r>
      <w:r w:rsidR="00BF059B">
        <w:rPr>
          <w:color w:val="000000"/>
        </w:rPr>
        <w:t xml:space="preserve"> </w:t>
      </w:r>
      <w:r>
        <w:rPr>
          <w:color w:val="000000"/>
        </w:rPr>
        <w:t>evaluation</w:t>
      </w:r>
      <w:r w:rsidR="00BF059B">
        <w:rPr>
          <w:color w:val="000000"/>
        </w:rPr>
        <w:t xml:space="preserve"> </w:t>
      </w:r>
      <w:r>
        <w:rPr>
          <w:color w:val="000000"/>
        </w:rPr>
        <w:t>was</w:t>
      </w:r>
      <w:r w:rsidR="00BF059B">
        <w:rPr>
          <w:color w:val="000000"/>
        </w:rPr>
        <w:t xml:space="preserve"> </w:t>
      </w:r>
      <w:r>
        <w:rPr>
          <w:color w:val="000000"/>
        </w:rPr>
        <w:t>incredibly</w:t>
      </w:r>
      <w:r w:rsidR="00BF059B">
        <w:rPr>
          <w:color w:val="000000"/>
        </w:rPr>
        <w:t xml:space="preserve"> </w:t>
      </w:r>
      <w:r>
        <w:rPr>
          <w:color w:val="000000"/>
        </w:rPr>
        <w:t>positive.</w:t>
      </w:r>
      <w:r w:rsidR="00BF059B">
        <w:rPr>
          <w:color w:val="000000"/>
        </w:rPr>
        <w:t xml:space="preserve"> </w:t>
      </w:r>
      <w:r>
        <w:rPr>
          <w:color w:val="000000"/>
        </w:rPr>
        <w:t>Co-curators</w:t>
      </w:r>
      <w:r w:rsidR="00BF059B">
        <w:rPr>
          <w:color w:val="000000"/>
        </w:rPr>
        <w:t xml:space="preserve"> </w:t>
      </w:r>
      <w:r>
        <w:rPr>
          <w:color w:val="000000"/>
        </w:rPr>
        <w:t>felt</w:t>
      </w:r>
      <w:r w:rsidR="00BF059B">
        <w:rPr>
          <w:color w:val="000000"/>
        </w:rPr>
        <w:t xml:space="preserve"> </w:t>
      </w:r>
      <w:r>
        <w:rPr>
          <w:color w:val="000000"/>
        </w:rPr>
        <w:t>the</w:t>
      </w:r>
      <w:r w:rsidR="00BF059B">
        <w:rPr>
          <w:color w:val="000000"/>
        </w:rPr>
        <w:t xml:space="preserve"> </w:t>
      </w:r>
      <w:r>
        <w:rPr>
          <w:color w:val="000000"/>
        </w:rPr>
        <w:t>project</w:t>
      </w:r>
      <w:r w:rsidR="00BF059B">
        <w:rPr>
          <w:color w:val="000000"/>
        </w:rPr>
        <w:t xml:space="preserve"> </w:t>
      </w:r>
      <w:r>
        <w:rPr>
          <w:color w:val="000000"/>
        </w:rPr>
        <w:t>was</w:t>
      </w:r>
      <w:r w:rsidR="00BF059B">
        <w:rPr>
          <w:color w:val="000000"/>
        </w:rPr>
        <w:t xml:space="preserve"> </w:t>
      </w:r>
      <w:r>
        <w:rPr>
          <w:color w:val="000000"/>
        </w:rPr>
        <w:t>delivered</w:t>
      </w:r>
      <w:r w:rsidR="00BF059B">
        <w:rPr>
          <w:color w:val="000000"/>
        </w:rPr>
        <w:t xml:space="preserve"> </w:t>
      </w:r>
      <w:r>
        <w:rPr>
          <w:color w:val="000000"/>
        </w:rPr>
        <w:t>with</w:t>
      </w:r>
      <w:r w:rsidR="00BF059B">
        <w:rPr>
          <w:color w:val="000000"/>
        </w:rPr>
        <w:t xml:space="preserve"> </w:t>
      </w:r>
      <w:r>
        <w:rPr>
          <w:color w:val="000000"/>
        </w:rPr>
        <w:t>care</w:t>
      </w:r>
      <w:r w:rsidR="00BF059B">
        <w:rPr>
          <w:color w:val="000000"/>
        </w:rPr>
        <w:t xml:space="preserve"> </w:t>
      </w:r>
      <w:r>
        <w:rPr>
          <w:color w:val="000000"/>
        </w:rPr>
        <w:t>and</w:t>
      </w:r>
      <w:r w:rsidR="00BF059B">
        <w:rPr>
          <w:color w:val="000000"/>
        </w:rPr>
        <w:t xml:space="preserve"> </w:t>
      </w:r>
      <w:r>
        <w:rPr>
          <w:color w:val="000000"/>
        </w:rPr>
        <w:t>awareness</w:t>
      </w:r>
      <w:r w:rsidR="00BF059B">
        <w:rPr>
          <w:color w:val="000000"/>
        </w:rPr>
        <w:t xml:space="preserve"> </w:t>
      </w:r>
      <w:r>
        <w:rPr>
          <w:color w:val="000000"/>
        </w:rPr>
        <w:t>of</w:t>
      </w:r>
      <w:r w:rsidR="00BF059B">
        <w:rPr>
          <w:color w:val="000000"/>
        </w:rPr>
        <w:t xml:space="preserve"> </w:t>
      </w:r>
      <w:r>
        <w:rPr>
          <w:color w:val="000000"/>
        </w:rPr>
        <w:t>their</w:t>
      </w:r>
      <w:r w:rsidR="00BF059B">
        <w:rPr>
          <w:color w:val="000000"/>
        </w:rPr>
        <w:t xml:space="preserve"> </w:t>
      </w:r>
      <w:r>
        <w:rPr>
          <w:color w:val="000000"/>
        </w:rPr>
        <w:t>wants</w:t>
      </w:r>
      <w:r w:rsidR="00BF059B">
        <w:rPr>
          <w:color w:val="000000"/>
        </w:rPr>
        <w:t xml:space="preserve"> </w:t>
      </w:r>
      <w:r>
        <w:rPr>
          <w:color w:val="000000"/>
        </w:rPr>
        <w:t>and</w:t>
      </w:r>
      <w:r w:rsidR="00BF059B">
        <w:rPr>
          <w:color w:val="000000"/>
        </w:rPr>
        <w:t xml:space="preserve"> </w:t>
      </w:r>
      <w:r>
        <w:rPr>
          <w:color w:val="000000"/>
        </w:rPr>
        <w:t>needs.</w:t>
      </w:r>
      <w:r w:rsidR="00BF059B">
        <w:rPr>
          <w:color w:val="000000"/>
        </w:rPr>
        <w:t xml:space="preserve"> </w:t>
      </w:r>
      <w:r>
        <w:rPr>
          <w:color w:val="000000"/>
        </w:rPr>
        <w:t>Visitors</w:t>
      </w:r>
      <w:r w:rsidR="00BF059B">
        <w:rPr>
          <w:color w:val="000000"/>
        </w:rPr>
        <w:t xml:space="preserve"> </w:t>
      </w:r>
      <w:r>
        <w:rPr>
          <w:color w:val="000000"/>
        </w:rPr>
        <w:t>felt</w:t>
      </w:r>
      <w:r w:rsidR="00BF059B">
        <w:rPr>
          <w:color w:val="000000"/>
        </w:rPr>
        <w:t xml:space="preserve"> </w:t>
      </w:r>
      <w:r>
        <w:rPr>
          <w:color w:val="000000"/>
        </w:rPr>
        <w:t>that</w:t>
      </w:r>
      <w:r w:rsidR="00BF059B">
        <w:rPr>
          <w:color w:val="000000"/>
        </w:rPr>
        <w:t xml:space="preserve"> </w:t>
      </w:r>
      <w:r>
        <w:rPr>
          <w:color w:val="000000"/>
        </w:rPr>
        <w:t>the</w:t>
      </w:r>
      <w:r w:rsidR="00BF059B">
        <w:rPr>
          <w:color w:val="000000"/>
        </w:rPr>
        <w:t xml:space="preserve"> </w:t>
      </w:r>
      <w:r>
        <w:rPr>
          <w:color w:val="000000"/>
        </w:rPr>
        <w:t>exhibition</w:t>
      </w:r>
      <w:r w:rsidR="00BF059B">
        <w:rPr>
          <w:color w:val="000000"/>
        </w:rPr>
        <w:t xml:space="preserve"> </w:t>
      </w:r>
      <w:r>
        <w:rPr>
          <w:color w:val="000000"/>
        </w:rPr>
        <w:t>was</w:t>
      </w:r>
      <w:r w:rsidR="00BF059B">
        <w:rPr>
          <w:color w:val="000000"/>
        </w:rPr>
        <w:t xml:space="preserve"> </w:t>
      </w:r>
      <w:r>
        <w:rPr>
          <w:color w:val="000000"/>
        </w:rPr>
        <w:t>informative,</w:t>
      </w:r>
      <w:r w:rsidR="00BF059B">
        <w:rPr>
          <w:color w:val="000000"/>
        </w:rPr>
        <w:t xml:space="preserve"> </w:t>
      </w:r>
      <w:r>
        <w:rPr>
          <w:color w:val="000000"/>
        </w:rPr>
        <w:t>appreciated</w:t>
      </w:r>
      <w:r w:rsidR="00BF059B">
        <w:rPr>
          <w:color w:val="000000"/>
        </w:rPr>
        <w:t xml:space="preserve"> </w:t>
      </w:r>
      <w:r>
        <w:rPr>
          <w:color w:val="000000"/>
        </w:rPr>
        <w:t>seeing</w:t>
      </w:r>
      <w:r w:rsidR="00BF059B">
        <w:rPr>
          <w:color w:val="000000"/>
        </w:rPr>
        <w:t xml:space="preserve"> </w:t>
      </w:r>
      <w:r>
        <w:rPr>
          <w:color w:val="000000"/>
        </w:rPr>
        <w:t>a</w:t>
      </w:r>
      <w:r w:rsidR="00BF059B">
        <w:rPr>
          <w:color w:val="000000"/>
        </w:rPr>
        <w:t xml:space="preserve"> </w:t>
      </w:r>
      <w:r>
        <w:rPr>
          <w:color w:val="000000"/>
        </w:rPr>
        <w:t>multitude</w:t>
      </w:r>
      <w:r w:rsidR="00BF059B">
        <w:rPr>
          <w:color w:val="000000"/>
        </w:rPr>
        <w:t xml:space="preserve"> </w:t>
      </w:r>
      <w:r>
        <w:rPr>
          <w:color w:val="000000"/>
        </w:rPr>
        <w:t>of</w:t>
      </w:r>
      <w:r w:rsidR="00BF059B">
        <w:rPr>
          <w:color w:val="000000"/>
        </w:rPr>
        <w:t xml:space="preserve"> </w:t>
      </w:r>
      <w:r>
        <w:rPr>
          <w:color w:val="000000"/>
        </w:rPr>
        <w:t>perspectives</w:t>
      </w:r>
      <w:r w:rsidR="00BF059B">
        <w:rPr>
          <w:color w:val="000000"/>
        </w:rPr>
        <w:t xml:space="preserve"> </w:t>
      </w:r>
      <w:r>
        <w:rPr>
          <w:color w:val="000000"/>
        </w:rPr>
        <w:t>and</w:t>
      </w:r>
      <w:r w:rsidR="00BF059B">
        <w:rPr>
          <w:color w:val="000000"/>
        </w:rPr>
        <w:t xml:space="preserve"> </w:t>
      </w:r>
      <w:r>
        <w:rPr>
          <w:color w:val="000000"/>
        </w:rPr>
        <w:t>cited</w:t>
      </w:r>
      <w:r w:rsidR="00BF059B">
        <w:rPr>
          <w:color w:val="000000"/>
        </w:rPr>
        <w:t xml:space="preserve"> </w:t>
      </w:r>
      <w:r>
        <w:rPr>
          <w:color w:val="000000"/>
        </w:rPr>
        <w:t>that</w:t>
      </w:r>
      <w:r w:rsidR="00BF059B">
        <w:rPr>
          <w:color w:val="000000"/>
        </w:rPr>
        <w:t xml:space="preserve"> </w:t>
      </w:r>
      <w:r>
        <w:rPr>
          <w:color w:val="000000"/>
        </w:rPr>
        <w:t>our</w:t>
      </w:r>
      <w:r w:rsidR="00BF059B">
        <w:rPr>
          <w:color w:val="000000"/>
        </w:rPr>
        <w:t xml:space="preserve"> </w:t>
      </w:r>
      <w:r>
        <w:rPr>
          <w:color w:val="000000"/>
        </w:rPr>
        <w:t>approach</w:t>
      </w:r>
      <w:r w:rsidR="00BF059B">
        <w:rPr>
          <w:color w:val="000000"/>
        </w:rPr>
        <w:t xml:space="preserve"> </w:t>
      </w:r>
      <w:r>
        <w:rPr>
          <w:color w:val="000000"/>
        </w:rPr>
        <w:t>was</w:t>
      </w:r>
      <w:r w:rsidR="00BF059B">
        <w:rPr>
          <w:color w:val="000000"/>
        </w:rPr>
        <w:t xml:space="preserve"> </w:t>
      </w:r>
      <w:r>
        <w:rPr>
          <w:color w:val="000000"/>
        </w:rPr>
        <w:t>‘brave’.</w:t>
      </w:r>
      <w:r w:rsidR="00BF059B">
        <w:rPr>
          <w:color w:val="000000"/>
        </w:rPr>
        <w:t xml:space="preserve"> </w:t>
      </w:r>
      <w:r>
        <w:rPr>
          <w:color w:val="000000"/>
        </w:rPr>
        <w:t>The</w:t>
      </w:r>
      <w:r w:rsidR="00BF059B">
        <w:rPr>
          <w:color w:val="000000"/>
        </w:rPr>
        <w:t xml:space="preserve"> </w:t>
      </w:r>
      <w:r>
        <w:rPr>
          <w:color w:val="000000"/>
        </w:rPr>
        <w:t>legacy</w:t>
      </w:r>
      <w:r w:rsidR="00BF059B">
        <w:rPr>
          <w:color w:val="000000"/>
        </w:rPr>
        <w:t xml:space="preserve"> </w:t>
      </w:r>
      <w:r>
        <w:rPr>
          <w:color w:val="000000"/>
        </w:rPr>
        <w:t>of</w:t>
      </w:r>
      <w:r w:rsidR="00BF059B">
        <w:rPr>
          <w:color w:val="000000"/>
        </w:rPr>
        <w:t xml:space="preserve"> </w:t>
      </w:r>
      <w:r>
        <w:rPr>
          <w:color w:val="000000"/>
        </w:rPr>
        <w:t>this</w:t>
      </w:r>
      <w:r w:rsidR="00BF059B">
        <w:rPr>
          <w:color w:val="000000"/>
        </w:rPr>
        <w:t xml:space="preserve"> </w:t>
      </w:r>
      <w:r>
        <w:rPr>
          <w:color w:val="000000"/>
        </w:rPr>
        <w:t>exhibition,</w:t>
      </w:r>
      <w:r w:rsidR="00BF059B">
        <w:rPr>
          <w:color w:val="000000"/>
        </w:rPr>
        <w:t xml:space="preserve"> </w:t>
      </w:r>
      <w:r>
        <w:rPr>
          <w:color w:val="000000"/>
        </w:rPr>
        <w:t>which</w:t>
      </w:r>
      <w:r w:rsidR="00BF059B">
        <w:rPr>
          <w:color w:val="000000"/>
        </w:rPr>
        <w:t xml:space="preserve"> </w:t>
      </w:r>
      <w:r>
        <w:rPr>
          <w:color w:val="000000"/>
        </w:rPr>
        <w:t>is</w:t>
      </w:r>
      <w:r w:rsidR="00BF059B">
        <w:rPr>
          <w:color w:val="000000"/>
        </w:rPr>
        <w:t xml:space="preserve"> </w:t>
      </w:r>
      <w:r>
        <w:rPr>
          <w:color w:val="000000"/>
        </w:rPr>
        <w:t>so</w:t>
      </w:r>
      <w:r w:rsidR="00BF059B">
        <w:rPr>
          <w:color w:val="000000"/>
        </w:rPr>
        <w:t xml:space="preserve"> </w:t>
      </w:r>
      <w:r>
        <w:rPr>
          <w:color w:val="000000"/>
        </w:rPr>
        <w:t>central</w:t>
      </w:r>
      <w:r w:rsidR="00BF059B">
        <w:rPr>
          <w:color w:val="000000"/>
        </w:rPr>
        <w:t xml:space="preserve"> </w:t>
      </w:r>
      <w:r>
        <w:rPr>
          <w:color w:val="000000"/>
        </w:rPr>
        <w:t>to</w:t>
      </w:r>
      <w:r w:rsidR="00BF059B">
        <w:rPr>
          <w:color w:val="000000"/>
        </w:rPr>
        <w:t xml:space="preserve"> </w:t>
      </w:r>
      <w:r>
        <w:rPr>
          <w:color w:val="000000"/>
        </w:rPr>
        <w:t>the</w:t>
      </w:r>
      <w:r w:rsidR="00BF059B">
        <w:rPr>
          <w:color w:val="000000"/>
        </w:rPr>
        <w:t xml:space="preserve"> </w:t>
      </w:r>
      <w:r>
        <w:rPr>
          <w:color w:val="000000"/>
        </w:rPr>
        <w:t>founding</w:t>
      </w:r>
      <w:r w:rsidR="00BF059B">
        <w:rPr>
          <w:color w:val="000000"/>
        </w:rPr>
        <w:t xml:space="preserve"> </w:t>
      </w:r>
      <w:r>
        <w:rPr>
          <w:color w:val="000000"/>
        </w:rPr>
        <w:t>story</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Horniman,</w:t>
      </w:r>
      <w:r w:rsidR="00BF059B">
        <w:rPr>
          <w:color w:val="000000"/>
        </w:rPr>
        <w:t xml:space="preserve"> </w:t>
      </w:r>
      <w:r>
        <w:rPr>
          <w:color w:val="000000"/>
        </w:rPr>
        <w:t>has</w:t>
      </w:r>
      <w:r w:rsidR="00BF059B">
        <w:rPr>
          <w:color w:val="000000"/>
        </w:rPr>
        <w:t xml:space="preserve"> </w:t>
      </w:r>
      <w:r>
        <w:rPr>
          <w:color w:val="000000"/>
        </w:rPr>
        <w:t>included</w:t>
      </w:r>
      <w:r w:rsidR="00BF059B">
        <w:rPr>
          <w:color w:val="000000"/>
        </w:rPr>
        <w:t xml:space="preserve"> </w:t>
      </w:r>
      <w:r>
        <w:rPr>
          <w:color w:val="000000"/>
        </w:rPr>
        <w:t>language</w:t>
      </w:r>
      <w:r w:rsidR="00BF059B">
        <w:rPr>
          <w:color w:val="000000"/>
        </w:rPr>
        <w:t xml:space="preserve"> </w:t>
      </w:r>
      <w:r>
        <w:rPr>
          <w:color w:val="000000"/>
        </w:rPr>
        <w:t>tours</w:t>
      </w:r>
      <w:r w:rsidR="00BF059B">
        <w:rPr>
          <w:color w:val="000000"/>
        </w:rPr>
        <w:t xml:space="preserve"> </w:t>
      </w:r>
      <w:r>
        <w:rPr>
          <w:color w:val="000000"/>
        </w:rPr>
        <w:t>in</w:t>
      </w:r>
      <w:r w:rsidR="00BF059B">
        <w:rPr>
          <w:color w:val="000000"/>
        </w:rPr>
        <w:t xml:space="preserve"> </w:t>
      </w:r>
      <w:r>
        <w:rPr>
          <w:color w:val="000000"/>
        </w:rPr>
        <w:t>Mandarin</w:t>
      </w:r>
      <w:r w:rsidR="00BF059B">
        <w:rPr>
          <w:color w:val="000000"/>
        </w:rPr>
        <w:t xml:space="preserve"> </w:t>
      </w:r>
      <w:r>
        <w:rPr>
          <w:color w:val="000000"/>
        </w:rPr>
        <w:t>and</w:t>
      </w:r>
      <w:r w:rsidR="00BF059B">
        <w:rPr>
          <w:color w:val="000000"/>
        </w:rPr>
        <w:t xml:space="preserve"> </w:t>
      </w:r>
      <w:r>
        <w:rPr>
          <w:color w:val="000000"/>
        </w:rPr>
        <w:t>Cantonese</w:t>
      </w:r>
      <w:r w:rsidR="00BF059B">
        <w:rPr>
          <w:color w:val="000000"/>
        </w:rPr>
        <w:t xml:space="preserve"> </w:t>
      </w:r>
      <w:r>
        <w:rPr>
          <w:color w:val="000000"/>
        </w:rPr>
        <w:t>which</w:t>
      </w:r>
      <w:r w:rsidR="00BF059B">
        <w:rPr>
          <w:color w:val="000000"/>
        </w:rPr>
        <w:t xml:space="preserve"> </w:t>
      </w:r>
      <w:r>
        <w:rPr>
          <w:color w:val="000000"/>
        </w:rPr>
        <w:t>will</w:t>
      </w:r>
      <w:r w:rsidR="00BF059B">
        <w:rPr>
          <w:color w:val="000000"/>
        </w:rPr>
        <w:t xml:space="preserve"> </w:t>
      </w:r>
      <w:r>
        <w:rPr>
          <w:color w:val="000000"/>
        </w:rPr>
        <w:t>ensure</w:t>
      </w:r>
      <w:r w:rsidR="00BF059B">
        <w:rPr>
          <w:color w:val="000000"/>
        </w:rPr>
        <w:t xml:space="preserve"> </w:t>
      </w:r>
      <w:r>
        <w:rPr>
          <w:color w:val="000000"/>
        </w:rPr>
        <w:t>the</w:t>
      </w:r>
      <w:r w:rsidR="00BF059B">
        <w:rPr>
          <w:color w:val="000000"/>
        </w:rPr>
        <w:t xml:space="preserve"> </w:t>
      </w:r>
      <w:r>
        <w:rPr>
          <w:color w:val="000000"/>
        </w:rPr>
        <w:t>exhibition</w:t>
      </w:r>
      <w:r w:rsidR="00BF059B">
        <w:rPr>
          <w:color w:val="000000"/>
        </w:rPr>
        <w:t xml:space="preserve"> </w:t>
      </w:r>
      <w:r>
        <w:rPr>
          <w:color w:val="000000"/>
        </w:rPr>
        <w:t>content</w:t>
      </w:r>
      <w:r w:rsidR="00BF059B">
        <w:rPr>
          <w:color w:val="000000"/>
        </w:rPr>
        <w:t xml:space="preserve"> </w:t>
      </w:r>
      <w:r>
        <w:rPr>
          <w:color w:val="000000"/>
        </w:rPr>
        <w:t>continues</w:t>
      </w:r>
      <w:r w:rsidR="00BF059B">
        <w:rPr>
          <w:color w:val="000000"/>
        </w:rPr>
        <w:t xml:space="preserve"> </w:t>
      </w:r>
      <w:r>
        <w:rPr>
          <w:color w:val="000000"/>
        </w:rPr>
        <w:t>to</w:t>
      </w:r>
      <w:r w:rsidR="00BF059B">
        <w:rPr>
          <w:color w:val="000000"/>
        </w:rPr>
        <w:t xml:space="preserve"> </w:t>
      </w:r>
      <w:r>
        <w:rPr>
          <w:color w:val="000000"/>
        </w:rPr>
        <w:t>be</w:t>
      </w:r>
      <w:r w:rsidR="00BF059B">
        <w:rPr>
          <w:color w:val="000000"/>
        </w:rPr>
        <w:t xml:space="preserve"> </w:t>
      </w:r>
      <w:r>
        <w:rPr>
          <w:color w:val="000000"/>
        </w:rPr>
        <w:t>accessible</w:t>
      </w:r>
      <w:r w:rsidR="00BF059B">
        <w:rPr>
          <w:color w:val="000000"/>
        </w:rPr>
        <w:t xml:space="preserve"> </w:t>
      </w:r>
      <w:r>
        <w:rPr>
          <w:color w:val="000000"/>
        </w:rPr>
        <w:t>to</w:t>
      </w:r>
      <w:r w:rsidR="00BF059B">
        <w:rPr>
          <w:color w:val="000000"/>
        </w:rPr>
        <w:t xml:space="preserve"> </w:t>
      </w:r>
      <w:r>
        <w:rPr>
          <w:color w:val="000000"/>
        </w:rPr>
        <w:t>the</w:t>
      </w:r>
      <w:r w:rsidR="00BF059B">
        <w:rPr>
          <w:color w:val="000000"/>
        </w:rPr>
        <w:t xml:space="preserve"> </w:t>
      </w:r>
      <w:r>
        <w:rPr>
          <w:color w:val="000000"/>
        </w:rPr>
        <w:t>source</w:t>
      </w:r>
      <w:r w:rsidR="00BF059B">
        <w:rPr>
          <w:color w:val="000000"/>
        </w:rPr>
        <w:t xml:space="preserve"> </w:t>
      </w:r>
      <w:r>
        <w:rPr>
          <w:color w:val="000000"/>
        </w:rPr>
        <w:t>and</w:t>
      </w:r>
      <w:r w:rsidR="00BF059B">
        <w:rPr>
          <w:color w:val="000000"/>
        </w:rPr>
        <w:t xml:space="preserve"> </w:t>
      </w:r>
      <w:r>
        <w:rPr>
          <w:color w:val="000000"/>
        </w:rPr>
        <w:t>diaspora</w:t>
      </w:r>
      <w:r w:rsidR="00BF059B">
        <w:rPr>
          <w:color w:val="000000"/>
        </w:rPr>
        <w:t xml:space="preserve"> </w:t>
      </w:r>
      <w:r>
        <w:rPr>
          <w:color w:val="000000"/>
        </w:rPr>
        <w:t>communities</w:t>
      </w:r>
      <w:r w:rsidR="00BF059B">
        <w:rPr>
          <w:color w:val="000000"/>
        </w:rPr>
        <w:t xml:space="preserve"> </w:t>
      </w:r>
      <w:r>
        <w:rPr>
          <w:color w:val="000000"/>
        </w:rPr>
        <w:t>that</w:t>
      </w:r>
      <w:r w:rsidR="00BF059B">
        <w:rPr>
          <w:color w:val="000000"/>
        </w:rPr>
        <w:t xml:space="preserve"> </w:t>
      </w:r>
      <w:r>
        <w:rPr>
          <w:color w:val="000000"/>
        </w:rPr>
        <w:t>played</w:t>
      </w:r>
      <w:r w:rsidR="00BF059B">
        <w:rPr>
          <w:color w:val="000000"/>
        </w:rPr>
        <w:t xml:space="preserve"> </w:t>
      </w:r>
      <w:r>
        <w:rPr>
          <w:color w:val="000000"/>
        </w:rPr>
        <w:t>a</w:t>
      </w:r>
      <w:r w:rsidR="00BF059B">
        <w:rPr>
          <w:color w:val="000000"/>
        </w:rPr>
        <w:t xml:space="preserve"> </w:t>
      </w:r>
      <w:r>
        <w:rPr>
          <w:color w:val="000000"/>
        </w:rPr>
        <w:t>role</w:t>
      </w:r>
      <w:r w:rsidR="00BF059B">
        <w:rPr>
          <w:color w:val="000000"/>
        </w:rPr>
        <w:t xml:space="preserve"> </w:t>
      </w:r>
      <w:r>
        <w:rPr>
          <w:color w:val="000000"/>
        </w:rPr>
        <w:t>in</w:t>
      </w:r>
      <w:r w:rsidR="00BF059B">
        <w:rPr>
          <w:color w:val="000000"/>
        </w:rPr>
        <w:t xml:space="preserve"> </w:t>
      </w:r>
      <w:r>
        <w:rPr>
          <w:color w:val="000000"/>
        </w:rPr>
        <w:t>its</w:t>
      </w:r>
      <w:r w:rsidR="00BF059B">
        <w:rPr>
          <w:color w:val="000000"/>
        </w:rPr>
        <w:t xml:space="preserve"> </w:t>
      </w:r>
      <w:r>
        <w:rPr>
          <w:color w:val="000000"/>
        </w:rPr>
        <w:t>development,</w:t>
      </w:r>
      <w:r w:rsidR="00BF059B">
        <w:rPr>
          <w:color w:val="000000"/>
        </w:rPr>
        <w:t xml:space="preserve"> </w:t>
      </w:r>
      <w:r>
        <w:rPr>
          <w:color w:val="000000"/>
        </w:rPr>
        <w:t>ongoing</w:t>
      </w:r>
      <w:r w:rsidR="00BF059B">
        <w:rPr>
          <w:color w:val="000000"/>
        </w:rPr>
        <w:t xml:space="preserve"> </w:t>
      </w:r>
      <w:r>
        <w:rPr>
          <w:color w:val="000000"/>
        </w:rPr>
        <w:t>programming</w:t>
      </w:r>
      <w:r w:rsidR="00BF059B">
        <w:rPr>
          <w:color w:val="000000"/>
        </w:rPr>
        <w:t xml:space="preserve"> </w:t>
      </w:r>
      <w:r>
        <w:rPr>
          <w:color w:val="000000"/>
        </w:rPr>
        <w:t>including</w:t>
      </w:r>
      <w:r w:rsidR="00BF059B">
        <w:rPr>
          <w:color w:val="000000"/>
        </w:rPr>
        <w:t xml:space="preserve"> </w:t>
      </w:r>
      <w:r>
        <w:rPr>
          <w:color w:val="000000"/>
        </w:rPr>
        <w:t>talks</w:t>
      </w:r>
      <w:r w:rsidR="00BF059B">
        <w:rPr>
          <w:color w:val="000000"/>
        </w:rPr>
        <w:t xml:space="preserve"> </w:t>
      </w:r>
      <w:r>
        <w:rPr>
          <w:color w:val="000000"/>
        </w:rPr>
        <w:t>and</w:t>
      </w:r>
      <w:r w:rsidR="00BF059B">
        <w:rPr>
          <w:color w:val="000000"/>
        </w:rPr>
        <w:t xml:space="preserve"> </w:t>
      </w:r>
      <w:r>
        <w:rPr>
          <w:color w:val="000000"/>
        </w:rPr>
        <w:t>tea</w:t>
      </w:r>
      <w:r w:rsidR="00BF059B">
        <w:rPr>
          <w:color w:val="000000"/>
        </w:rPr>
        <w:t xml:space="preserve"> </w:t>
      </w:r>
      <w:r>
        <w:rPr>
          <w:color w:val="000000"/>
        </w:rPr>
        <w:t>tastings,</w:t>
      </w:r>
      <w:r w:rsidR="00BF059B">
        <w:rPr>
          <w:color w:val="000000"/>
        </w:rPr>
        <w:t xml:space="preserve"> </w:t>
      </w:r>
      <w:r>
        <w:rPr>
          <w:color w:val="000000"/>
        </w:rPr>
        <w:t>a</w:t>
      </w:r>
      <w:r w:rsidR="00BF059B">
        <w:rPr>
          <w:color w:val="000000"/>
        </w:rPr>
        <w:t xml:space="preserve"> </w:t>
      </w:r>
      <w:r>
        <w:rPr>
          <w:color w:val="000000"/>
        </w:rPr>
        <w:t>publication</w:t>
      </w:r>
      <w:r w:rsidR="00BF059B">
        <w:rPr>
          <w:color w:val="000000"/>
        </w:rPr>
        <w:t xml:space="preserve"> </w:t>
      </w:r>
      <w:r>
        <w:rPr>
          <w:color w:val="000000"/>
        </w:rPr>
        <w:t>and</w:t>
      </w:r>
      <w:r w:rsidR="00BF059B">
        <w:rPr>
          <w:color w:val="000000"/>
        </w:rPr>
        <w:t xml:space="preserve"> </w:t>
      </w:r>
      <w:r>
        <w:rPr>
          <w:color w:val="000000"/>
        </w:rPr>
        <w:t>symposium</w:t>
      </w:r>
      <w:r w:rsidR="00BF059B">
        <w:rPr>
          <w:color w:val="000000"/>
        </w:rPr>
        <w:t xml:space="preserve"> </w:t>
      </w:r>
      <w:r>
        <w:rPr>
          <w:color w:val="000000"/>
        </w:rPr>
        <w:t>with</w:t>
      </w:r>
      <w:r w:rsidR="00BF059B">
        <w:rPr>
          <w:color w:val="000000"/>
        </w:rPr>
        <w:t xml:space="preserve"> </w:t>
      </w:r>
      <w:r>
        <w:rPr>
          <w:color w:val="000000"/>
        </w:rPr>
        <w:t>the</w:t>
      </w:r>
      <w:r w:rsidR="00BF059B">
        <w:rPr>
          <w:color w:val="000000"/>
        </w:rPr>
        <w:t xml:space="preserve"> </w:t>
      </w:r>
      <w:r>
        <w:rPr>
          <w:color w:val="000000"/>
        </w:rPr>
        <w:t>University</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Arts;</w:t>
      </w:r>
      <w:r w:rsidR="00BF059B">
        <w:rPr>
          <w:color w:val="000000"/>
        </w:rPr>
        <w:t xml:space="preserve"> </w:t>
      </w:r>
      <w:r>
        <w:rPr>
          <w:color w:val="000000"/>
        </w:rPr>
        <w:t>research</w:t>
      </w:r>
      <w:r w:rsidR="00BF059B">
        <w:rPr>
          <w:color w:val="000000"/>
        </w:rPr>
        <w:t xml:space="preserve"> </w:t>
      </w:r>
      <w:r>
        <w:rPr>
          <w:color w:val="000000"/>
        </w:rPr>
        <w:t>and</w:t>
      </w:r>
      <w:r w:rsidR="00BF059B">
        <w:rPr>
          <w:color w:val="000000"/>
        </w:rPr>
        <w:t xml:space="preserve"> </w:t>
      </w:r>
      <w:r>
        <w:rPr>
          <w:color w:val="000000"/>
        </w:rPr>
        <w:t>translation</w:t>
      </w:r>
      <w:r w:rsidR="00BF059B">
        <w:rPr>
          <w:color w:val="000000"/>
        </w:rPr>
        <w:t xml:space="preserve"> </w:t>
      </w:r>
      <w:r>
        <w:rPr>
          <w:color w:val="000000"/>
        </w:rPr>
        <w:t>to</w:t>
      </w:r>
      <w:r w:rsidR="00BF059B">
        <w:rPr>
          <w:color w:val="000000"/>
        </w:rPr>
        <w:t xml:space="preserve"> </w:t>
      </w:r>
      <w:r>
        <w:rPr>
          <w:color w:val="000000"/>
        </w:rPr>
        <w:t>improve</w:t>
      </w:r>
      <w:r w:rsidR="00BF059B">
        <w:rPr>
          <w:color w:val="000000"/>
        </w:rPr>
        <w:t xml:space="preserve"> </w:t>
      </w:r>
      <w:r>
        <w:rPr>
          <w:color w:val="000000"/>
        </w:rPr>
        <w:t>our</w:t>
      </w:r>
      <w:r w:rsidR="00BF059B">
        <w:rPr>
          <w:color w:val="000000"/>
        </w:rPr>
        <w:t xml:space="preserve"> </w:t>
      </w:r>
      <w:r>
        <w:rPr>
          <w:color w:val="000000"/>
        </w:rPr>
        <w:t>knowledge</w:t>
      </w:r>
      <w:r w:rsidR="00BF059B">
        <w:rPr>
          <w:color w:val="000000"/>
        </w:rPr>
        <w:t xml:space="preserve"> </w:t>
      </w:r>
      <w:r>
        <w:rPr>
          <w:color w:val="000000"/>
        </w:rPr>
        <w:t>and</w:t>
      </w:r>
      <w:r w:rsidR="00BF059B">
        <w:rPr>
          <w:color w:val="000000"/>
        </w:rPr>
        <w:t xml:space="preserve"> </w:t>
      </w:r>
      <w:r>
        <w:rPr>
          <w:color w:val="000000"/>
        </w:rPr>
        <w:t>use</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Horniman’s</w:t>
      </w:r>
      <w:r w:rsidR="00BF059B">
        <w:rPr>
          <w:color w:val="000000"/>
        </w:rPr>
        <w:t xml:space="preserve"> </w:t>
      </w:r>
      <w:r>
        <w:rPr>
          <w:color w:val="000000"/>
        </w:rPr>
        <w:t>Chinese</w:t>
      </w:r>
      <w:r w:rsidR="00BF059B">
        <w:rPr>
          <w:color w:val="000000"/>
        </w:rPr>
        <w:t xml:space="preserve"> </w:t>
      </w:r>
      <w:r>
        <w:rPr>
          <w:color w:val="000000"/>
        </w:rPr>
        <w:t>collections;</w:t>
      </w:r>
      <w:r w:rsidR="00BF059B">
        <w:rPr>
          <w:color w:val="000000"/>
        </w:rPr>
        <w:t xml:space="preserve"> </w:t>
      </w:r>
      <w:r>
        <w:rPr>
          <w:color w:val="000000"/>
        </w:rPr>
        <w:t>acquisitions</w:t>
      </w:r>
      <w:r w:rsidR="00BF059B">
        <w:rPr>
          <w:color w:val="000000"/>
        </w:rPr>
        <w:t xml:space="preserve"> </w:t>
      </w:r>
      <w:r>
        <w:rPr>
          <w:color w:val="000000"/>
        </w:rPr>
        <w:t>include</w:t>
      </w:r>
      <w:r w:rsidR="00BF059B">
        <w:rPr>
          <w:color w:val="000000"/>
        </w:rPr>
        <w:t xml:space="preserve"> </w:t>
      </w:r>
      <w:r>
        <w:rPr>
          <w:color w:val="000000"/>
        </w:rPr>
        <w:t>the</w:t>
      </w:r>
      <w:r w:rsidR="00BF059B">
        <w:rPr>
          <w:color w:val="000000"/>
        </w:rPr>
        <w:t xml:space="preserve"> </w:t>
      </w:r>
      <w:r>
        <w:rPr>
          <w:color w:val="000000"/>
        </w:rPr>
        <w:t>Accessioned</w:t>
      </w:r>
      <w:r w:rsidR="00BF059B">
        <w:rPr>
          <w:color w:val="000000"/>
        </w:rPr>
        <w:t xml:space="preserve"> </w:t>
      </w:r>
      <w:r>
        <w:rPr>
          <w:color w:val="000000"/>
        </w:rPr>
        <w:t>Collection;</w:t>
      </w:r>
      <w:r w:rsidR="00BF059B">
        <w:rPr>
          <w:color w:val="000000"/>
        </w:rPr>
        <w:t xml:space="preserve"> </w:t>
      </w:r>
      <w:r>
        <w:rPr>
          <w:color w:val="000000"/>
        </w:rPr>
        <w:t>and</w:t>
      </w:r>
      <w:r w:rsidR="00BF059B">
        <w:rPr>
          <w:color w:val="000000"/>
        </w:rPr>
        <w:t xml:space="preserve"> </w:t>
      </w:r>
      <w:r>
        <w:rPr>
          <w:color w:val="000000"/>
        </w:rPr>
        <w:t>plans</w:t>
      </w:r>
      <w:r w:rsidR="00BF059B">
        <w:rPr>
          <w:color w:val="000000"/>
        </w:rPr>
        <w:t xml:space="preserve"> </w:t>
      </w:r>
      <w:r>
        <w:rPr>
          <w:color w:val="000000"/>
        </w:rPr>
        <w:t>for</w:t>
      </w:r>
      <w:r w:rsidR="00BF059B">
        <w:rPr>
          <w:color w:val="000000"/>
        </w:rPr>
        <w:t xml:space="preserve"> </w:t>
      </w:r>
      <w:r>
        <w:rPr>
          <w:color w:val="000000"/>
        </w:rPr>
        <w:t>a</w:t>
      </w:r>
      <w:r w:rsidR="00BF059B">
        <w:rPr>
          <w:color w:val="000000"/>
        </w:rPr>
        <w:t xml:space="preserve"> </w:t>
      </w:r>
      <w:r>
        <w:rPr>
          <w:color w:val="000000"/>
        </w:rPr>
        <w:t>redevelopment</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Horniman’s</w:t>
      </w:r>
      <w:r w:rsidR="00BF059B">
        <w:rPr>
          <w:color w:val="000000"/>
        </w:rPr>
        <w:t xml:space="preserve"> </w:t>
      </w:r>
      <w:r>
        <w:rPr>
          <w:color w:val="000000"/>
        </w:rPr>
        <w:t>Vision</w:t>
      </w:r>
      <w:r w:rsidR="00BF059B">
        <w:rPr>
          <w:color w:val="000000"/>
        </w:rPr>
        <w:t xml:space="preserve"> </w:t>
      </w:r>
      <w:r>
        <w:rPr>
          <w:color w:val="000000"/>
        </w:rPr>
        <w:t>display.</w:t>
      </w:r>
      <w:r w:rsidR="00BF059B">
        <w:rPr>
          <w:color w:val="000000"/>
        </w:rPr>
        <w:t xml:space="preserve"> </w:t>
      </w:r>
    </w:p>
    <w:p w14:paraId="5DAE09CA" w14:textId="77777777" w:rsidR="00BE13A8" w:rsidRDefault="00BE13A8" w:rsidP="0015265F">
      <w:pPr>
        <w:pBdr>
          <w:top w:val="nil"/>
          <w:left w:val="nil"/>
          <w:bottom w:val="nil"/>
          <w:right w:val="nil"/>
          <w:between w:val="nil"/>
        </w:pBdr>
        <w:shd w:val="clear" w:color="auto" w:fill="FFFFFF"/>
        <w:rPr>
          <w:color w:val="000000"/>
        </w:rPr>
      </w:pPr>
    </w:p>
    <w:p w14:paraId="78BA6C89" w14:textId="4A22AAE4" w:rsidR="00BE13A8" w:rsidRDefault="00D70530" w:rsidP="0015265F">
      <w:pPr>
        <w:pBdr>
          <w:top w:val="nil"/>
          <w:left w:val="nil"/>
          <w:bottom w:val="nil"/>
          <w:right w:val="nil"/>
          <w:between w:val="nil"/>
        </w:pBdr>
        <w:shd w:val="clear" w:color="auto" w:fill="FFFFFF"/>
        <w:rPr>
          <w:color w:val="242424"/>
        </w:rPr>
      </w:pPr>
      <w:r>
        <w:rPr>
          <w:color w:val="000000"/>
        </w:rPr>
        <w:t>A</w:t>
      </w:r>
      <w:r w:rsidR="00BF059B">
        <w:rPr>
          <w:color w:val="000000"/>
        </w:rPr>
        <w:t xml:space="preserve"> </w:t>
      </w:r>
      <w:r>
        <w:rPr>
          <w:color w:val="000000"/>
        </w:rPr>
        <w:t>pilot</w:t>
      </w:r>
      <w:r w:rsidR="00BF059B">
        <w:rPr>
          <w:color w:val="000000"/>
        </w:rPr>
        <w:t xml:space="preserve"> </w:t>
      </w:r>
      <w:r>
        <w:rPr>
          <w:color w:val="000000"/>
        </w:rPr>
        <w:t>project</w:t>
      </w:r>
      <w:r w:rsidR="00BF059B">
        <w:rPr>
          <w:color w:val="000000"/>
        </w:rPr>
        <w:t xml:space="preserve"> </w:t>
      </w:r>
      <w:r>
        <w:rPr>
          <w:color w:val="000000"/>
        </w:rPr>
        <w:t>on</w:t>
      </w:r>
      <w:r w:rsidR="00BF059B">
        <w:rPr>
          <w:color w:val="000000"/>
        </w:rPr>
        <w:t xml:space="preserve"> </w:t>
      </w:r>
      <w:r>
        <w:rPr>
          <w:color w:val="000000"/>
        </w:rPr>
        <w:t>Community-led</w:t>
      </w:r>
      <w:r w:rsidR="00BF059B">
        <w:rPr>
          <w:color w:val="000000"/>
        </w:rPr>
        <w:t xml:space="preserve"> </w:t>
      </w:r>
      <w:r>
        <w:rPr>
          <w:color w:val="000000"/>
        </w:rPr>
        <w:t>Collecting,</w:t>
      </w:r>
      <w:r w:rsidR="00BF059B">
        <w:rPr>
          <w:color w:val="000000"/>
        </w:rPr>
        <w:t xml:space="preserve"> </w:t>
      </w:r>
      <w:r>
        <w:rPr>
          <w:color w:val="000000"/>
        </w:rPr>
        <w:t>intended</w:t>
      </w:r>
      <w:r w:rsidR="00BF059B">
        <w:rPr>
          <w:color w:val="000000"/>
        </w:rPr>
        <w:t xml:space="preserve"> </w:t>
      </w:r>
      <w:r>
        <w:rPr>
          <w:color w:val="000000"/>
        </w:rPr>
        <w:t>to</w:t>
      </w:r>
      <w:r w:rsidR="00BF059B">
        <w:rPr>
          <w:color w:val="000000"/>
        </w:rPr>
        <w:t xml:space="preserve"> </w:t>
      </w:r>
      <w:r>
        <w:rPr>
          <w:color w:val="000000"/>
        </w:rPr>
        <w:t>inform</w:t>
      </w:r>
      <w:r w:rsidR="00BF059B">
        <w:rPr>
          <w:color w:val="000000"/>
        </w:rPr>
        <w:t xml:space="preserve"> </w:t>
      </w:r>
      <w:r>
        <w:rPr>
          <w:color w:val="000000"/>
        </w:rPr>
        <w:t>our</w:t>
      </w:r>
      <w:r w:rsidR="00BF059B">
        <w:rPr>
          <w:color w:val="000000"/>
        </w:rPr>
        <w:t xml:space="preserve"> </w:t>
      </w:r>
      <w:r>
        <w:rPr>
          <w:color w:val="000000"/>
        </w:rPr>
        <w:t>future</w:t>
      </w:r>
      <w:r w:rsidR="00BF059B">
        <w:rPr>
          <w:color w:val="000000"/>
        </w:rPr>
        <w:t xml:space="preserve"> </w:t>
      </w:r>
      <w:r>
        <w:rPr>
          <w:color w:val="000000"/>
        </w:rPr>
        <w:t>approach</w:t>
      </w:r>
      <w:r w:rsidR="00BF059B">
        <w:rPr>
          <w:color w:val="000000"/>
        </w:rPr>
        <w:t xml:space="preserve"> </w:t>
      </w:r>
      <w:r>
        <w:rPr>
          <w:color w:val="000000"/>
        </w:rPr>
        <w:t>to</w:t>
      </w:r>
      <w:r w:rsidR="00BF059B">
        <w:rPr>
          <w:color w:val="000000"/>
        </w:rPr>
        <w:t xml:space="preserve"> </w:t>
      </w:r>
      <w:r>
        <w:rPr>
          <w:color w:val="000000"/>
        </w:rPr>
        <w:t>collections</w:t>
      </w:r>
      <w:r w:rsidR="00BF059B">
        <w:rPr>
          <w:color w:val="000000"/>
        </w:rPr>
        <w:t xml:space="preserve"> </w:t>
      </w:r>
      <w:r>
        <w:rPr>
          <w:color w:val="000000"/>
        </w:rPr>
        <w:t>development,</w:t>
      </w:r>
      <w:r w:rsidR="00BF059B">
        <w:rPr>
          <w:color w:val="000000"/>
        </w:rPr>
        <w:t xml:space="preserve"> </w:t>
      </w:r>
      <w:r>
        <w:rPr>
          <w:color w:val="000000"/>
        </w:rPr>
        <w:t>commenced</w:t>
      </w:r>
      <w:r w:rsidR="00BF059B">
        <w:rPr>
          <w:color w:val="000000"/>
        </w:rPr>
        <w:t xml:space="preserve"> </w:t>
      </w:r>
      <w:r>
        <w:rPr>
          <w:color w:val="000000"/>
        </w:rPr>
        <w:t>with</w:t>
      </w:r>
      <w:r w:rsidR="00BF059B">
        <w:rPr>
          <w:color w:val="000000"/>
        </w:rPr>
        <w:t xml:space="preserve"> </w:t>
      </w:r>
      <w:r>
        <w:rPr>
          <w:color w:val="000000"/>
        </w:rPr>
        <w:t>a</w:t>
      </w:r>
      <w:r w:rsidR="00BF059B">
        <w:rPr>
          <w:color w:val="000000"/>
        </w:rPr>
        <w:t xml:space="preserve"> </w:t>
      </w:r>
      <w:r>
        <w:rPr>
          <w:color w:val="000000"/>
        </w:rPr>
        <w:t>focus</w:t>
      </w:r>
      <w:r w:rsidR="00BF059B">
        <w:rPr>
          <w:color w:val="000000"/>
        </w:rPr>
        <w:t xml:space="preserve"> </w:t>
      </w:r>
      <w:r>
        <w:rPr>
          <w:color w:val="000000"/>
        </w:rPr>
        <w:t>on</w:t>
      </w:r>
      <w:r w:rsidR="00BF059B">
        <w:rPr>
          <w:color w:val="000000"/>
        </w:rPr>
        <w:t xml:space="preserve"> </w:t>
      </w:r>
      <w:r>
        <w:rPr>
          <w:color w:val="000000"/>
        </w:rPr>
        <w:t>Caribbean</w:t>
      </w:r>
      <w:r w:rsidR="00BF059B">
        <w:rPr>
          <w:color w:val="000000"/>
        </w:rPr>
        <w:t xml:space="preserve"> </w:t>
      </w:r>
      <w:r>
        <w:rPr>
          <w:color w:val="000000"/>
        </w:rPr>
        <w:t>collections</w:t>
      </w:r>
      <w:r w:rsidR="00BF059B">
        <w:rPr>
          <w:color w:val="000000"/>
        </w:rPr>
        <w:t xml:space="preserve"> </w:t>
      </w:r>
      <w:r>
        <w:rPr>
          <w:color w:val="000000"/>
        </w:rPr>
        <w:t>in</w:t>
      </w:r>
      <w:r w:rsidR="00BF059B">
        <w:rPr>
          <w:color w:val="000000"/>
        </w:rPr>
        <w:t xml:space="preserve"> </w:t>
      </w:r>
      <w:r>
        <w:rPr>
          <w:color w:val="000000"/>
        </w:rPr>
        <w:t>the</w:t>
      </w:r>
      <w:r w:rsidR="00BF059B">
        <w:rPr>
          <w:color w:val="000000"/>
        </w:rPr>
        <w:t xml:space="preserve"> </w:t>
      </w:r>
      <w:r>
        <w:rPr>
          <w:color w:val="000000"/>
        </w:rPr>
        <w:t>new</w:t>
      </w:r>
      <w:r w:rsidR="00BF059B">
        <w:rPr>
          <w:color w:val="000000"/>
        </w:rPr>
        <w:t xml:space="preserve"> </w:t>
      </w:r>
      <w:r>
        <w:rPr>
          <w:color w:val="000000"/>
        </w:rPr>
        <w:t>Natural</w:t>
      </w:r>
      <w:r w:rsidR="00BF059B">
        <w:rPr>
          <w:color w:val="000000"/>
        </w:rPr>
        <w:t xml:space="preserve"> </w:t>
      </w:r>
      <w:r>
        <w:rPr>
          <w:color w:val="000000"/>
        </w:rPr>
        <w:t>History</w:t>
      </w:r>
      <w:r w:rsidR="00BF059B">
        <w:rPr>
          <w:color w:val="000000"/>
        </w:rPr>
        <w:t xml:space="preserve"> </w:t>
      </w:r>
      <w:r>
        <w:rPr>
          <w:color w:val="000000"/>
        </w:rPr>
        <w:t>Gallery.</w:t>
      </w:r>
      <w:r w:rsidR="00BF059B">
        <w:rPr>
          <w:color w:val="000000"/>
        </w:rPr>
        <w:t xml:space="preserve"> </w:t>
      </w:r>
      <w:r>
        <w:rPr>
          <w:color w:val="000000"/>
        </w:rPr>
        <w:t>A</w:t>
      </w:r>
      <w:r w:rsidR="00BF059B">
        <w:rPr>
          <w:color w:val="000000"/>
        </w:rPr>
        <w:t xml:space="preserve"> </w:t>
      </w:r>
      <w:r>
        <w:rPr>
          <w:color w:val="000000"/>
        </w:rPr>
        <w:t>new</w:t>
      </w:r>
      <w:r w:rsidR="00BF059B">
        <w:rPr>
          <w:color w:val="000000"/>
        </w:rPr>
        <w:t xml:space="preserve"> </w:t>
      </w:r>
      <w:r>
        <w:rPr>
          <w:color w:val="000000"/>
        </w:rPr>
        <w:t>work</w:t>
      </w:r>
      <w:r w:rsidR="00BF059B">
        <w:rPr>
          <w:color w:val="000000"/>
        </w:rPr>
        <w:t xml:space="preserve"> </w:t>
      </w:r>
      <w:r>
        <w:rPr>
          <w:color w:val="000000"/>
        </w:rPr>
        <w:t>has</w:t>
      </w:r>
      <w:r w:rsidR="00BF059B">
        <w:rPr>
          <w:color w:val="000000"/>
        </w:rPr>
        <w:t xml:space="preserve"> </w:t>
      </w:r>
      <w:r>
        <w:rPr>
          <w:color w:val="000000"/>
        </w:rPr>
        <w:t>been</w:t>
      </w:r>
      <w:r w:rsidR="00BF059B">
        <w:rPr>
          <w:color w:val="000000"/>
        </w:rPr>
        <w:t xml:space="preserve"> </w:t>
      </w:r>
      <w:r>
        <w:rPr>
          <w:color w:val="000000"/>
        </w:rPr>
        <w:t>commissioned</w:t>
      </w:r>
      <w:r w:rsidR="00BF059B">
        <w:rPr>
          <w:color w:val="000000"/>
        </w:rPr>
        <w:t xml:space="preserve"> </w:t>
      </w:r>
      <w:r>
        <w:rPr>
          <w:color w:val="000000"/>
        </w:rPr>
        <w:t>from</w:t>
      </w:r>
      <w:r w:rsidR="00BF059B">
        <w:rPr>
          <w:color w:val="000000"/>
        </w:rPr>
        <w:t xml:space="preserve"> </w:t>
      </w:r>
      <w:r>
        <w:rPr>
          <w:color w:val="000000"/>
        </w:rPr>
        <w:t>British</w:t>
      </w:r>
      <w:r w:rsidR="00BF059B">
        <w:rPr>
          <w:color w:val="000000"/>
        </w:rPr>
        <w:t xml:space="preserve"> </w:t>
      </w:r>
      <w:r>
        <w:rPr>
          <w:color w:val="000000"/>
        </w:rPr>
        <w:t>Bajan</w:t>
      </w:r>
      <w:r w:rsidR="00BF059B">
        <w:rPr>
          <w:color w:val="000000"/>
        </w:rPr>
        <w:t xml:space="preserve"> </w:t>
      </w:r>
      <w:r>
        <w:rPr>
          <w:color w:val="000000"/>
        </w:rPr>
        <w:t>artist</w:t>
      </w:r>
      <w:r w:rsidR="00BF059B">
        <w:rPr>
          <w:color w:val="000000"/>
        </w:rPr>
        <w:t xml:space="preserve"> </w:t>
      </w:r>
      <w:r>
        <w:rPr>
          <w:color w:val="000000"/>
        </w:rPr>
        <w:t>Christina</w:t>
      </w:r>
      <w:r w:rsidR="00BF059B">
        <w:rPr>
          <w:color w:val="000000"/>
        </w:rPr>
        <w:t xml:space="preserve"> </w:t>
      </w:r>
      <w:r>
        <w:rPr>
          <w:color w:val="000000"/>
        </w:rPr>
        <w:t>Peake,</w:t>
      </w:r>
      <w:r w:rsidR="00BF059B">
        <w:rPr>
          <w:color w:val="000000"/>
        </w:rPr>
        <w:t xml:space="preserve"> </w:t>
      </w:r>
      <w:r>
        <w:rPr>
          <w:color w:val="000000"/>
        </w:rPr>
        <w:t>and</w:t>
      </w:r>
      <w:r w:rsidR="00BF059B">
        <w:rPr>
          <w:color w:val="000000"/>
        </w:rPr>
        <w:t xml:space="preserve"> </w:t>
      </w:r>
      <w:r>
        <w:rPr>
          <w:color w:val="000000"/>
        </w:rPr>
        <w:t>two</w:t>
      </w:r>
      <w:r w:rsidR="00BF059B">
        <w:rPr>
          <w:color w:val="000000"/>
        </w:rPr>
        <w:t xml:space="preserve"> </w:t>
      </w:r>
      <w:r>
        <w:rPr>
          <w:color w:val="000000"/>
        </w:rPr>
        <w:t>community</w:t>
      </w:r>
      <w:r w:rsidR="00BF059B">
        <w:rPr>
          <w:color w:val="000000"/>
        </w:rPr>
        <w:t xml:space="preserve"> </w:t>
      </w:r>
      <w:r>
        <w:rPr>
          <w:color w:val="000000"/>
        </w:rPr>
        <w:t>co-curators</w:t>
      </w:r>
      <w:r w:rsidR="00BF059B">
        <w:rPr>
          <w:color w:val="000000"/>
        </w:rPr>
        <w:t xml:space="preserve"> </w:t>
      </w:r>
      <w:r>
        <w:rPr>
          <w:color w:val="000000"/>
        </w:rPr>
        <w:t>are</w:t>
      </w:r>
      <w:r w:rsidR="00BF059B">
        <w:rPr>
          <w:color w:val="000000"/>
        </w:rPr>
        <w:t xml:space="preserve"> </w:t>
      </w:r>
      <w:r>
        <w:rPr>
          <w:color w:val="000000"/>
        </w:rPr>
        <w:t>creating</w:t>
      </w:r>
      <w:r w:rsidR="00BF059B">
        <w:rPr>
          <w:color w:val="000000"/>
        </w:rPr>
        <w:t xml:space="preserve"> </w:t>
      </w:r>
      <w:r>
        <w:rPr>
          <w:color w:val="000000"/>
        </w:rPr>
        <w:t>a</w:t>
      </w:r>
      <w:r w:rsidR="00BF059B">
        <w:rPr>
          <w:color w:val="000000"/>
        </w:rPr>
        <w:t xml:space="preserve"> </w:t>
      </w:r>
      <w:r>
        <w:rPr>
          <w:color w:val="000000"/>
        </w:rPr>
        <w:t>permanent</w:t>
      </w:r>
      <w:r w:rsidR="00BF059B">
        <w:rPr>
          <w:color w:val="000000"/>
        </w:rPr>
        <w:t xml:space="preserve"> </w:t>
      </w:r>
      <w:r>
        <w:rPr>
          <w:color w:val="000000"/>
        </w:rPr>
        <w:t>display</w:t>
      </w:r>
      <w:r w:rsidR="00BF059B">
        <w:rPr>
          <w:color w:val="000000"/>
        </w:rPr>
        <w:t xml:space="preserve"> </w:t>
      </w:r>
      <w:r>
        <w:rPr>
          <w:color w:val="000000"/>
        </w:rPr>
        <w:t>for</w:t>
      </w:r>
      <w:r w:rsidR="00BF059B">
        <w:rPr>
          <w:color w:val="000000"/>
        </w:rPr>
        <w:t xml:space="preserve"> </w:t>
      </w:r>
      <w:r>
        <w:rPr>
          <w:color w:val="000000"/>
        </w:rPr>
        <w:t>the</w:t>
      </w:r>
      <w:r w:rsidR="00BF059B">
        <w:rPr>
          <w:color w:val="000000"/>
        </w:rPr>
        <w:t xml:space="preserve"> </w:t>
      </w:r>
      <w:r>
        <w:rPr>
          <w:color w:val="000000"/>
        </w:rPr>
        <w:t>gallery</w:t>
      </w:r>
      <w:r w:rsidR="00BF059B">
        <w:rPr>
          <w:color w:val="000000"/>
        </w:rPr>
        <w:t xml:space="preserve"> </w:t>
      </w:r>
      <w:r>
        <w:rPr>
          <w:color w:val="000000"/>
        </w:rPr>
        <w:t>relating</w:t>
      </w:r>
      <w:r w:rsidR="00BF059B">
        <w:rPr>
          <w:color w:val="000000"/>
        </w:rPr>
        <w:t xml:space="preserve"> </w:t>
      </w:r>
      <w:r>
        <w:rPr>
          <w:color w:val="000000"/>
        </w:rPr>
        <w:t>to</w:t>
      </w:r>
      <w:r w:rsidR="00BF059B">
        <w:rPr>
          <w:color w:val="000000"/>
        </w:rPr>
        <w:t xml:space="preserve"> </w:t>
      </w:r>
      <w:r>
        <w:rPr>
          <w:color w:val="000000"/>
        </w:rPr>
        <w:t>Caribbean</w:t>
      </w:r>
      <w:r w:rsidR="00BF059B">
        <w:rPr>
          <w:color w:val="000000"/>
        </w:rPr>
        <w:t xml:space="preserve"> </w:t>
      </w:r>
      <w:r>
        <w:rPr>
          <w:color w:val="000000"/>
        </w:rPr>
        <w:t>diasporic</w:t>
      </w:r>
      <w:r w:rsidR="00BF059B">
        <w:rPr>
          <w:color w:val="000000"/>
        </w:rPr>
        <w:t xml:space="preserve"> </w:t>
      </w:r>
      <w:r>
        <w:rPr>
          <w:color w:val="000000"/>
        </w:rPr>
        <w:t>experiences</w:t>
      </w:r>
      <w:r w:rsidR="00BF059B">
        <w:rPr>
          <w:color w:val="000000"/>
        </w:rPr>
        <w:t xml:space="preserve"> </w:t>
      </w:r>
      <w:r>
        <w:rPr>
          <w:color w:val="000000"/>
        </w:rPr>
        <w:t>of</w:t>
      </w:r>
      <w:r w:rsidR="00BF059B">
        <w:rPr>
          <w:color w:val="000000"/>
        </w:rPr>
        <w:t xml:space="preserve"> </w:t>
      </w:r>
      <w:r>
        <w:rPr>
          <w:color w:val="000000"/>
        </w:rPr>
        <w:t>living</w:t>
      </w:r>
      <w:r w:rsidR="00BF059B">
        <w:rPr>
          <w:color w:val="000000"/>
        </w:rPr>
        <w:t xml:space="preserve"> </w:t>
      </w:r>
      <w:r>
        <w:rPr>
          <w:color w:val="000000"/>
        </w:rPr>
        <w:t>with</w:t>
      </w:r>
      <w:r w:rsidR="00BF059B">
        <w:rPr>
          <w:color w:val="000000"/>
        </w:rPr>
        <w:t xml:space="preserve"> </w:t>
      </w:r>
      <w:r>
        <w:rPr>
          <w:color w:val="000000"/>
        </w:rPr>
        <w:t>nature.</w:t>
      </w:r>
      <w:r w:rsidR="00BF059B">
        <w:rPr>
          <w:color w:val="000000"/>
        </w:rPr>
        <w:t xml:space="preserve"> </w:t>
      </w:r>
      <w:r>
        <w:rPr>
          <w:color w:val="000000"/>
        </w:rPr>
        <w:t>A</w:t>
      </w:r>
      <w:r w:rsidR="00BF059B">
        <w:rPr>
          <w:color w:val="000000"/>
        </w:rPr>
        <w:t xml:space="preserve"> </w:t>
      </w:r>
      <w:r>
        <w:rPr>
          <w:color w:val="000000"/>
        </w:rPr>
        <w:t>second</w:t>
      </w:r>
      <w:r w:rsidR="00BF059B">
        <w:rPr>
          <w:color w:val="000000"/>
        </w:rPr>
        <w:t xml:space="preserve"> </w:t>
      </w:r>
      <w:r>
        <w:rPr>
          <w:color w:val="000000"/>
        </w:rPr>
        <w:t>display</w:t>
      </w:r>
      <w:r w:rsidR="00BF059B">
        <w:rPr>
          <w:color w:val="000000"/>
        </w:rPr>
        <w:t xml:space="preserve"> </w:t>
      </w:r>
      <w:r>
        <w:rPr>
          <w:color w:val="000000"/>
        </w:rPr>
        <w:t>is</w:t>
      </w:r>
      <w:r w:rsidR="00BF059B">
        <w:rPr>
          <w:color w:val="000000"/>
        </w:rPr>
        <w:t xml:space="preserve"> </w:t>
      </w:r>
      <w:r>
        <w:rPr>
          <w:color w:val="000000"/>
        </w:rPr>
        <w:t>being</w:t>
      </w:r>
      <w:r w:rsidR="00BF059B">
        <w:rPr>
          <w:color w:val="000000"/>
        </w:rPr>
        <w:t xml:space="preserve"> </w:t>
      </w:r>
      <w:r>
        <w:rPr>
          <w:color w:val="000000"/>
        </w:rPr>
        <w:t>co-curated</w:t>
      </w:r>
      <w:r w:rsidR="00BF059B">
        <w:rPr>
          <w:color w:val="000000"/>
        </w:rPr>
        <w:t xml:space="preserve"> </w:t>
      </w:r>
      <w:r>
        <w:rPr>
          <w:color w:val="000000"/>
        </w:rPr>
        <w:t>with</w:t>
      </w:r>
      <w:r w:rsidR="00BF059B">
        <w:rPr>
          <w:color w:val="000000"/>
        </w:rPr>
        <w:t xml:space="preserve"> </w:t>
      </w:r>
      <w:r>
        <w:rPr>
          <w:color w:val="000000"/>
        </w:rPr>
        <w:t>members</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London-based</w:t>
      </w:r>
      <w:r w:rsidR="00BF059B">
        <w:rPr>
          <w:color w:val="000000"/>
        </w:rPr>
        <w:t xml:space="preserve"> </w:t>
      </w:r>
      <w:r>
        <w:rPr>
          <w:color w:val="000000"/>
        </w:rPr>
        <w:t>Tibetan</w:t>
      </w:r>
      <w:r w:rsidR="00BF059B">
        <w:rPr>
          <w:color w:val="000000"/>
        </w:rPr>
        <w:t xml:space="preserve"> </w:t>
      </w:r>
      <w:r>
        <w:rPr>
          <w:color w:val="000000"/>
        </w:rPr>
        <w:t>community,</w:t>
      </w:r>
      <w:r w:rsidR="00BF059B">
        <w:rPr>
          <w:color w:val="000000"/>
        </w:rPr>
        <w:t xml:space="preserve"> </w:t>
      </w:r>
      <w:r>
        <w:rPr>
          <w:color w:val="000000"/>
        </w:rPr>
        <w:t>exploring</w:t>
      </w:r>
      <w:r w:rsidR="00BF059B">
        <w:rPr>
          <w:color w:val="000000"/>
        </w:rPr>
        <w:t xml:space="preserve"> </w:t>
      </w:r>
      <w:r>
        <w:rPr>
          <w:color w:val="000000"/>
        </w:rPr>
        <w:t>ecology,</w:t>
      </w:r>
      <w:r w:rsidR="00BF059B">
        <w:rPr>
          <w:color w:val="000000"/>
        </w:rPr>
        <w:t xml:space="preserve"> </w:t>
      </w:r>
      <w:r>
        <w:rPr>
          <w:color w:val="000000"/>
        </w:rPr>
        <w:t>Buddhism</w:t>
      </w:r>
      <w:r w:rsidR="00BF059B">
        <w:rPr>
          <w:color w:val="000000"/>
        </w:rPr>
        <w:t xml:space="preserve"> </w:t>
      </w:r>
      <w:r>
        <w:rPr>
          <w:color w:val="000000"/>
        </w:rPr>
        <w:t>and</w:t>
      </w:r>
      <w:r w:rsidR="00BF059B">
        <w:rPr>
          <w:color w:val="000000"/>
        </w:rPr>
        <w:t xml:space="preserve"> </w:t>
      </w:r>
      <w:r>
        <w:rPr>
          <w:color w:val="000000"/>
        </w:rPr>
        <w:t>decolonisation.</w:t>
      </w:r>
    </w:p>
    <w:p w14:paraId="22E2C207" w14:textId="77777777" w:rsidR="00BE13A8" w:rsidRDefault="00BE13A8" w:rsidP="0015265F">
      <w:pPr>
        <w:pBdr>
          <w:top w:val="nil"/>
          <w:left w:val="nil"/>
          <w:bottom w:val="nil"/>
          <w:right w:val="nil"/>
          <w:between w:val="nil"/>
        </w:pBdr>
        <w:shd w:val="clear" w:color="auto" w:fill="FFFFFF"/>
        <w:ind w:left="720"/>
        <w:rPr>
          <w:color w:val="242424"/>
        </w:rPr>
      </w:pPr>
    </w:p>
    <w:p w14:paraId="703A3C90" w14:textId="41C9AEFA" w:rsidR="00BE13A8" w:rsidRDefault="00D70530" w:rsidP="0015265F">
      <w:pPr>
        <w:rPr>
          <w:color w:val="FF0000"/>
        </w:rPr>
      </w:pPr>
      <w:r>
        <w:rPr>
          <w:color w:val="000000"/>
        </w:rPr>
        <w:t>The</w:t>
      </w:r>
      <w:r w:rsidR="00BF059B">
        <w:rPr>
          <w:color w:val="000000"/>
        </w:rPr>
        <w:t xml:space="preserve"> </w:t>
      </w:r>
      <w:r>
        <w:rPr>
          <w:color w:val="000000"/>
        </w:rPr>
        <w:t>Decolonisation</w:t>
      </w:r>
      <w:r w:rsidR="00BF059B">
        <w:rPr>
          <w:color w:val="000000"/>
        </w:rPr>
        <w:t xml:space="preserve"> </w:t>
      </w:r>
      <w:r>
        <w:rPr>
          <w:color w:val="000000"/>
        </w:rPr>
        <w:t>Working</w:t>
      </w:r>
      <w:r w:rsidR="00BF059B">
        <w:rPr>
          <w:color w:val="000000"/>
        </w:rPr>
        <w:t xml:space="preserve"> </w:t>
      </w:r>
      <w:r>
        <w:rPr>
          <w:color w:val="000000"/>
        </w:rPr>
        <w:t>Group</w:t>
      </w:r>
      <w:r w:rsidR="00BF059B">
        <w:rPr>
          <w:color w:val="000000"/>
        </w:rPr>
        <w:t xml:space="preserve"> </w:t>
      </w:r>
      <w:r>
        <w:rPr>
          <w:color w:val="000000"/>
        </w:rPr>
        <w:t>identified</w:t>
      </w:r>
      <w:r w:rsidR="00BF059B">
        <w:rPr>
          <w:color w:val="000000"/>
        </w:rPr>
        <w:t xml:space="preserve"> </w:t>
      </w:r>
      <w:r>
        <w:rPr>
          <w:color w:val="000000"/>
        </w:rPr>
        <w:t>a</w:t>
      </w:r>
      <w:r w:rsidR="00BF059B">
        <w:rPr>
          <w:color w:val="000000"/>
        </w:rPr>
        <w:t xml:space="preserve"> </w:t>
      </w:r>
      <w:r>
        <w:rPr>
          <w:color w:val="000000"/>
        </w:rPr>
        <w:t>priority</w:t>
      </w:r>
      <w:r w:rsidR="00BF059B">
        <w:rPr>
          <w:color w:val="000000"/>
        </w:rPr>
        <w:t xml:space="preserve"> </w:t>
      </w:r>
      <w:r>
        <w:rPr>
          <w:color w:val="000000"/>
        </w:rPr>
        <w:t>list</w:t>
      </w:r>
      <w:r w:rsidR="00BF059B">
        <w:rPr>
          <w:color w:val="000000"/>
        </w:rPr>
        <w:t xml:space="preserve"> </w:t>
      </w:r>
      <w:r>
        <w:rPr>
          <w:color w:val="000000"/>
        </w:rPr>
        <w:t>of</w:t>
      </w:r>
      <w:r w:rsidR="00BF059B">
        <w:rPr>
          <w:color w:val="000000"/>
        </w:rPr>
        <w:t xml:space="preserve"> </w:t>
      </w:r>
      <w:r>
        <w:rPr>
          <w:color w:val="000000"/>
        </w:rPr>
        <w:t>actions,</w:t>
      </w:r>
      <w:r w:rsidR="00BF059B">
        <w:rPr>
          <w:color w:val="000000"/>
        </w:rPr>
        <w:t xml:space="preserve"> </w:t>
      </w:r>
      <w:r>
        <w:rPr>
          <w:color w:val="000000"/>
        </w:rPr>
        <w:t>which</w:t>
      </w:r>
      <w:r w:rsidR="00BF059B">
        <w:rPr>
          <w:color w:val="000000"/>
        </w:rPr>
        <w:t xml:space="preserve"> </w:t>
      </w:r>
      <w:r>
        <w:rPr>
          <w:color w:val="000000"/>
        </w:rPr>
        <w:t>are</w:t>
      </w:r>
      <w:r w:rsidR="00BF059B">
        <w:rPr>
          <w:color w:val="000000"/>
        </w:rPr>
        <w:t xml:space="preserve"> </w:t>
      </w:r>
      <w:r>
        <w:rPr>
          <w:color w:val="000000"/>
        </w:rPr>
        <w:t>being</w:t>
      </w:r>
      <w:r w:rsidR="00BF059B">
        <w:rPr>
          <w:color w:val="000000"/>
        </w:rPr>
        <w:t xml:space="preserve"> </w:t>
      </w:r>
      <w:r>
        <w:rPr>
          <w:color w:val="000000"/>
        </w:rPr>
        <w:t>implemented,</w:t>
      </w:r>
      <w:r w:rsidR="00BF059B">
        <w:rPr>
          <w:color w:val="000000"/>
        </w:rPr>
        <w:t xml:space="preserve"> </w:t>
      </w:r>
      <w:r>
        <w:rPr>
          <w:color w:val="000000"/>
        </w:rPr>
        <w:t>including</w:t>
      </w:r>
      <w:r w:rsidR="00BF059B">
        <w:rPr>
          <w:color w:val="000000"/>
        </w:rPr>
        <w:t xml:space="preserve"> </w:t>
      </w:r>
      <w:r>
        <w:rPr>
          <w:color w:val="000000"/>
        </w:rPr>
        <w:t>updated</w:t>
      </w:r>
      <w:r w:rsidR="00BF059B">
        <w:rPr>
          <w:color w:val="000000"/>
        </w:rPr>
        <w:t xml:space="preserve"> </w:t>
      </w:r>
      <w:r>
        <w:rPr>
          <w:color w:val="000000"/>
        </w:rPr>
        <w:t>interpretation</w:t>
      </w:r>
      <w:r w:rsidR="00BF059B">
        <w:rPr>
          <w:color w:val="000000"/>
        </w:rPr>
        <w:t xml:space="preserve"> </w:t>
      </w:r>
      <w:r>
        <w:rPr>
          <w:color w:val="000000"/>
        </w:rPr>
        <w:t>for</w:t>
      </w:r>
      <w:r w:rsidR="00BF059B">
        <w:rPr>
          <w:color w:val="000000"/>
        </w:rPr>
        <w:t xml:space="preserve"> </w:t>
      </w:r>
      <w:r>
        <w:rPr>
          <w:color w:val="000000"/>
        </w:rPr>
        <w:t>the</w:t>
      </w:r>
      <w:r w:rsidR="00BF059B">
        <w:rPr>
          <w:color w:val="000000"/>
        </w:rPr>
        <w:t xml:space="preserve"> </w:t>
      </w:r>
      <w:r>
        <w:rPr>
          <w:color w:val="000000"/>
        </w:rPr>
        <w:t>Blue</w:t>
      </w:r>
      <w:r w:rsidR="00BF059B">
        <w:rPr>
          <w:color w:val="000000"/>
        </w:rPr>
        <w:t xml:space="preserve"> </w:t>
      </w:r>
      <w:r>
        <w:rPr>
          <w:color w:val="000000"/>
        </w:rPr>
        <w:t>Earth</w:t>
      </w:r>
      <w:r w:rsidR="00BF059B">
        <w:rPr>
          <w:color w:val="000000"/>
        </w:rPr>
        <w:t xml:space="preserve"> </w:t>
      </w:r>
      <w:r>
        <w:rPr>
          <w:color w:val="000000"/>
        </w:rPr>
        <w:t>and</w:t>
      </w:r>
      <w:r w:rsidR="00BF059B">
        <w:rPr>
          <w:color w:val="000000"/>
        </w:rPr>
        <w:t xml:space="preserve"> </w:t>
      </w:r>
      <w:r>
        <w:rPr>
          <w:color w:val="000000"/>
        </w:rPr>
        <w:t>Fante</w:t>
      </w:r>
      <w:r w:rsidR="00BF059B">
        <w:rPr>
          <w:color w:val="000000"/>
        </w:rPr>
        <w:t xml:space="preserve"> </w:t>
      </w:r>
      <w:r>
        <w:rPr>
          <w:color w:val="000000"/>
        </w:rPr>
        <w:t>Flag</w:t>
      </w:r>
      <w:r w:rsidR="00BF059B">
        <w:rPr>
          <w:color w:val="000000"/>
        </w:rPr>
        <w:t xml:space="preserve"> </w:t>
      </w:r>
      <w:r>
        <w:rPr>
          <w:color w:val="000000"/>
        </w:rPr>
        <w:t>displays</w:t>
      </w:r>
      <w:r w:rsidR="00BF059B">
        <w:rPr>
          <w:color w:val="000000"/>
        </w:rPr>
        <w:t xml:space="preserve"> </w:t>
      </w:r>
      <w:r>
        <w:rPr>
          <w:color w:val="000000"/>
        </w:rPr>
        <w:t>in</w:t>
      </w:r>
      <w:r w:rsidR="00BF059B">
        <w:rPr>
          <w:color w:val="000000"/>
        </w:rPr>
        <w:t xml:space="preserve"> </w:t>
      </w:r>
      <w:r>
        <w:rPr>
          <w:color w:val="000000"/>
        </w:rPr>
        <w:t>the</w:t>
      </w:r>
      <w:r w:rsidR="00BF059B">
        <w:rPr>
          <w:color w:val="000000"/>
        </w:rPr>
        <w:t xml:space="preserve"> </w:t>
      </w:r>
      <w:r>
        <w:rPr>
          <w:color w:val="000000"/>
        </w:rPr>
        <w:t>World</w:t>
      </w:r>
      <w:r w:rsidR="00BF059B">
        <w:rPr>
          <w:color w:val="000000"/>
        </w:rPr>
        <w:t xml:space="preserve"> </w:t>
      </w:r>
      <w:r>
        <w:rPr>
          <w:color w:val="000000"/>
        </w:rPr>
        <w:t>Gallery</w:t>
      </w:r>
      <w:r w:rsidR="00BF059B">
        <w:rPr>
          <w:color w:val="000000"/>
        </w:rPr>
        <w:t xml:space="preserve"> </w:t>
      </w:r>
      <w:r>
        <w:rPr>
          <w:color w:val="000000"/>
        </w:rPr>
        <w:t>and</w:t>
      </w:r>
      <w:r w:rsidR="00BF059B">
        <w:rPr>
          <w:color w:val="000000"/>
        </w:rPr>
        <w:t xml:space="preserve"> </w:t>
      </w:r>
      <w:r>
        <w:rPr>
          <w:color w:val="000000"/>
        </w:rPr>
        <w:t>a</w:t>
      </w:r>
      <w:r w:rsidR="00BF059B">
        <w:rPr>
          <w:color w:val="000000"/>
        </w:rPr>
        <w:t xml:space="preserve"> </w:t>
      </w:r>
      <w:r>
        <w:rPr>
          <w:color w:val="000000"/>
        </w:rPr>
        <w:t>strand</w:t>
      </w:r>
      <w:r w:rsidR="00BF059B">
        <w:rPr>
          <w:color w:val="000000"/>
        </w:rPr>
        <w:t xml:space="preserve"> </w:t>
      </w:r>
      <w:r>
        <w:rPr>
          <w:color w:val="000000"/>
        </w:rPr>
        <w:t>of</w:t>
      </w:r>
      <w:r w:rsidR="00BF059B">
        <w:rPr>
          <w:color w:val="000000"/>
        </w:rPr>
        <w:t xml:space="preserve"> </w:t>
      </w:r>
      <w:r>
        <w:rPr>
          <w:color w:val="000000"/>
        </w:rPr>
        <w:t>work</w:t>
      </w:r>
      <w:r w:rsidR="00BF059B">
        <w:rPr>
          <w:color w:val="000000"/>
        </w:rPr>
        <w:t xml:space="preserve"> </w:t>
      </w:r>
      <w:r>
        <w:rPr>
          <w:color w:val="000000"/>
        </w:rPr>
        <w:t>focusing</w:t>
      </w:r>
      <w:r w:rsidR="00BF059B">
        <w:rPr>
          <w:color w:val="000000"/>
        </w:rPr>
        <w:t xml:space="preserve"> </w:t>
      </w:r>
      <w:r>
        <w:rPr>
          <w:color w:val="000000"/>
        </w:rPr>
        <w:t>on</w:t>
      </w:r>
      <w:r w:rsidR="00BF059B">
        <w:rPr>
          <w:color w:val="000000"/>
        </w:rPr>
        <w:t xml:space="preserve"> </w:t>
      </w:r>
      <w:r>
        <w:rPr>
          <w:color w:val="000000"/>
        </w:rPr>
        <w:t>the</w:t>
      </w:r>
      <w:r w:rsidR="00BF059B">
        <w:rPr>
          <w:color w:val="000000"/>
        </w:rPr>
        <w:t xml:space="preserve"> </w:t>
      </w:r>
      <w:proofErr w:type="spellStart"/>
      <w:r>
        <w:rPr>
          <w:color w:val="000000"/>
        </w:rPr>
        <w:t>deconsecration</w:t>
      </w:r>
      <w:proofErr w:type="spellEnd"/>
      <w:r w:rsidR="00BF059B">
        <w:rPr>
          <w:color w:val="000000"/>
        </w:rPr>
        <w:t xml:space="preserve"> </w:t>
      </w:r>
      <w:r>
        <w:rPr>
          <w:color w:val="000000"/>
        </w:rPr>
        <w:t>or</w:t>
      </w:r>
      <w:r w:rsidR="00BF059B">
        <w:rPr>
          <w:color w:val="000000"/>
        </w:rPr>
        <w:t xml:space="preserve"> </w:t>
      </w:r>
      <w:r>
        <w:rPr>
          <w:color w:val="000000"/>
        </w:rPr>
        <w:t>respectful</w:t>
      </w:r>
      <w:r w:rsidR="00BF059B">
        <w:rPr>
          <w:color w:val="000000"/>
        </w:rPr>
        <w:t xml:space="preserve"> </w:t>
      </w:r>
      <w:r>
        <w:rPr>
          <w:color w:val="000000"/>
        </w:rPr>
        <w:t>treatment</w:t>
      </w:r>
      <w:r w:rsidR="00BF059B">
        <w:rPr>
          <w:color w:val="000000"/>
        </w:rPr>
        <w:t xml:space="preserve"> </w:t>
      </w:r>
      <w:r>
        <w:rPr>
          <w:color w:val="000000"/>
        </w:rPr>
        <w:t>of</w:t>
      </w:r>
      <w:r w:rsidR="00BF059B">
        <w:rPr>
          <w:color w:val="000000"/>
        </w:rPr>
        <w:t xml:space="preserve"> </w:t>
      </w:r>
      <w:r>
        <w:rPr>
          <w:color w:val="000000"/>
        </w:rPr>
        <w:t>spiritual</w:t>
      </w:r>
      <w:r w:rsidR="00BF059B">
        <w:rPr>
          <w:color w:val="000000"/>
        </w:rPr>
        <w:t xml:space="preserve"> </w:t>
      </w:r>
      <w:r>
        <w:rPr>
          <w:color w:val="000000"/>
        </w:rPr>
        <w:t>material.</w:t>
      </w:r>
      <w:r w:rsidR="00BF059B">
        <w:rPr>
          <w:color w:val="000000"/>
        </w:rPr>
        <w:t xml:space="preserve"> </w:t>
      </w:r>
    </w:p>
    <w:p w14:paraId="05325F18" w14:textId="77777777" w:rsidR="00BE13A8" w:rsidRDefault="00BE13A8" w:rsidP="0015265F">
      <w:pPr>
        <w:rPr>
          <w:color w:val="000000"/>
        </w:rPr>
      </w:pPr>
    </w:p>
    <w:p w14:paraId="7876DC14" w14:textId="74F26BC3" w:rsidR="00BE13A8" w:rsidRDefault="00D70530" w:rsidP="0015265F">
      <w:pPr>
        <w:rPr>
          <w:color w:val="000000"/>
        </w:rPr>
      </w:pPr>
      <w:r>
        <w:rPr>
          <w:color w:val="000000"/>
        </w:rPr>
        <w:lastRenderedPageBreak/>
        <w:t>We</w:t>
      </w:r>
      <w:r w:rsidR="00BF059B">
        <w:rPr>
          <w:color w:val="000000"/>
        </w:rPr>
        <w:t xml:space="preserve"> </w:t>
      </w:r>
      <w:r>
        <w:rPr>
          <w:color w:val="000000"/>
        </w:rPr>
        <w:t>continue</w:t>
      </w:r>
      <w:r w:rsidR="00BF059B">
        <w:rPr>
          <w:color w:val="000000"/>
        </w:rPr>
        <w:t xml:space="preserve"> </w:t>
      </w:r>
      <w:r>
        <w:rPr>
          <w:color w:val="000000"/>
        </w:rPr>
        <w:t>to</w:t>
      </w:r>
      <w:r w:rsidR="00BF059B">
        <w:rPr>
          <w:color w:val="000000"/>
        </w:rPr>
        <w:t xml:space="preserve"> </w:t>
      </w:r>
      <w:r>
        <w:rPr>
          <w:color w:val="000000"/>
        </w:rPr>
        <w:t>share</w:t>
      </w:r>
      <w:r w:rsidR="00BF059B">
        <w:rPr>
          <w:color w:val="000000"/>
        </w:rPr>
        <w:t xml:space="preserve"> </w:t>
      </w:r>
      <w:r>
        <w:rPr>
          <w:color w:val="000000"/>
        </w:rPr>
        <w:t>our</w:t>
      </w:r>
      <w:r w:rsidR="00BF059B">
        <w:rPr>
          <w:color w:val="000000"/>
        </w:rPr>
        <w:t xml:space="preserve"> </w:t>
      </w:r>
      <w:r>
        <w:rPr>
          <w:color w:val="000000"/>
        </w:rPr>
        <w:t>practice</w:t>
      </w:r>
      <w:r w:rsidR="00BF059B">
        <w:rPr>
          <w:color w:val="000000"/>
        </w:rPr>
        <w:t xml:space="preserve"> </w:t>
      </w:r>
      <w:r>
        <w:rPr>
          <w:color w:val="000000"/>
        </w:rPr>
        <w:t>in</w:t>
      </w:r>
      <w:r w:rsidR="00BF059B">
        <w:rPr>
          <w:color w:val="000000"/>
        </w:rPr>
        <w:t xml:space="preserve"> </w:t>
      </w:r>
      <w:r>
        <w:rPr>
          <w:color w:val="000000"/>
        </w:rPr>
        <w:t>this</w:t>
      </w:r>
      <w:r w:rsidR="00BF059B">
        <w:rPr>
          <w:color w:val="000000"/>
        </w:rPr>
        <w:t xml:space="preserve"> </w:t>
      </w:r>
      <w:r>
        <w:rPr>
          <w:color w:val="000000"/>
        </w:rPr>
        <w:t>area</w:t>
      </w:r>
      <w:r w:rsidR="00BF059B">
        <w:rPr>
          <w:color w:val="000000"/>
        </w:rPr>
        <w:t xml:space="preserve"> </w:t>
      </w:r>
      <w:r>
        <w:rPr>
          <w:color w:val="000000"/>
        </w:rPr>
        <w:t>widely,</w:t>
      </w:r>
      <w:r w:rsidR="00BF059B">
        <w:rPr>
          <w:color w:val="000000"/>
        </w:rPr>
        <w:t xml:space="preserve"> </w:t>
      </w:r>
      <w:r>
        <w:rPr>
          <w:color w:val="000000"/>
        </w:rPr>
        <w:t>including</w:t>
      </w:r>
      <w:r w:rsidR="00BF059B">
        <w:rPr>
          <w:color w:val="000000"/>
        </w:rPr>
        <w:t xml:space="preserve"> </w:t>
      </w:r>
      <w:r>
        <w:rPr>
          <w:color w:val="000000"/>
        </w:rPr>
        <w:t>interviews</w:t>
      </w:r>
      <w:r w:rsidR="00BF059B">
        <w:rPr>
          <w:color w:val="000000"/>
        </w:rPr>
        <w:t xml:space="preserve"> </w:t>
      </w:r>
      <w:r>
        <w:rPr>
          <w:color w:val="000000"/>
        </w:rPr>
        <w:t>with</w:t>
      </w:r>
      <w:r w:rsidR="00BF059B">
        <w:rPr>
          <w:color w:val="000000"/>
        </w:rPr>
        <w:t xml:space="preserve"> </w:t>
      </w:r>
      <w:r>
        <w:rPr>
          <w:color w:val="000000"/>
        </w:rPr>
        <w:t>Museums</w:t>
      </w:r>
      <w:r w:rsidR="00BF059B">
        <w:rPr>
          <w:color w:val="000000"/>
        </w:rPr>
        <w:t xml:space="preserve"> </w:t>
      </w:r>
      <w:r>
        <w:rPr>
          <w:color w:val="000000"/>
        </w:rPr>
        <w:t>Association</w:t>
      </w:r>
      <w:r w:rsidR="00BF059B">
        <w:rPr>
          <w:color w:val="000000"/>
        </w:rPr>
        <w:t xml:space="preserve"> </w:t>
      </w:r>
      <w:r>
        <w:rPr>
          <w:color w:val="000000"/>
        </w:rPr>
        <w:t>and</w:t>
      </w:r>
      <w:r w:rsidR="00BF059B">
        <w:rPr>
          <w:color w:val="000000"/>
        </w:rPr>
        <w:t xml:space="preserve"> </w:t>
      </w:r>
      <w:r>
        <w:rPr>
          <w:color w:val="000000"/>
        </w:rPr>
        <w:t>Leicester</w:t>
      </w:r>
      <w:r w:rsidR="00BF059B">
        <w:rPr>
          <w:color w:val="000000"/>
        </w:rPr>
        <w:t xml:space="preserve"> </w:t>
      </w:r>
      <w:r>
        <w:rPr>
          <w:color w:val="000000"/>
        </w:rPr>
        <w:t>University,</w:t>
      </w:r>
      <w:r w:rsidR="00BF059B">
        <w:rPr>
          <w:color w:val="000000"/>
        </w:rPr>
        <w:t xml:space="preserve"> </w:t>
      </w:r>
      <w:r>
        <w:rPr>
          <w:color w:val="000000"/>
        </w:rPr>
        <w:t>conference</w:t>
      </w:r>
      <w:r w:rsidR="00BF059B">
        <w:rPr>
          <w:color w:val="000000"/>
        </w:rPr>
        <w:t xml:space="preserve"> </w:t>
      </w:r>
      <w:r>
        <w:rPr>
          <w:color w:val="000000"/>
        </w:rPr>
        <w:t>presentations,</w:t>
      </w:r>
      <w:r w:rsidR="00BF059B">
        <w:rPr>
          <w:color w:val="000000"/>
        </w:rPr>
        <w:t xml:space="preserve"> </w:t>
      </w:r>
      <w:r>
        <w:rPr>
          <w:color w:val="000000"/>
        </w:rPr>
        <w:t>and</w:t>
      </w:r>
      <w:r w:rsidR="00BF059B">
        <w:rPr>
          <w:color w:val="000000"/>
        </w:rPr>
        <w:t xml:space="preserve"> </w:t>
      </w:r>
      <w:r>
        <w:rPr>
          <w:color w:val="000000"/>
        </w:rPr>
        <w:t>visits</w:t>
      </w:r>
      <w:r w:rsidR="00BF059B">
        <w:rPr>
          <w:color w:val="000000"/>
        </w:rPr>
        <w:t xml:space="preserve"> </w:t>
      </w:r>
      <w:r>
        <w:rPr>
          <w:color w:val="000000"/>
        </w:rPr>
        <w:t>from</w:t>
      </w:r>
      <w:r w:rsidR="00BF059B">
        <w:rPr>
          <w:color w:val="000000"/>
        </w:rPr>
        <w:t xml:space="preserve"> </w:t>
      </w:r>
      <w:r>
        <w:rPr>
          <w:color w:val="000000"/>
        </w:rPr>
        <w:t>many</w:t>
      </w:r>
      <w:r w:rsidR="00BF059B">
        <w:rPr>
          <w:color w:val="000000"/>
        </w:rPr>
        <w:t xml:space="preserve"> </w:t>
      </w:r>
      <w:r>
        <w:rPr>
          <w:color w:val="000000"/>
        </w:rPr>
        <w:t>sector</w:t>
      </w:r>
      <w:r w:rsidR="00BF059B">
        <w:rPr>
          <w:color w:val="000000"/>
        </w:rPr>
        <w:t xml:space="preserve"> </w:t>
      </w:r>
      <w:r>
        <w:rPr>
          <w:color w:val="000000"/>
        </w:rPr>
        <w:t>peers.</w:t>
      </w:r>
      <w:r w:rsidR="00BF059B">
        <w:rPr>
          <w:color w:val="000000"/>
        </w:rPr>
        <w:t xml:space="preserve"> </w:t>
      </w:r>
    </w:p>
    <w:p w14:paraId="1246ECA2" w14:textId="77777777" w:rsidR="007B258B" w:rsidRDefault="007B258B" w:rsidP="0015265F"/>
    <w:p w14:paraId="49B24A7A" w14:textId="59E7C745" w:rsidR="00BE13A8" w:rsidRDefault="008D4835" w:rsidP="0015265F">
      <w:pPr>
        <w:pStyle w:val="Heading3"/>
      </w:pPr>
      <w:r>
        <w:t xml:space="preserve">3.0 </w:t>
      </w:r>
      <w:r w:rsidR="00D70530">
        <w:t>Shaping</w:t>
      </w:r>
      <w:r w:rsidR="00BF059B">
        <w:t xml:space="preserve"> </w:t>
      </w:r>
      <w:r w:rsidR="00D70530">
        <w:t>the</w:t>
      </w:r>
      <w:r w:rsidR="00BF059B">
        <w:t xml:space="preserve"> </w:t>
      </w:r>
      <w:r w:rsidR="00D70530">
        <w:t>future</w:t>
      </w:r>
      <w:r w:rsidR="00BF059B">
        <w:t xml:space="preserve"> </w:t>
      </w:r>
    </w:p>
    <w:p w14:paraId="57DFFA32" w14:textId="586EA356" w:rsidR="00BE13A8" w:rsidRDefault="00D70530" w:rsidP="0015265F">
      <w:r>
        <w:t>We</w:t>
      </w:r>
      <w:r w:rsidR="00BF059B">
        <w:t xml:space="preserve"> </w:t>
      </w:r>
      <w:r>
        <w:t>will</w:t>
      </w:r>
      <w:r w:rsidR="00BF059B">
        <w:t xml:space="preserve"> </w:t>
      </w:r>
      <w:r>
        <w:t>effectively</w:t>
      </w:r>
      <w:r w:rsidR="00BF059B">
        <w:t xml:space="preserve"> </w:t>
      </w:r>
      <w:r>
        <w:t>manage</w:t>
      </w:r>
      <w:r w:rsidR="00BF059B">
        <w:t xml:space="preserve"> </w:t>
      </w:r>
      <w:r>
        <w:t>our</w:t>
      </w:r>
      <w:r w:rsidR="00BF059B">
        <w:t xml:space="preserve"> </w:t>
      </w:r>
      <w:r>
        <w:t>resources</w:t>
      </w:r>
      <w:r w:rsidR="00BF059B">
        <w:t xml:space="preserve"> </w:t>
      </w:r>
      <w:r>
        <w:t>and</w:t>
      </w:r>
      <w:r w:rsidR="00BF059B">
        <w:t xml:space="preserve"> </w:t>
      </w:r>
      <w:r>
        <w:t>become</w:t>
      </w:r>
      <w:r w:rsidR="00BF059B">
        <w:t xml:space="preserve"> </w:t>
      </w:r>
      <w:r>
        <w:t>more</w:t>
      </w:r>
      <w:r w:rsidR="00BF059B">
        <w:t xml:space="preserve"> </w:t>
      </w:r>
      <w:r>
        <w:t>financially</w:t>
      </w:r>
      <w:r w:rsidR="00BF059B">
        <w:t xml:space="preserve"> </w:t>
      </w:r>
      <w:r>
        <w:t>resilient</w:t>
      </w:r>
      <w:r w:rsidR="00BF059B">
        <w:t xml:space="preserve"> </w:t>
      </w:r>
      <w:r>
        <w:t>so</w:t>
      </w:r>
      <w:r w:rsidR="00BF059B">
        <w:t xml:space="preserve"> </w:t>
      </w:r>
      <w:r>
        <w:t>that</w:t>
      </w:r>
      <w:r w:rsidR="00BF059B">
        <w:t xml:space="preserve"> </w:t>
      </w:r>
      <w:r>
        <w:t>we</w:t>
      </w:r>
      <w:r w:rsidR="00BF059B">
        <w:t xml:space="preserve"> </w:t>
      </w:r>
      <w:r>
        <w:t>can</w:t>
      </w:r>
      <w:r w:rsidR="00BF059B">
        <w:t xml:space="preserve"> </w:t>
      </w:r>
      <w:r>
        <w:t>continue</w:t>
      </w:r>
      <w:r w:rsidR="00BF059B">
        <w:t xml:space="preserve"> </w:t>
      </w:r>
      <w:r>
        <w:t>to</w:t>
      </w:r>
      <w:r w:rsidR="00BF059B">
        <w:t xml:space="preserve"> </w:t>
      </w:r>
      <w:r>
        <w:t>develop</w:t>
      </w:r>
      <w:r w:rsidR="00BF059B">
        <w:t xml:space="preserve"> </w:t>
      </w:r>
      <w:r>
        <w:t>and</w:t>
      </w:r>
      <w:r w:rsidR="00BF059B">
        <w:t xml:space="preserve"> </w:t>
      </w:r>
      <w:r>
        <w:t>share</w:t>
      </w:r>
      <w:r w:rsidR="00BF059B">
        <w:t xml:space="preserve"> </w:t>
      </w:r>
      <w:r>
        <w:t>our</w:t>
      </w:r>
      <w:r w:rsidR="00BF059B">
        <w:t xml:space="preserve"> </w:t>
      </w:r>
      <w:r>
        <w:t>collections,</w:t>
      </w:r>
      <w:r w:rsidR="00BF059B">
        <w:t xml:space="preserve"> </w:t>
      </w:r>
      <w:r>
        <w:t>estate</w:t>
      </w:r>
      <w:r w:rsidR="00BF059B">
        <w:t xml:space="preserve"> </w:t>
      </w:r>
      <w:r>
        <w:t>and</w:t>
      </w:r>
      <w:r w:rsidR="00BF059B">
        <w:t xml:space="preserve"> </w:t>
      </w:r>
      <w:r>
        <w:t>expertise</w:t>
      </w:r>
      <w:r w:rsidR="00BF059B">
        <w:t xml:space="preserve"> </w:t>
      </w:r>
      <w:r>
        <w:t>for</w:t>
      </w:r>
      <w:r w:rsidR="00BF059B">
        <w:t xml:space="preserve"> </w:t>
      </w:r>
      <w:r>
        <w:t>the</w:t>
      </w:r>
      <w:r w:rsidR="00BF059B">
        <w:t xml:space="preserve"> </w:t>
      </w:r>
      <w:r>
        <w:t>widest</w:t>
      </w:r>
      <w:r w:rsidR="00BF059B">
        <w:t xml:space="preserve"> </w:t>
      </w:r>
      <w:r>
        <w:t>possible</w:t>
      </w:r>
      <w:r w:rsidR="00BF059B">
        <w:t xml:space="preserve"> </w:t>
      </w:r>
      <w:r>
        <w:t>public</w:t>
      </w:r>
      <w:r w:rsidR="00BF059B">
        <w:t xml:space="preserve"> </w:t>
      </w:r>
      <w:r>
        <w:t>benefit.</w:t>
      </w:r>
    </w:p>
    <w:p w14:paraId="468E32C5" w14:textId="77777777" w:rsidR="00BE13A8" w:rsidRDefault="00BE13A8" w:rsidP="0015265F">
      <w:pPr>
        <w:rPr>
          <w:i/>
        </w:rPr>
      </w:pPr>
    </w:p>
    <w:p w14:paraId="7263A9DD" w14:textId="3A8F8604" w:rsidR="00BE13A8" w:rsidRPr="008D4835" w:rsidRDefault="00D70530" w:rsidP="0015265F">
      <w:pPr>
        <w:numPr>
          <w:ilvl w:val="0"/>
          <w:numId w:val="4"/>
        </w:numPr>
        <w:pBdr>
          <w:top w:val="nil"/>
          <w:left w:val="nil"/>
          <w:bottom w:val="nil"/>
          <w:right w:val="nil"/>
          <w:between w:val="nil"/>
        </w:pBdr>
        <w:ind w:left="426"/>
        <w:rPr>
          <w:color w:val="000000"/>
        </w:rPr>
      </w:pPr>
      <w:r>
        <w:rPr>
          <w:color w:val="000000"/>
        </w:rPr>
        <w:t>Fundamental</w:t>
      </w:r>
      <w:r w:rsidR="00BF059B">
        <w:rPr>
          <w:color w:val="000000"/>
        </w:rPr>
        <w:t xml:space="preserve"> </w:t>
      </w:r>
      <w:r>
        <w:rPr>
          <w:color w:val="000000"/>
        </w:rPr>
        <w:t>to</w:t>
      </w:r>
      <w:r w:rsidR="00BF059B">
        <w:rPr>
          <w:color w:val="000000"/>
        </w:rPr>
        <w:t xml:space="preserve"> </w:t>
      </w:r>
      <w:r>
        <w:rPr>
          <w:color w:val="000000"/>
        </w:rPr>
        <w:t>our</w:t>
      </w:r>
      <w:r w:rsidR="00BF059B">
        <w:rPr>
          <w:color w:val="000000"/>
        </w:rPr>
        <w:t xml:space="preserve"> </w:t>
      </w:r>
      <w:r>
        <w:rPr>
          <w:color w:val="000000"/>
        </w:rPr>
        <w:t>plans</w:t>
      </w:r>
      <w:r w:rsidR="00BF059B">
        <w:rPr>
          <w:color w:val="000000"/>
        </w:rPr>
        <w:t xml:space="preserve"> </w:t>
      </w:r>
      <w:r>
        <w:rPr>
          <w:color w:val="000000"/>
        </w:rPr>
        <w:t>to</w:t>
      </w:r>
      <w:r w:rsidR="00BF059B">
        <w:rPr>
          <w:color w:val="000000"/>
        </w:rPr>
        <w:t xml:space="preserve"> </w:t>
      </w:r>
      <w:r>
        <w:rPr>
          <w:color w:val="000000"/>
        </w:rPr>
        <w:t>make</w:t>
      </w:r>
      <w:r w:rsidR="00BF059B">
        <w:rPr>
          <w:color w:val="000000"/>
        </w:rPr>
        <w:t xml:space="preserve"> </w:t>
      </w:r>
      <w:r>
        <w:rPr>
          <w:color w:val="000000"/>
        </w:rPr>
        <w:t>the</w:t>
      </w:r>
      <w:r w:rsidR="00BF059B">
        <w:rPr>
          <w:color w:val="000000"/>
        </w:rPr>
        <w:t xml:space="preserve"> </w:t>
      </w:r>
      <w:r>
        <w:rPr>
          <w:color w:val="000000"/>
        </w:rPr>
        <w:t>Horniman</w:t>
      </w:r>
      <w:r w:rsidR="00BF059B">
        <w:rPr>
          <w:color w:val="000000"/>
        </w:rPr>
        <w:t xml:space="preserve"> </w:t>
      </w:r>
      <w:r>
        <w:rPr>
          <w:color w:val="000000"/>
        </w:rPr>
        <w:t>accessible</w:t>
      </w:r>
      <w:r w:rsidR="00BF059B">
        <w:rPr>
          <w:color w:val="000000"/>
        </w:rPr>
        <w:t xml:space="preserve"> </w:t>
      </w:r>
      <w:r>
        <w:rPr>
          <w:color w:val="000000"/>
        </w:rPr>
        <w:t>to</w:t>
      </w:r>
      <w:r w:rsidR="00BF059B">
        <w:rPr>
          <w:color w:val="000000"/>
        </w:rPr>
        <w:t xml:space="preserve"> </w:t>
      </w:r>
      <w:r>
        <w:rPr>
          <w:color w:val="000000"/>
        </w:rPr>
        <w:t>all</w:t>
      </w:r>
      <w:r w:rsidR="00BF059B">
        <w:rPr>
          <w:color w:val="000000"/>
        </w:rPr>
        <w:t xml:space="preserve"> </w:t>
      </w:r>
      <w:r>
        <w:rPr>
          <w:color w:val="000000"/>
        </w:rPr>
        <w:t>audiences</w:t>
      </w:r>
      <w:r w:rsidR="00BF059B">
        <w:rPr>
          <w:color w:val="000000"/>
        </w:rPr>
        <w:t xml:space="preserve"> </w:t>
      </w:r>
      <w:r>
        <w:rPr>
          <w:color w:val="000000"/>
        </w:rPr>
        <w:t>is</w:t>
      </w:r>
      <w:r w:rsidR="00BF059B">
        <w:rPr>
          <w:color w:val="000000"/>
        </w:rPr>
        <w:t xml:space="preserve"> </w:t>
      </w:r>
      <w:r>
        <w:rPr>
          <w:color w:val="000000"/>
        </w:rPr>
        <w:t>our</w:t>
      </w:r>
      <w:r w:rsidR="00BF059B">
        <w:rPr>
          <w:color w:val="000000"/>
        </w:rPr>
        <w:t xml:space="preserve"> </w:t>
      </w:r>
      <w:r>
        <w:rPr>
          <w:color w:val="000000"/>
        </w:rPr>
        <w:t>work</w:t>
      </w:r>
      <w:r w:rsidR="00BF059B">
        <w:rPr>
          <w:color w:val="000000"/>
        </w:rPr>
        <w:t xml:space="preserve"> </w:t>
      </w:r>
      <w:r>
        <w:rPr>
          <w:color w:val="000000"/>
        </w:rPr>
        <w:t>to</w:t>
      </w:r>
      <w:r w:rsidR="00BF059B">
        <w:rPr>
          <w:color w:val="000000"/>
        </w:rPr>
        <w:t xml:space="preserve"> </w:t>
      </w:r>
      <w:r>
        <w:rPr>
          <w:color w:val="000000"/>
        </w:rPr>
        <w:t>diversify</w:t>
      </w:r>
      <w:r w:rsidR="00BF059B">
        <w:rPr>
          <w:color w:val="000000"/>
        </w:rPr>
        <w:t xml:space="preserve"> </w:t>
      </w:r>
      <w:r>
        <w:rPr>
          <w:color w:val="000000"/>
        </w:rPr>
        <w:t>our</w:t>
      </w:r>
      <w:r w:rsidR="00BF059B">
        <w:rPr>
          <w:color w:val="000000"/>
        </w:rPr>
        <w:t xml:space="preserve"> </w:t>
      </w:r>
      <w:r>
        <w:rPr>
          <w:color w:val="000000"/>
        </w:rPr>
        <w:t>own</w:t>
      </w:r>
      <w:r w:rsidR="00BF059B">
        <w:rPr>
          <w:color w:val="000000"/>
        </w:rPr>
        <w:t xml:space="preserve"> </w:t>
      </w:r>
      <w:r>
        <w:rPr>
          <w:color w:val="000000"/>
        </w:rPr>
        <w:t>staff</w:t>
      </w:r>
      <w:r w:rsidR="00BF059B">
        <w:rPr>
          <w:color w:val="000000"/>
        </w:rPr>
        <w:t xml:space="preserve"> </w:t>
      </w:r>
      <w:r>
        <w:rPr>
          <w:color w:val="000000"/>
        </w:rPr>
        <w:t>and</w:t>
      </w:r>
      <w:r w:rsidR="00BF059B">
        <w:rPr>
          <w:color w:val="000000"/>
        </w:rPr>
        <w:t xml:space="preserve"> </w:t>
      </w:r>
      <w:r>
        <w:rPr>
          <w:color w:val="000000"/>
        </w:rPr>
        <w:t>volunteers.</w:t>
      </w:r>
      <w:r w:rsidR="00BF059B">
        <w:rPr>
          <w:color w:val="000000"/>
        </w:rPr>
        <w:t xml:space="preserve"> </w:t>
      </w:r>
      <w:r>
        <w:rPr>
          <w:color w:val="000000"/>
        </w:rPr>
        <w:t>This</w:t>
      </w:r>
      <w:r w:rsidR="00BF059B">
        <w:rPr>
          <w:color w:val="000000"/>
        </w:rPr>
        <w:t xml:space="preserve"> </w:t>
      </w:r>
      <w:r>
        <w:rPr>
          <w:color w:val="000000"/>
        </w:rPr>
        <w:t>issue</w:t>
      </w:r>
      <w:r w:rsidR="00BF059B">
        <w:rPr>
          <w:color w:val="000000"/>
        </w:rPr>
        <w:t xml:space="preserve"> </w:t>
      </w:r>
      <w:r>
        <w:rPr>
          <w:color w:val="000000"/>
        </w:rPr>
        <w:t>is</w:t>
      </w:r>
      <w:r w:rsidR="00BF059B">
        <w:rPr>
          <w:color w:val="000000"/>
        </w:rPr>
        <w:t xml:space="preserve"> </w:t>
      </w:r>
      <w:r>
        <w:rPr>
          <w:color w:val="000000"/>
        </w:rPr>
        <w:t>the</w:t>
      </w:r>
      <w:r w:rsidR="00BF059B">
        <w:rPr>
          <w:color w:val="000000"/>
        </w:rPr>
        <w:t xml:space="preserve"> </w:t>
      </w:r>
      <w:r>
        <w:rPr>
          <w:color w:val="000000"/>
        </w:rPr>
        <w:t>foremost</w:t>
      </w:r>
      <w:r w:rsidR="00BF059B">
        <w:rPr>
          <w:color w:val="000000"/>
        </w:rPr>
        <w:t xml:space="preserve"> </w:t>
      </w:r>
      <w:r>
        <w:rPr>
          <w:color w:val="000000"/>
        </w:rPr>
        <w:t>one</w:t>
      </w:r>
      <w:r w:rsidR="00BF059B">
        <w:rPr>
          <w:color w:val="000000"/>
        </w:rPr>
        <w:t xml:space="preserve"> </w:t>
      </w:r>
      <w:r>
        <w:rPr>
          <w:color w:val="000000"/>
        </w:rPr>
        <w:t>being</w:t>
      </w:r>
      <w:r w:rsidR="00BF059B">
        <w:rPr>
          <w:color w:val="000000"/>
        </w:rPr>
        <w:t xml:space="preserve"> </w:t>
      </w:r>
      <w:r>
        <w:rPr>
          <w:color w:val="000000"/>
        </w:rPr>
        <w:t>addressed</w:t>
      </w:r>
      <w:r w:rsidR="00BF059B">
        <w:rPr>
          <w:color w:val="000000"/>
        </w:rPr>
        <w:t xml:space="preserve"> </w:t>
      </w:r>
      <w:r>
        <w:rPr>
          <w:color w:val="000000"/>
        </w:rPr>
        <w:t>by</w:t>
      </w:r>
      <w:r w:rsidR="00BF059B">
        <w:rPr>
          <w:color w:val="000000"/>
        </w:rPr>
        <w:t xml:space="preserve"> </w:t>
      </w:r>
      <w:r>
        <w:rPr>
          <w:color w:val="000000"/>
        </w:rPr>
        <w:t>our</w:t>
      </w:r>
      <w:r w:rsidR="00BF059B">
        <w:rPr>
          <w:color w:val="000000"/>
        </w:rPr>
        <w:t xml:space="preserve"> </w:t>
      </w:r>
      <w:r>
        <w:rPr>
          <w:color w:val="000000"/>
        </w:rPr>
        <w:t>Equity,</w:t>
      </w:r>
      <w:r w:rsidR="00BF059B">
        <w:rPr>
          <w:color w:val="000000"/>
        </w:rPr>
        <w:t xml:space="preserve"> </w:t>
      </w:r>
      <w:r>
        <w:rPr>
          <w:color w:val="000000"/>
        </w:rPr>
        <w:t>Diversity</w:t>
      </w:r>
      <w:r w:rsidR="00BF059B">
        <w:rPr>
          <w:color w:val="000000"/>
        </w:rPr>
        <w:t xml:space="preserve"> </w:t>
      </w:r>
      <w:r>
        <w:rPr>
          <w:color w:val="000000"/>
        </w:rPr>
        <w:t>and</w:t>
      </w:r>
      <w:r w:rsidR="00BF059B">
        <w:rPr>
          <w:color w:val="000000"/>
        </w:rPr>
        <w:t xml:space="preserve"> </w:t>
      </w:r>
      <w:r>
        <w:rPr>
          <w:color w:val="000000"/>
        </w:rPr>
        <w:t>Inclusion</w:t>
      </w:r>
      <w:r w:rsidR="00BF059B">
        <w:rPr>
          <w:color w:val="000000"/>
        </w:rPr>
        <w:t xml:space="preserve"> </w:t>
      </w:r>
      <w:r>
        <w:rPr>
          <w:color w:val="000000"/>
        </w:rPr>
        <w:t>Working</w:t>
      </w:r>
      <w:r w:rsidR="00BF059B">
        <w:rPr>
          <w:color w:val="000000"/>
        </w:rPr>
        <w:t xml:space="preserve"> </w:t>
      </w:r>
      <w:r>
        <w:rPr>
          <w:color w:val="000000"/>
        </w:rPr>
        <w:t>Group,</w:t>
      </w:r>
      <w:r w:rsidR="00BF059B">
        <w:rPr>
          <w:color w:val="000000"/>
        </w:rPr>
        <w:t xml:space="preserve"> </w:t>
      </w:r>
      <w:r>
        <w:rPr>
          <w:color w:val="000000"/>
        </w:rPr>
        <w:t>which</w:t>
      </w:r>
      <w:r w:rsidR="00BF059B">
        <w:rPr>
          <w:color w:val="000000"/>
        </w:rPr>
        <w:t xml:space="preserve"> </w:t>
      </w:r>
      <w:r>
        <w:rPr>
          <w:color w:val="000000"/>
        </w:rPr>
        <w:t>has</w:t>
      </w:r>
      <w:r w:rsidR="00BF059B">
        <w:rPr>
          <w:color w:val="000000"/>
        </w:rPr>
        <w:t xml:space="preserve"> </w:t>
      </w:r>
      <w:r>
        <w:rPr>
          <w:color w:val="000000"/>
        </w:rPr>
        <w:t>specific</w:t>
      </w:r>
      <w:r w:rsidR="00BF059B">
        <w:rPr>
          <w:color w:val="000000"/>
        </w:rPr>
        <w:t xml:space="preserve"> </w:t>
      </w:r>
      <w:r>
        <w:rPr>
          <w:color w:val="000000"/>
        </w:rPr>
        <w:t>annual</w:t>
      </w:r>
      <w:r w:rsidR="00BF059B">
        <w:rPr>
          <w:color w:val="000000"/>
        </w:rPr>
        <w:t xml:space="preserve"> </w:t>
      </w:r>
      <w:r>
        <w:rPr>
          <w:color w:val="000000"/>
        </w:rPr>
        <w:t>targets.</w:t>
      </w:r>
      <w:r w:rsidR="00BF059B">
        <w:rPr>
          <w:color w:val="000000"/>
        </w:rPr>
        <w:t xml:space="preserve"> </w:t>
      </w:r>
      <w:r>
        <w:rPr>
          <w:color w:val="000000"/>
        </w:rPr>
        <w:t>We</w:t>
      </w:r>
      <w:r w:rsidR="00BF059B">
        <w:rPr>
          <w:color w:val="000000"/>
        </w:rPr>
        <w:t xml:space="preserve"> </w:t>
      </w:r>
      <w:r>
        <w:rPr>
          <w:color w:val="000000"/>
        </w:rPr>
        <w:t>will</w:t>
      </w:r>
      <w:r w:rsidR="00BF059B">
        <w:rPr>
          <w:color w:val="000000"/>
        </w:rPr>
        <w:t xml:space="preserve"> </w:t>
      </w:r>
      <w:r>
        <w:rPr>
          <w:color w:val="000000"/>
        </w:rPr>
        <w:t>support</w:t>
      </w:r>
      <w:r w:rsidR="00BF059B">
        <w:rPr>
          <w:color w:val="000000"/>
        </w:rPr>
        <w:t xml:space="preserve"> </w:t>
      </w:r>
      <w:r>
        <w:rPr>
          <w:color w:val="000000"/>
        </w:rPr>
        <w:t>the</w:t>
      </w:r>
      <w:r w:rsidR="00BF059B">
        <w:rPr>
          <w:color w:val="000000"/>
        </w:rPr>
        <w:t xml:space="preserve"> </w:t>
      </w:r>
      <w:r>
        <w:rPr>
          <w:color w:val="000000"/>
        </w:rPr>
        <w:t>People</w:t>
      </w:r>
      <w:r w:rsidR="00BF059B">
        <w:rPr>
          <w:color w:val="000000"/>
        </w:rPr>
        <w:t xml:space="preserve"> </w:t>
      </w:r>
      <w:r>
        <w:rPr>
          <w:color w:val="000000"/>
        </w:rPr>
        <w:t>of</w:t>
      </w:r>
      <w:r w:rsidR="00BF059B">
        <w:rPr>
          <w:color w:val="000000"/>
        </w:rPr>
        <w:t xml:space="preserve"> </w:t>
      </w:r>
      <w:r>
        <w:rPr>
          <w:color w:val="000000"/>
        </w:rPr>
        <w:t>Colour</w:t>
      </w:r>
      <w:r w:rsidR="00BF059B">
        <w:rPr>
          <w:color w:val="000000"/>
        </w:rPr>
        <w:t xml:space="preserve"> </w:t>
      </w:r>
      <w:r>
        <w:rPr>
          <w:color w:val="000000"/>
        </w:rPr>
        <w:t>staff</w:t>
      </w:r>
      <w:r w:rsidR="00BF059B">
        <w:rPr>
          <w:color w:val="000000"/>
        </w:rPr>
        <w:t xml:space="preserve"> </w:t>
      </w:r>
      <w:r>
        <w:rPr>
          <w:color w:val="000000"/>
        </w:rPr>
        <w:t>network,</w:t>
      </w:r>
      <w:r w:rsidR="00BF059B">
        <w:rPr>
          <w:color w:val="000000"/>
        </w:rPr>
        <w:t xml:space="preserve"> </w:t>
      </w:r>
      <w:r>
        <w:rPr>
          <w:color w:val="000000"/>
        </w:rPr>
        <w:t>the</w:t>
      </w:r>
      <w:r w:rsidR="00BF059B">
        <w:rPr>
          <w:color w:val="000000"/>
        </w:rPr>
        <w:t xml:space="preserve"> </w:t>
      </w:r>
      <w:r>
        <w:rPr>
          <w:color w:val="000000"/>
        </w:rPr>
        <w:t>LGBTQ+</w:t>
      </w:r>
      <w:r w:rsidR="00BF059B">
        <w:rPr>
          <w:color w:val="000000"/>
        </w:rPr>
        <w:t xml:space="preserve"> </w:t>
      </w:r>
      <w:r>
        <w:rPr>
          <w:color w:val="000000"/>
        </w:rPr>
        <w:t>network,</w:t>
      </w:r>
      <w:r w:rsidR="00BF059B">
        <w:rPr>
          <w:color w:val="000000"/>
        </w:rPr>
        <w:t xml:space="preserve"> </w:t>
      </w:r>
      <w:r>
        <w:rPr>
          <w:color w:val="000000"/>
        </w:rPr>
        <w:t>and</w:t>
      </w:r>
      <w:r w:rsidR="00BF059B">
        <w:rPr>
          <w:color w:val="000000"/>
        </w:rPr>
        <w:t xml:space="preserve"> </w:t>
      </w:r>
      <w:r>
        <w:rPr>
          <w:color w:val="000000"/>
        </w:rPr>
        <w:t>the</w:t>
      </w:r>
      <w:r w:rsidR="00BF059B">
        <w:rPr>
          <w:color w:val="000000"/>
        </w:rPr>
        <w:t xml:space="preserve"> </w:t>
      </w:r>
      <w:r>
        <w:rPr>
          <w:color w:val="000000"/>
        </w:rPr>
        <w:t>Staff</w:t>
      </w:r>
      <w:r w:rsidR="00BF059B">
        <w:rPr>
          <w:color w:val="000000"/>
        </w:rPr>
        <w:t xml:space="preserve"> </w:t>
      </w:r>
      <w:r>
        <w:rPr>
          <w:color w:val="000000"/>
        </w:rPr>
        <w:t>Wellbeing</w:t>
      </w:r>
      <w:r w:rsidR="00BF059B">
        <w:rPr>
          <w:color w:val="000000"/>
        </w:rPr>
        <w:t xml:space="preserve"> </w:t>
      </w:r>
      <w:r>
        <w:rPr>
          <w:color w:val="000000"/>
        </w:rPr>
        <w:t>group</w:t>
      </w:r>
      <w:r w:rsidR="00BF059B">
        <w:rPr>
          <w:color w:val="000000"/>
        </w:rPr>
        <w:t xml:space="preserve"> </w:t>
      </w:r>
      <w:r>
        <w:rPr>
          <w:color w:val="000000"/>
        </w:rPr>
        <w:t>and</w:t>
      </w:r>
      <w:r w:rsidR="00BF059B">
        <w:rPr>
          <w:color w:val="000000"/>
        </w:rPr>
        <w:t xml:space="preserve"> </w:t>
      </w:r>
      <w:r>
        <w:rPr>
          <w:color w:val="000000"/>
        </w:rPr>
        <w:t>initiatives,</w:t>
      </w:r>
      <w:r w:rsidR="00BF059B">
        <w:rPr>
          <w:color w:val="000000"/>
        </w:rPr>
        <w:t xml:space="preserve"> </w:t>
      </w:r>
      <w:r>
        <w:rPr>
          <w:color w:val="000000"/>
        </w:rPr>
        <w:t>and</w:t>
      </w:r>
      <w:r w:rsidR="00BF059B">
        <w:rPr>
          <w:color w:val="000000"/>
        </w:rPr>
        <w:t xml:space="preserve"> </w:t>
      </w:r>
      <w:r>
        <w:rPr>
          <w:color w:val="000000"/>
        </w:rPr>
        <w:t>recognise</w:t>
      </w:r>
      <w:r w:rsidR="00BF059B">
        <w:rPr>
          <w:color w:val="000000"/>
        </w:rPr>
        <w:t xml:space="preserve"> </w:t>
      </w:r>
      <w:r>
        <w:rPr>
          <w:color w:val="000000"/>
        </w:rPr>
        <w:t>and</w:t>
      </w:r>
      <w:r w:rsidR="00BF059B">
        <w:rPr>
          <w:color w:val="000000"/>
        </w:rPr>
        <w:t xml:space="preserve"> </w:t>
      </w:r>
      <w:r>
        <w:rPr>
          <w:color w:val="000000"/>
        </w:rPr>
        <w:t>celebrate</w:t>
      </w:r>
      <w:r w:rsidR="00BF059B">
        <w:rPr>
          <w:color w:val="000000"/>
        </w:rPr>
        <w:t xml:space="preserve"> </w:t>
      </w:r>
      <w:r>
        <w:rPr>
          <w:color w:val="000000"/>
        </w:rPr>
        <w:t>the</w:t>
      </w:r>
      <w:r w:rsidR="00BF059B">
        <w:rPr>
          <w:color w:val="000000"/>
        </w:rPr>
        <w:t xml:space="preserve"> </w:t>
      </w:r>
      <w:r>
        <w:rPr>
          <w:color w:val="000000"/>
        </w:rPr>
        <w:t>contribution</w:t>
      </w:r>
      <w:r w:rsidR="00BF059B">
        <w:rPr>
          <w:color w:val="000000"/>
        </w:rPr>
        <w:t xml:space="preserve"> </w:t>
      </w:r>
      <w:r>
        <w:rPr>
          <w:color w:val="000000"/>
        </w:rPr>
        <w:t>of</w:t>
      </w:r>
      <w:r w:rsidR="00BF059B">
        <w:rPr>
          <w:color w:val="000000"/>
        </w:rPr>
        <w:t xml:space="preserve"> </w:t>
      </w:r>
      <w:r>
        <w:rPr>
          <w:color w:val="000000"/>
        </w:rPr>
        <w:t>our</w:t>
      </w:r>
      <w:r w:rsidR="00BF059B">
        <w:rPr>
          <w:color w:val="000000"/>
        </w:rPr>
        <w:t xml:space="preserve"> </w:t>
      </w:r>
      <w:r>
        <w:rPr>
          <w:color w:val="000000"/>
        </w:rPr>
        <w:t>volunteers.</w:t>
      </w:r>
      <w:r w:rsidR="00BF059B">
        <w:rPr>
          <w:color w:val="000000"/>
        </w:rPr>
        <w:t xml:space="preserve">  </w:t>
      </w:r>
      <w:r>
        <w:rPr>
          <w:color w:val="000000"/>
        </w:rPr>
        <w:t>We</w:t>
      </w:r>
      <w:r w:rsidR="00BF059B">
        <w:rPr>
          <w:color w:val="000000"/>
        </w:rPr>
        <w:t xml:space="preserve"> </w:t>
      </w:r>
      <w:r>
        <w:rPr>
          <w:color w:val="000000"/>
        </w:rPr>
        <w:t>will</w:t>
      </w:r>
      <w:r w:rsidR="00BF059B">
        <w:rPr>
          <w:color w:val="000000"/>
        </w:rPr>
        <w:t xml:space="preserve"> </w:t>
      </w:r>
      <w:r>
        <w:rPr>
          <w:color w:val="000000"/>
        </w:rPr>
        <w:t>nurture</w:t>
      </w:r>
      <w:r w:rsidR="00BF059B">
        <w:rPr>
          <w:color w:val="000000"/>
        </w:rPr>
        <w:t xml:space="preserve"> </w:t>
      </w:r>
      <w:r>
        <w:rPr>
          <w:color w:val="000000"/>
        </w:rPr>
        <w:t>the</w:t>
      </w:r>
      <w:r w:rsidR="00BF059B">
        <w:rPr>
          <w:color w:val="000000"/>
        </w:rPr>
        <w:t xml:space="preserve"> </w:t>
      </w:r>
      <w:r>
        <w:rPr>
          <w:color w:val="000000"/>
        </w:rPr>
        <w:t>next</w:t>
      </w:r>
      <w:r w:rsidR="00BF059B">
        <w:rPr>
          <w:color w:val="000000"/>
        </w:rPr>
        <w:t xml:space="preserve"> </w:t>
      </w:r>
      <w:r>
        <w:rPr>
          <w:color w:val="000000"/>
        </w:rPr>
        <w:t>generation</w:t>
      </w:r>
      <w:r w:rsidR="00BF059B">
        <w:rPr>
          <w:color w:val="000000"/>
        </w:rPr>
        <w:t xml:space="preserve"> </w:t>
      </w:r>
      <w:r>
        <w:rPr>
          <w:color w:val="000000"/>
        </w:rPr>
        <w:t>of</w:t>
      </w:r>
      <w:r w:rsidR="00BF059B">
        <w:rPr>
          <w:color w:val="000000"/>
        </w:rPr>
        <w:t xml:space="preserve"> </w:t>
      </w:r>
      <w:r>
        <w:rPr>
          <w:color w:val="000000"/>
        </w:rPr>
        <w:t>museum</w:t>
      </w:r>
      <w:r w:rsidR="00BF059B">
        <w:rPr>
          <w:color w:val="000000"/>
        </w:rPr>
        <w:t xml:space="preserve"> </w:t>
      </w:r>
      <w:r>
        <w:rPr>
          <w:color w:val="000000"/>
        </w:rPr>
        <w:t>professionals</w:t>
      </w:r>
      <w:r w:rsidR="00BF059B">
        <w:rPr>
          <w:color w:val="000000"/>
        </w:rPr>
        <w:t xml:space="preserve"> </w:t>
      </w:r>
      <w:r>
        <w:rPr>
          <w:color w:val="000000"/>
        </w:rPr>
        <w:t>through</w:t>
      </w:r>
      <w:r w:rsidR="00BF059B">
        <w:rPr>
          <w:color w:val="000000"/>
        </w:rPr>
        <w:t xml:space="preserve"> </w:t>
      </w:r>
      <w:r>
        <w:rPr>
          <w:color w:val="000000"/>
        </w:rPr>
        <w:t>careers</w:t>
      </w:r>
      <w:r w:rsidR="00BF059B">
        <w:rPr>
          <w:color w:val="000000"/>
        </w:rPr>
        <w:t xml:space="preserve"> </w:t>
      </w:r>
      <w:r>
        <w:rPr>
          <w:color w:val="000000"/>
        </w:rPr>
        <w:t>days,</w:t>
      </w:r>
      <w:r w:rsidR="00BF059B">
        <w:rPr>
          <w:color w:val="000000"/>
        </w:rPr>
        <w:t xml:space="preserve"> </w:t>
      </w:r>
      <w:r>
        <w:rPr>
          <w:color w:val="000000"/>
        </w:rPr>
        <w:t>work</w:t>
      </w:r>
      <w:r w:rsidR="00BF059B">
        <w:rPr>
          <w:color w:val="000000"/>
        </w:rPr>
        <w:t xml:space="preserve"> </w:t>
      </w:r>
      <w:r>
        <w:rPr>
          <w:color w:val="000000"/>
        </w:rPr>
        <w:t>experience</w:t>
      </w:r>
      <w:r w:rsidR="00BF059B">
        <w:rPr>
          <w:color w:val="000000"/>
        </w:rPr>
        <w:t xml:space="preserve"> </w:t>
      </w:r>
      <w:r>
        <w:rPr>
          <w:color w:val="000000"/>
        </w:rPr>
        <w:t>and</w:t>
      </w:r>
      <w:r w:rsidR="00BF059B">
        <w:rPr>
          <w:color w:val="000000"/>
        </w:rPr>
        <w:t xml:space="preserve"> </w:t>
      </w:r>
      <w:r>
        <w:rPr>
          <w:color w:val="000000"/>
        </w:rPr>
        <w:t>student</w:t>
      </w:r>
      <w:r w:rsidR="00BF059B">
        <w:rPr>
          <w:color w:val="000000"/>
        </w:rPr>
        <w:t xml:space="preserve"> </w:t>
      </w:r>
      <w:r>
        <w:rPr>
          <w:color w:val="000000"/>
        </w:rPr>
        <w:t>placements,</w:t>
      </w:r>
      <w:r w:rsidR="00BF059B">
        <w:rPr>
          <w:color w:val="000000"/>
        </w:rPr>
        <w:t xml:space="preserve"> </w:t>
      </w:r>
      <w:r>
        <w:rPr>
          <w:color w:val="000000"/>
        </w:rPr>
        <w:t>as</w:t>
      </w:r>
      <w:r w:rsidR="00BF059B">
        <w:rPr>
          <w:color w:val="000000"/>
        </w:rPr>
        <w:t xml:space="preserve"> </w:t>
      </w:r>
      <w:r>
        <w:rPr>
          <w:color w:val="000000"/>
        </w:rPr>
        <w:t>well</w:t>
      </w:r>
      <w:r w:rsidR="00BF059B">
        <w:rPr>
          <w:color w:val="000000"/>
        </w:rPr>
        <w:t xml:space="preserve"> </w:t>
      </w:r>
      <w:r>
        <w:rPr>
          <w:color w:val="000000"/>
        </w:rPr>
        <w:t>as</w:t>
      </w:r>
      <w:r w:rsidR="00BF059B">
        <w:rPr>
          <w:color w:val="000000"/>
        </w:rPr>
        <w:t xml:space="preserve"> </w:t>
      </w:r>
      <w:r>
        <w:rPr>
          <w:color w:val="000000"/>
        </w:rPr>
        <w:t>our</w:t>
      </w:r>
      <w:r w:rsidR="00BF059B">
        <w:rPr>
          <w:color w:val="000000"/>
        </w:rPr>
        <w:t xml:space="preserve"> </w:t>
      </w:r>
      <w:r>
        <w:rPr>
          <w:color w:val="000000"/>
        </w:rPr>
        <w:t>joint</w:t>
      </w:r>
      <w:r w:rsidR="00BF059B">
        <w:rPr>
          <w:color w:val="000000"/>
        </w:rPr>
        <w:t xml:space="preserve"> </w:t>
      </w:r>
      <w:r>
        <w:rPr>
          <w:color w:val="000000"/>
        </w:rPr>
        <w:t>MA</w:t>
      </w:r>
      <w:r w:rsidR="00BF059B">
        <w:rPr>
          <w:color w:val="000000"/>
        </w:rPr>
        <w:t xml:space="preserve"> </w:t>
      </w:r>
      <w:r>
        <w:rPr>
          <w:color w:val="000000"/>
        </w:rPr>
        <w:t>in</w:t>
      </w:r>
      <w:r w:rsidR="00BF059B">
        <w:rPr>
          <w:color w:val="000000"/>
        </w:rPr>
        <w:t xml:space="preserve"> </w:t>
      </w:r>
      <w:r>
        <w:rPr>
          <w:color w:val="000000"/>
        </w:rPr>
        <w:t>Anthropology</w:t>
      </w:r>
      <w:r w:rsidR="00BF059B">
        <w:rPr>
          <w:color w:val="000000"/>
        </w:rPr>
        <w:t xml:space="preserve"> </w:t>
      </w:r>
      <w:r>
        <w:rPr>
          <w:color w:val="000000"/>
        </w:rPr>
        <w:t>and</w:t>
      </w:r>
      <w:r w:rsidR="00BF059B">
        <w:rPr>
          <w:color w:val="000000"/>
        </w:rPr>
        <w:t xml:space="preserve"> </w:t>
      </w:r>
      <w:r>
        <w:rPr>
          <w:color w:val="000000"/>
        </w:rPr>
        <w:t>Museum</w:t>
      </w:r>
      <w:r w:rsidR="00BF059B">
        <w:rPr>
          <w:color w:val="000000"/>
        </w:rPr>
        <w:t xml:space="preserve"> </w:t>
      </w:r>
      <w:r>
        <w:rPr>
          <w:color w:val="000000"/>
        </w:rPr>
        <w:t>Practice</w:t>
      </w:r>
      <w:r w:rsidR="00BF059B">
        <w:rPr>
          <w:color w:val="000000"/>
        </w:rPr>
        <w:t xml:space="preserve"> </w:t>
      </w:r>
      <w:r>
        <w:rPr>
          <w:color w:val="000000"/>
        </w:rPr>
        <w:t>with</w:t>
      </w:r>
      <w:r w:rsidR="00BF059B">
        <w:rPr>
          <w:color w:val="000000"/>
          <w:sz w:val="20"/>
          <w:szCs w:val="20"/>
        </w:rPr>
        <w:t xml:space="preserve"> </w:t>
      </w:r>
      <w:r>
        <w:rPr>
          <w:color w:val="000000"/>
        </w:rPr>
        <w:t>Goldsmiths,</w:t>
      </w:r>
      <w:r w:rsidR="00BF059B">
        <w:rPr>
          <w:color w:val="000000"/>
        </w:rPr>
        <w:t xml:space="preserve"> </w:t>
      </w:r>
      <w:r>
        <w:rPr>
          <w:color w:val="000000"/>
        </w:rPr>
        <w:t>University</w:t>
      </w:r>
      <w:r w:rsidR="00BF059B">
        <w:rPr>
          <w:color w:val="000000"/>
        </w:rPr>
        <w:t xml:space="preserve"> </w:t>
      </w:r>
      <w:r>
        <w:rPr>
          <w:color w:val="000000"/>
        </w:rPr>
        <w:t>of</w:t>
      </w:r>
      <w:r w:rsidR="00BF059B">
        <w:rPr>
          <w:color w:val="000000"/>
        </w:rPr>
        <w:t xml:space="preserve"> </w:t>
      </w:r>
      <w:r>
        <w:rPr>
          <w:color w:val="000000"/>
        </w:rPr>
        <w:t>London.</w:t>
      </w:r>
    </w:p>
    <w:p w14:paraId="4D6D6EC3" w14:textId="23852A6F" w:rsidR="00BE13A8" w:rsidRPr="008D4835" w:rsidRDefault="00D70530" w:rsidP="0015265F">
      <w:pPr>
        <w:numPr>
          <w:ilvl w:val="0"/>
          <w:numId w:val="4"/>
        </w:numPr>
        <w:pBdr>
          <w:top w:val="nil"/>
          <w:left w:val="nil"/>
          <w:bottom w:val="nil"/>
          <w:right w:val="nil"/>
          <w:between w:val="nil"/>
        </w:pBdr>
        <w:ind w:left="426"/>
        <w:rPr>
          <w:color w:val="000000"/>
        </w:rPr>
      </w:pPr>
      <w:r>
        <w:rPr>
          <w:color w:val="000000"/>
        </w:rPr>
        <w:t>During</w:t>
      </w:r>
      <w:r w:rsidR="00BF059B">
        <w:rPr>
          <w:color w:val="000000"/>
        </w:rPr>
        <w:t xml:space="preserve"> </w:t>
      </w:r>
      <w:r>
        <w:rPr>
          <w:color w:val="000000"/>
        </w:rPr>
        <w:t>this</w:t>
      </w:r>
      <w:r w:rsidR="00BF059B">
        <w:rPr>
          <w:color w:val="000000"/>
        </w:rPr>
        <w:t xml:space="preserve"> </w:t>
      </w:r>
      <w:r>
        <w:rPr>
          <w:color w:val="000000"/>
        </w:rPr>
        <w:t>plan</w:t>
      </w:r>
      <w:r w:rsidR="00BF059B">
        <w:rPr>
          <w:color w:val="000000"/>
        </w:rPr>
        <w:t xml:space="preserve"> </w:t>
      </w:r>
      <w:r>
        <w:rPr>
          <w:color w:val="000000"/>
        </w:rPr>
        <w:t>period</w:t>
      </w:r>
      <w:r w:rsidR="00BF059B">
        <w:rPr>
          <w:color w:val="000000"/>
        </w:rPr>
        <w:t xml:space="preserve"> </w:t>
      </w:r>
      <w:r>
        <w:rPr>
          <w:color w:val="000000"/>
        </w:rPr>
        <w:t>we</w:t>
      </w:r>
      <w:r w:rsidR="00BF059B">
        <w:rPr>
          <w:color w:val="000000"/>
        </w:rPr>
        <w:t xml:space="preserve"> </w:t>
      </w:r>
      <w:r>
        <w:rPr>
          <w:color w:val="000000"/>
        </w:rPr>
        <w:t>aim</w:t>
      </w:r>
      <w:r w:rsidR="00BF059B">
        <w:rPr>
          <w:color w:val="000000"/>
        </w:rPr>
        <w:t xml:space="preserve"> </w:t>
      </w:r>
      <w:r>
        <w:rPr>
          <w:color w:val="000000"/>
        </w:rPr>
        <w:t>to</w:t>
      </w:r>
      <w:r w:rsidR="00BF059B">
        <w:rPr>
          <w:color w:val="000000"/>
        </w:rPr>
        <w:t xml:space="preserve"> </w:t>
      </w:r>
      <w:r>
        <w:rPr>
          <w:color w:val="000000"/>
        </w:rPr>
        <w:t>achieve</w:t>
      </w:r>
      <w:r w:rsidR="00BF059B">
        <w:rPr>
          <w:color w:val="000000"/>
        </w:rPr>
        <w:t xml:space="preserve"> </w:t>
      </w:r>
      <w:r>
        <w:rPr>
          <w:color w:val="000000"/>
        </w:rPr>
        <w:t>a</w:t>
      </w:r>
      <w:r w:rsidR="00BF059B">
        <w:rPr>
          <w:color w:val="000000"/>
        </w:rPr>
        <w:t xml:space="preserve"> </w:t>
      </w:r>
      <w:r>
        <w:rPr>
          <w:color w:val="000000"/>
        </w:rPr>
        <w:t>significant</w:t>
      </w:r>
      <w:r w:rsidR="00BF059B">
        <w:rPr>
          <w:color w:val="000000"/>
        </w:rPr>
        <w:t xml:space="preserve"> </w:t>
      </w:r>
      <w:r>
        <w:rPr>
          <w:color w:val="000000"/>
        </w:rPr>
        <w:t>increase</w:t>
      </w:r>
      <w:r w:rsidR="00BF059B">
        <w:rPr>
          <w:color w:val="000000"/>
        </w:rPr>
        <w:t xml:space="preserve"> </w:t>
      </w:r>
      <w:r>
        <w:rPr>
          <w:color w:val="000000"/>
        </w:rPr>
        <w:t>in</w:t>
      </w:r>
      <w:r w:rsidR="00BF059B">
        <w:rPr>
          <w:color w:val="000000"/>
        </w:rPr>
        <w:t xml:space="preserve"> </w:t>
      </w:r>
      <w:r>
        <w:rPr>
          <w:color w:val="000000"/>
        </w:rPr>
        <w:t>earned</w:t>
      </w:r>
      <w:r w:rsidR="00BF059B">
        <w:rPr>
          <w:color w:val="000000"/>
        </w:rPr>
        <w:t xml:space="preserve"> </w:t>
      </w:r>
      <w:r>
        <w:rPr>
          <w:color w:val="000000"/>
        </w:rPr>
        <w:t>income</w:t>
      </w:r>
      <w:r w:rsidR="00BF059B">
        <w:rPr>
          <w:color w:val="000000"/>
        </w:rPr>
        <w:t xml:space="preserve"> </w:t>
      </w:r>
      <w:r>
        <w:rPr>
          <w:color w:val="000000"/>
        </w:rPr>
        <w:t>across</w:t>
      </w:r>
      <w:r w:rsidR="00BF059B">
        <w:rPr>
          <w:color w:val="000000"/>
        </w:rPr>
        <w:t xml:space="preserve"> </w:t>
      </w:r>
      <w:r>
        <w:rPr>
          <w:color w:val="000000"/>
        </w:rPr>
        <w:t>our</w:t>
      </w:r>
      <w:r w:rsidR="00BF059B">
        <w:rPr>
          <w:color w:val="000000"/>
        </w:rPr>
        <w:t xml:space="preserve"> </w:t>
      </w:r>
      <w:r>
        <w:rPr>
          <w:color w:val="000000"/>
        </w:rPr>
        <w:t>commercial</w:t>
      </w:r>
      <w:r w:rsidR="00BF059B">
        <w:rPr>
          <w:color w:val="000000"/>
        </w:rPr>
        <w:t xml:space="preserve"> </w:t>
      </w:r>
      <w:r>
        <w:rPr>
          <w:color w:val="000000"/>
        </w:rPr>
        <w:t>and</w:t>
      </w:r>
      <w:r w:rsidR="00BF059B">
        <w:rPr>
          <w:color w:val="000000"/>
        </w:rPr>
        <w:t xml:space="preserve"> </w:t>
      </w:r>
      <w:r>
        <w:rPr>
          <w:color w:val="000000"/>
        </w:rPr>
        <w:t>fundraising</w:t>
      </w:r>
      <w:r w:rsidR="00BF059B">
        <w:rPr>
          <w:color w:val="000000"/>
        </w:rPr>
        <w:t xml:space="preserve"> </w:t>
      </w:r>
      <w:r>
        <w:rPr>
          <w:color w:val="000000"/>
        </w:rPr>
        <w:t>workstreams.</w:t>
      </w:r>
      <w:r w:rsidR="00BF059B">
        <w:rPr>
          <w:color w:val="000000"/>
        </w:rPr>
        <w:t xml:space="preserve">  </w:t>
      </w:r>
      <w:r>
        <w:rPr>
          <w:color w:val="000000"/>
        </w:rPr>
        <w:t>We</w:t>
      </w:r>
      <w:r w:rsidR="00BF059B">
        <w:rPr>
          <w:color w:val="000000"/>
        </w:rPr>
        <w:t xml:space="preserve"> </w:t>
      </w:r>
      <w:r>
        <w:rPr>
          <w:color w:val="000000"/>
        </w:rPr>
        <w:t>will</w:t>
      </w:r>
      <w:r w:rsidR="00BF059B">
        <w:rPr>
          <w:color w:val="000000"/>
        </w:rPr>
        <w:t xml:space="preserve"> </w:t>
      </w:r>
      <w:r>
        <w:rPr>
          <w:color w:val="000000"/>
        </w:rPr>
        <w:t>revitalise</w:t>
      </w:r>
      <w:r w:rsidR="00BF059B">
        <w:rPr>
          <w:color w:val="000000"/>
        </w:rPr>
        <w:t xml:space="preserve"> </w:t>
      </w:r>
      <w:r>
        <w:rPr>
          <w:color w:val="000000"/>
        </w:rPr>
        <w:t>our</w:t>
      </w:r>
      <w:r w:rsidR="00BF059B">
        <w:rPr>
          <w:color w:val="000000"/>
        </w:rPr>
        <w:t xml:space="preserve"> </w:t>
      </w:r>
      <w:r>
        <w:rPr>
          <w:color w:val="000000"/>
        </w:rPr>
        <w:t>membership</w:t>
      </w:r>
      <w:r w:rsidR="00BF059B">
        <w:rPr>
          <w:color w:val="000000"/>
        </w:rPr>
        <w:t xml:space="preserve"> </w:t>
      </w:r>
      <w:r>
        <w:rPr>
          <w:color w:val="000000"/>
        </w:rPr>
        <w:t>and</w:t>
      </w:r>
      <w:r w:rsidR="00BF059B">
        <w:rPr>
          <w:color w:val="000000"/>
        </w:rPr>
        <w:t xml:space="preserve"> </w:t>
      </w:r>
      <w:r>
        <w:rPr>
          <w:color w:val="000000"/>
        </w:rPr>
        <w:t>benefactor</w:t>
      </w:r>
      <w:r w:rsidR="00BF059B">
        <w:rPr>
          <w:color w:val="000000"/>
        </w:rPr>
        <w:t xml:space="preserve"> </w:t>
      </w:r>
      <w:r>
        <w:rPr>
          <w:color w:val="000000"/>
        </w:rPr>
        <w:t>programmes,</w:t>
      </w:r>
      <w:r w:rsidR="00BF059B">
        <w:rPr>
          <w:color w:val="000000"/>
        </w:rPr>
        <w:t xml:space="preserve"> </w:t>
      </w:r>
      <w:r>
        <w:rPr>
          <w:color w:val="000000"/>
        </w:rPr>
        <w:t>building</w:t>
      </w:r>
      <w:r w:rsidR="00BF059B">
        <w:rPr>
          <w:color w:val="000000"/>
        </w:rPr>
        <w:t xml:space="preserve"> </w:t>
      </w:r>
      <w:r>
        <w:rPr>
          <w:color w:val="000000"/>
        </w:rPr>
        <w:t>an</w:t>
      </w:r>
      <w:r w:rsidR="00BF059B">
        <w:rPr>
          <w:color w:val="000000"/>
        </w:rPr>
        <w:t xml:space="preserve"> </w:t>
      </w:r>
      <w:r>
        <w:rPr>
          <w:color w:val="000000"/>
        </w:rPr>
        <w:t>increased</w:t>
      </w:r>
      <w:r w:rsidR="00BF059B">
        <w:rPr>
          <w:color w:val="000000"/>
        </w:rPr>
        <w:t xml:space="preserve"> </w:t>
      </w:r>
      <w:r>
        <w:rPr>
          <w:color w:val="000000"/>
        </w:rPr>
        <w:t>philanthropic</w:t>
      </w:r>
      <w:r w:rsidR="00BF059B">
        <w:rPr>
          <w:color w:val="000000"/>
        </w:rPr>
        <w:t xml:space="preserve"> </w:t>
      </w:r>
      <w:r>
        <w:rPr>
          <w:color w:val="000000"/>
        </w:rPr>
        <w:t>revenue</w:t>
      </w:r>
      <w:r w:rsidR="00BF059B">
        <w:rPr>
          <w:color w:val="000000"/>
        </w:rPr>
        <w:t xml:space="preserve"> </w:t>
      </w:r>
      <w:r>
        <w:rPr>
          <w:color w:val="000000"/>
        </w:rPr>
        <w:t>stream</w:t>
      </w:r>
      <w:r w:rsidR="00BF059B">
        <w:rPr>
          <w:color w:val="000000"/>
        </w:rPr>
        <w:t xml:space="preserve"> </w:t>
      </w:r>
      <w:r>
        <w:rPr>
          <w:color w:val="000000"/>
        </w:rPr>
        <w:t>alongside</w:t>
      </w:r>
      <w:r w:rsidR="00BF059B">
        <w:rPr>
          <w:color w:val="000000"/>
        </w:rPr>
        <w:t xml:space="preserve"> </w:t>
      </w:r>
      <w:r>
        <w:rPr>
          <w:color w:val="000000"/>
        </w:rPr>
        <w:t>our</w:t>
      </w:r>
      <w:r w:rsidR="00BF059B">
        <w:rPr>
          <w:color w:val="000000"/>
        </w:rPr>
        <w:t xml:space="preserve"> </w:t>
      </w:r>
      <w:r>
        <w:rPr>
          <w:color w:val="000000"/>
        </w:rPr>
        <w:t>current</w:t>
      </w:r>
      <w:r w:rsidR="00BF059B">
        <w:rPr>
          <w:color w:val="000000"/>
        </w:rPr>
        <w:t xml:space="preserve"> </w:t>
      </w:r>
      <w:r>
        <w:rPr>
          <w:color w:val="000000"/>
        </w:rPr>
        <w:t>work</w:t>
      </w:r>
      <w:r w:rsidR="00BF059B">
        <w:rPr>
          <w:color w:val="000000"/>
        </w:rPr>
        <w:t xml:space="preserve"> </w:t>
      </w:r>
      <w:r>
        <w:rPr>
          <w:color w:val="000000"/>
        </w:rPr>
        <w:t>with</w:t>
      </w:r>
      <w:r w:rsidR="00BF059B">
        <w:rPr>
          <w:color w:val="000000"/>
        </w:rPr>
        <w:t xml:space="preserve"> </w:t>
      </w:r>
      <w:r>
        <w:rPr>
          <w:color w:val="000000"/>
        </w:rPr>
        <w:t>trusts,</w:t>
      </w:r>
      <w:r w:rsidR="00BF059B">
        <w:rPr>
          <w:color w:val="000000"/>
        </w:rPr>
        <w:t xml:space="preserve"> </w:t>
      </w:r>
      <w:r>
        <w:rPr>
          <w:color w:val="000000"/>
        </w:rPr>
        <w:t>foundations</w:t>
      </w:r>
      <w:r w:rsidR="00BF059B">
        <w:rPr>
          <w:color w:val="000000"/>
        </w:rPr>
        <w:t xml:space="preserve"> </w:t>
      </w:r>
      <w:r>
        <w:rPr>
          <w:color w:val="000000"/>
        </w:rPr>
        <w:t>and</w:t>
      </w:r>
      <w:r w:rsidR="00BF059B">
        <w:rPr>
          <w:color w:val="000000"/>
        </w:rPr>
        <w:t xml:space="preserve"> </w:t>
      </w:r>
      <w:r>
        <w:rPr>
          <w:color w:val="000000"/>
        </w:rPr>
        <w:t>other</w:t>
      </w:r>
      <w:r w:rsidR="00BF059B">
        <w:rPr>
          <w:color w:val="000000"/>
        </w:rPr>
        <w:t xml:space="preserve"> </w:t>
      </w:r>
      <w:r>
        <w:rPr>
          <w:color w:val="000000"/>
        </w:rPr>
        <w:t>institutional</w:t>
      </w:r>
      <w:r w:rsidR="00BF059B">
        <w:rPr>
          <w:color w:val="000000"/>
        </w:rPr>
        <w:t xml:space="preserve"> </w:t>
      </w:r>
      <w:r>
        <w:rPr>
          <w:color w:val="000000"/>
        </w:rPr>
        <w:t>funders.</w:t>
      </w:r>
      <w:r w:rsidR="00BF059B">
        <w:rPr>
          <w:color w:val="000000"/>
        </w:rPr>
        <w:t xml:space="preserve">  </w:t>
      </w:r>
      <w:r>
        <w:rPr>
          <w:color w:val="000000"/>
        </w:rPr>
        <w:t>This</w:t>
      </w:r>
      <w:r w:rsidR="00BF059B">
        <w:rPr>
          <w:color w:val="000000"/>
        </w:rPr>
        <w:t xml:space="preserve"> </w:t>
      </w:r>
      <w:r>
        <w:rPr>
          <w:color w:val="000000"/>
        </w:rPr>
        <w:t>will</w:t>
      </w:r>
      <w:r w:rsidR="00BF059B">
        <w:rPr>
          <w:color w:val="000000"/>
        </w:rPr>
        <w:t xml:space="preserve"> </w:t>
      </w:r>
      <w:r>
        <w:rPr>
          <w:color w:val="000000"/>
        </w:rPr>
        <w:t>include</w:t>
      </w:r>
      <w:r w:rsidR="00BF059B">
        <w:rPr>
          <w:color w:val="000000"/>
        </w:rPr>
        <w:t xml:space="preserve"> </w:t>
      </w:r>
      <w:r>
        <w:rPr>
          <w:color w:val="000000"/>
        </w:rPr>
        <w:t>the</w:t>
      </w:r>
      <w:r w:rsidR="00BF059B">
        <w:rPr>
          <w:color w:val="000000"/>
        </w:rPr>
        <w:t xml:space="preserve"> </w:t>
      </w:r>
      <w:r>
        <w:rPr>
          <w:color w:val="000000"/>
        </w:rPr>
        <w:t>launch</w:t>
      </w:r>
      <w:r w:rsidR="00BF059B">
        <w:rPr>
          <w:color w:val="000000"/>
        </w:rPr>
        <w:t xml:space="preserve"> </w:t>
      </w:r>
      <w:r>
        <w:rPr>
          <w:color w:val="000000"/>
        </w:rPr>
        <w:t>of</w:t>
      </w:r>
      <w:r w:rsidR="00BF059B">
        <w:rPr>
          <w:color w:val="000000"/>
        </w:rPr>
        <w:t xml:space="preserve"> </w:t>
      </w:r>
      <w:r>
        <w:rPr>
          <w:color w:val="000000"/>
        </w:rPr>
        <w:t>a</w:t>
      </w:r>
      <w:r w:rsidR="00BF059B">
        <w:rPr>
          <w:color w:val="000000"/>
        </w:rPr>
        <w:t xml:space="preserve"> </w:t>
      </w:r>
      <w:r>
        <w:rPr>
          <w:color w:val="000000"/>
        </w:rPr>
        <w:t>legacy</w:t>
      </w:r>
      <w:r w:rsidR="00BF059B">
        <w:rPr>
          <w:color w:val="000000"/>
        </w:rPr>
        <w:t xml:space="preserve"> </w:t>
      </w:r>
      <w:r>
        <w:rPr>
          <w:color w:val="000000"/>
        </w:rPr>
        <w:t>scheme</w:t>
      </w:r>
      <w:r w:rsidR="00BF059B">
        <w:rPr>
          <w:color w:val="000000"/>
        </w:rPr>
        <w:t xml:space="preserve"> </w:t>
      </w:r>
      <w:r>
        <w:rPr>
          <w:color w:val="000000"/>
        </w:rPr>
        <w:t>and</w:t>
      </w:r>
      <w:r w:rsidR="00BF059B">
        <w:rPr>
          <w:color w:val="000000"/>
        </w:rPr>
        <w:t xml:space="preserve"> </w:t>
      </w:r>
      <w:r>
        <w:rPr>
          <w:color w:val="000000"/>
        </w:rPr>
        <w:t>the</w:t>
      </w:r>
      <w:r w:rsidR="00BF059B">
        <w:rPr>
          <w:color w:val="000000"/>
        </w:rPr>
        <w:t xml:space="preserve"> </w:t>
      </w:r>
      <w:r>
        <w:rPr>
          <w:color w:val="000000"/>
        </w:rPr>
        <w:t>introduction</w:t>
      </w:r>
      <w:r w:rsidR="00BF059B">
        <w:rPr>
          <w:color w:val="000000"/>
        </w:rPr>
        <w:t xml:space="preserve"> </w:t>
      </w:r>
      <w:r>
        <w:rPr>
          <w:color w:val="000000"/>
        </w:rPr>
        <w:t>of</w:t>
      </w:r>
      <w:r w:rsidR="00BF059B">
        <w:rPr>
          <w:color w:val="000000"/>
        </w:rPr>
        <w:t xml:space="preserve"> </w:t>
      </w:r>
      <w:r>
        <w:rPr>
          <w:color w:val="000000"/>
        </w:rPr>
        <w:t>commercial</w:t>
      </w:r>
      <w:r w:rsidR="00BF059B">
        <w:rPr>
          <w:color w:val="000000"/>
        </w:rPr>
        <w:t xml:space="preserve"> </w:t>
      </w:r>
      <w:r>
        <w:rPr>
          <w:color w:val="000000"/>
        </w:rPr>
        <w:t>partnerships.</w:t>
      </w:r>
      <w:r w:rsidR="00BF059B">
        <w:rPr>
          <w:color w:val="000000"/>
        </w:rPr>
        <w:t xml:space="preserve">  </w:t>
      </w:r>
      <w:r>
        <w:rPr>
          <w:color w:val="000000"/>
        </w:rPr>
        <w:t>During</w:t>
      </w:r>
      <w:r w:rsidR="00BF059B">
        <w:rPr>
          <w:color w:val="000000"/>
        </w:rPr>
        <w:t xml:space="preserve"> </w:t>
      </w:r>
      <w:r>
        <w:rPr>
          <w:color w:val="000000"/>
        </w:rPr>
        <w:t>early</w:t>
      </w:r>
      <w:r w:rsidR="00BF059B">
        <w:rPr>
          <w:color w:val="000000"/>
        </w:rPr>
        <w:t xml:space="preserve"> </w:t>
      </w:r>
      <w:r>
        <w:rPr>
          <w:color w:val="000000"/>
        </w:rPr>
        <w:t>2026</w:t>
      </w:r>
      <w:r w:rsidR="00BF059B">
        <w:rPr>
          <w:color w:val="000000"/>
        </w:rPr>
        <w:t xml:space="preserve"> </w:t>
      </w:r>
      <w:r>
        <w:rPr>
          <w:color w:val="000000"/>
        </w:rPr>
        <w:t>we</w:t>
      </w:r>
      <w:r w:rsidR="00BF059B">
        <w:rPr>
          <w:color w:val="000000"/>
        </w:rPr>
        <w:t xml:space="preserve"> </w:t>
      </w:r>
      <w:r>
        <w:rPr>
          <w:color w:val="000000"/>
        </w:rPr>
        <w:t>will</w:t>
      </w:r>
      <w:r w:rsidR="00BF059B">
        <w:rPr>
          <w:color w:val="000000"/>
        </w:rPr>
        <w:t xml:space="preserve"> </w:t>
      </w:r>
      <w:r>
        <w:rPr>
          <w:color w:val="000000"/>
        </w:rPr>
        <w:t>launch</w:t>
      </w:r>
      <w:r w:rsidR="00BF059B">
        <w:rPr>
          <w:color w:val="000000"/>
        </w:rPr>
        <w:t xml:space="preserve"> </w:t>
      </w:r>
      <w:r>
        <w:rPr>
          <w:color w:val="000000"/>
        </w:rPr>
        <w:t>a</w:t>
      </w:r>
      <w:r w:rsidR="00BF059B">
        <w:rPr>
          <w:color w:val="000000"/>
        </w:rPr>
        <w:t xml:space="preserve"> </w:t>
      </w:r>
      <w:r>
        <w:rPr>
          <w:color w:val="000000"/>
        </w:rPr>
        <w:t>children’s</w:t>
      </w:r>
      <w:r w:rsidR="00BF059B">
        <w:rPr>
          <w:color w:val="000000"/>
        </w:rPr>
        <w:t xml:space="preserve"> </w:t>
      </w:r>
      <w:r>
        <w:rPr>
          <w:color w:val="000000"/>
        </w:rPr>
        <w:t>café</w:t>
      </w:r>
      <w:r w:rsidR="00BF059B">
        <w:rPr>
          <w:color w:val="000000"/>
        </w:rPr>
        <w:t xml:space="preserve"> </w:t>
      </w:r>
      <w:r>
        <w:rPr>
          <w:color w:val="000000"/>
        </w:rPr>
        <w:t>as</w:t>
      </w:r>
      <w:r w:rsidR="00BF059B">
        <w:rPr>
          <w:color w:val="000000"/>
        </w:rPr>
        <w:t xml:space="preserve"> </w:t>
      </w:r>
      <w:r>
        <w:rPr>
          <w:color w:val="000000"/>
        </w:rPr>
        <w:t>part</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Nature</w:t>
      </w:r>
      <w:r w:rsidR="00BF059B">
        <w:rPr>
          <w:color w:val="000000"/>
        </w:rPr>
        <w:t xml:space="preserve"> </w:t>
      </w:r>
      <w:r>
        <w:rPr>
          <w:color w:val="000000"/>
        </w:rPr>
        <w:t>+</w:t>
      </w:r>
      <w:r w:rsidR="00BF059B">
        <w:rPr>
          <w:color w:val="000000"/>
        </w:rPr>
        <w:t xml:space="preserve"> </w:t>
      </w:r>
      <w:r>
        <w:rPr>
          <w:color w:val="000000"/>
        </w:rPr>
        <w:t>Love</w:t>
      </w:r>
      <w:r w:rsidR="00BF059B">
        <w:rPr>
          <w:color w:val="000000"/>
        </w:rPr>
        <w:t xml:space="preserve"> </w:t>
      </w:r>
      <w:r>
        <w:rPr>
          <w:color w:val="000000"/>
        </w:rPr>
        <w:t>project,</w:t>
      </w:r>
      <w:r w:rsidR="00BF059B">
        <w:rPr>
          <w:color w:val="000000"/>
        </w:rPr>
        <w:t xml:space="preserve"> </w:t>
      </w:r>
      <w:r>
        <w:rPr>
          <w:color w:val="000000"/>
        </w:rPr>
        <w:t>while</w:t>
      </w:r>
      <w:r w:rsidR="00BF059B">
        <w:rPr>
          <w:color w:val="000000"/>
        </w:rPr>
        <w:t xml:space="preserve"> </w:t>
      </w:r>
      <w:r>
        <w:rPr>
          <w:color w:val="000000"/>
        </w:rPr>
        <w:t>growing</w:t>
      </w:r>
      <w:r w:rsidR="00BF059B">
        <w:rPr>
          <w:color w:val="000000"/>
        </w:rPr>
        <w:t xml:space="preserve"> </w:t>
      </w:r>
      <w:r>
        <w:rPr>
          <w:color w:val="000000"/>
        </w:rPr>
        <w:t>our</w:t>
      </w:r>
      <w:r w:rsidR="00BF059B">
        <w:rPr>
          <w:color w:val="000000"/>
        </w:rPr>
        <w:t xml:space="preserve"> </w:t>
      </w:r>
      <w:r>
        <w:rPr>
          <w:color w:val="000000"/>
        </w:rPr>
        <w:t>event</w:t>
      </w:r>
      <w:r w:rsidR="00BF059B">
        <w:rPr>
          <w:color w:val="000000"/>
        </w:rPr>
        <w:t xml:space="preserve"> </w:t>
      </w:r>
      <w:r>
        <w:rPr>
          <w:color w:val="000000"/>
        </w:rPr>
        <w:t>delivery</w:t>
      </w:r>
      <w:r w:rsidR="00BF059B">
        <w:rPr>
          <w:color w:val="000000"/>
        </w:rPr>
        <w:t xml:space="preserve"> </w:t>
      </w:r>
      <w:r>
        <w:rPr>
          <w:color w:val="000000"/>
        </w:rPr>
        <w:t>and</w:t>
      </w:r>
      <w:r w:rsidR="00BF059B">
        <w:rPr>
          <w:color w:val="000000"/>
        </w:rPr>
        <w:t xml:space="preserve"> </w:t>
      </w:r>
      <w:r>
        <w:rPr>
          <w:color w:val="000000"/>
        </w:rPr>
        <w:t>hire</w:t>
      </w:r>
      <w:r w:rsidR="00BF059B">
        <w:rPr>
          <w:color w:val="000000"/>
        </w:rPr>
        <w:t xml:space="preserve"> </w:t>
      </w:r>
      <w:r>
        <w:rPr>
          <w:color w:val="000000"/>
        </w:rPr>
        <w:t>businesses.</w:t>
      </w:r>
      <w:r w:rsidR="00BF059B">
        <w:rPr>
          <w:color w:val="000000"/>
        </w:rPr>
        <w:t xml:space="preserve"> </w:t>
      </w:r>
    </w:p>
    <w:p w14:paraId="5F200E2D" w14:textId="69F5D3CC" w:rsidR="00BE13A8" w:rsidRPr="008D4835" w:rsidRDefault="00D70530" w:rsidP="0015265F">
      <w:pPr>
        <w:numPr>
          <w:ilvl w:val="0"/>
          <w:numId w:val="4"/>
        </w:numPr>
        <w:pBdr>
          <w:top w:val="nil"/>
          <w:left w:val="nil"/>
          <w:bottom w:val="nil"/>
          <w:right w:val="nil"/>
          <w:between w:val="nil"/>
        </w:pBdr>
        <w:ind w:left="426"/>
        <w:rPr>
          <w:color w:val="000000"/>
        </w:rPr>
      </w:pPr>
      <w:r>
        <w:rPr>
          <w:color w:val="000000"/>
        </w:rPr>
        <w:t>Our</w:t>
      </w:r>
      <w:r w:rsidR="00BF059B">
        <w:rPr>
          <w:color w:val="000000"/>
        </w:rPr>
        <w:t xml:space="preserve"> </w:t>
      </w:r>
      <w:r>
        <w:rPr>
          <w:color w:val="000000"/>
        </w:rPr>
        <w:t>staff</w:t>
      </w:r>
      <w:r w:rsidR="00BF059B">
        <w:rPr>
          <w:color w:val="000000"/>
        </w:rPr>
        <w:t xml:space="preserve"> </w:t>
      </w:r>
      <w:r>
        <w:rPr>
          <w:color w:val="000000"/>
        </w:rPr>
        <w:t>are</w:t>
      </w:r>
      <w:r w:rsidR="00BF059B">
        <w:rPr>
          <w:color w:val="000000"/>
        </w:rPr>
        <w:t xml:space="preserve"> </w:t>
      </w:r>
      <w:r>
        <w:rPr>
          <w:color w:val="000000"/>
        </w:rPr>
        <w:t>involved</w:t>
      </w:r>
      <w:r w:rsidR="00BF059B">
        <w:rPr>
          <w:color w:val="000000"/>
        </w:rPr>
        <w:t xml:space="preserve"> </w:t>
      </w:r>
      <w:r>
        <w:rPr>
          <w:color w:val="000000"/>
        </w:rPr>
        <w:t>with</w:t>
      </w:r>
      <w:r w:rsidR="00BF059B">
        <w:rPr>
          <w:color w:val="000000"/>
        </w:rPr>
        <w:t xml:space="preserve"> </w:t>
      </w:r>
      <w:r>
        <w:rPr>
          <w:color w:val="000000"/>
        </w:rPr>
        <w:t>many</w:t>
      </w:r>
      <w:r w:rsidR="00BF059B">
        <w:rPr>
          <w:color w:val="000000"/>
        </w:rPr>
        <w:t xml:space="preserve"> </w:t>
      </w:r>
      <w:r>
        <w:rPr>
          <w:color w:val="000000"/>
        </w:rPr>
        <w:t>networks</w:t>
      </w:r>
      <w:r w:rsidR="00BF059B">
        <w:rPr>
          <w:color w:val="000000"/>
        </w:rPr>
        <w:t xml:space="preserve"> </w:t>
      </w:r>
      <w:r>
        <w:rPr>
          <w:color w:val="000000"/>
        </w:rPr>
        <w:t>supporting</w:t>
      </w:r>
      <w:r w:rsidR="00BF059B">
        <w:rPr>
          <w:color w:val="000000"/>
        </w:rPr>
        <w:t xml:space="preserve"> </w:t>
      </w:r>
      <w:r>
        <w:rPr>
          <w:color w:val="000000"/>
        </w:rPr>
        <w:t>the</w:t>
      </w:r>
      <w:r w:rsidR="00BF059B">
        <w:rPr>
          <w:color w:val="000000"/>
        </w:rPr>
        <w:t xml:space="preserve"> </w:t>
      </w:r>
      <w:r>
        <w:rPr>
          <w:color w:val="000000"/>
        </w:rPr>
        <w:t>sector</w:t>
      </w:r>
      <w:r w:rsidR="00BF059B">
        <w:rPr>
          <w:color w:val="000000"/>
        </w:rPr>
        <w:t xml:space="preserve"> </w:t>
      </w:r>
      <w:r>
        <w:rPr>
          <w:color w:val="000000"/>
        </w:rPr>
        <w:t>and</w:t>
      </w:r>
      <w:r w:rsidR="00BF059B">
        <w:rPr>
          <w:color w:val="000000"/>
        </w:rPr>
        <w:t xml:space="preserve"> </w:t>
      </w:r>
      <w:r>
        <w:rPr>
          <w:color w:val="000000"/>
        </w:rPr>
        <w:t>the</w:t>
      </w:r>
      <w:r w:rsidR="00BF059B">
        <w:rPr>
          <w:color w:val="000000"/>
        </w:rPr>
        <w:t xml:space="preserve"> </w:t>
      </w:r>
      <w:r>
        <w:rPr>
          <w:color w:val="000000"/>
        </w:rPr>
        <w:t>local</w:t>
      </w:r>
      <w:r w:rsidR="00BF059B">
        <w:rPr>
          <w:color w:val="000000"/>
        </w:rPr>
        <w:t xml:space="preserve"> </w:t>
      </w:r>
      <w:r>
        <w:rPr>
          <w:color w:val="000000"/>
        </w:rPr>
        <w:t>community</w:t>
      </w:r>
      <w:r w:rsidR="00BF059B">
        <w:rPr>
          <w:color w:val="000000"/>
        </w:rPr>
        <w:t xml:space="preserve"> </w:t>
      </w:r>
      <w:r>
        <w:rPr>
          <w:color w:val="000000"/>
        </w:rPr>
        <w:t>as</w:t>
      </w:r>
      <w:r w:rsidR="00BF059B">
        <w:rPr>
          <w:color w:val="000000"/>
        </w:rPr>
        <w:t xml:space="preserve"> </w:t>
      </w:r>
      <w:r>
        <w:rPr>
          <w:color w:val="000000"/>
        </w:rPr>
        <w:t>trustees,</w:t>
      </w:r>
      <w:r w:rsidR="00BF059B">
        <w:rPr>
          <w:color w:val="000000"/>
        </w:rPr>
        <w:t xml:space="preserve"> </w:t>
      </w:r>
      <w:r>
        <w:rPr>
          <w:color w:val="000000"/>
        </w:rPr>
        <w:t>governors</w:t>
      </w:r>
      <w:r w:rsidR="00BF059B">
        <w:rPr>
          <w:color w:val="000000"/>
        </w:rPr>
        <w:t xml:space="preserve"> </w:t>
      </w:r>
      <w:r>
        <w:rPr>
          <w:color w:val="000000"/>
        </w:rPr>
        <w:t>and</w:t>
      </w:r>
      <w:r w:rsidR="00BF059B">
        <w:rPr>
          <w:color w:val="000000"/>
        </w:rPr>
        <w:t xml:space="preserve"> </w:t>
      </w:r>
      <w:r>
        <w:rPr>
          <w:color w:val="000000"/>
        </w:rPr>
        <w:t>mentors.</w:t>
      </w:r>
      <w:r w:rsidR="00BF059B">
        <w:rPr>
          <w:color w:val="000000"/>
        </w:rPr>
        <w:t xml:space="preserve"> </w:t>
      </w:r>
      <w:r>
        <w:rPr>
          <w:color w:val="000000"/>
        </w:rPr>
        <w:t>The</w:t>
      </w:r>
      <w:r w:rsidR="00BF059B">
        <w:rPr>
          <w:color w:val="000000"/>
        </w:rPr>
        <w:t xml:space="preserve"> </w:t>
      </w:r>
      <w:r>
        <w:rPr>
          <w:color w:val="000000"/>
        </w:rPr>
        <w:t>past</w:t>
      </w:r>
      <w:r w:rsidR="00BF059B">
        <w:rPr>
          <w:color w:val="000000"/>
        </w:rPr>
        <w:t xml:space="preserve"> </w:t>
      </w:r>
      <w:r>
        <w:rPr>
          <w:color w:val="000000"/>
        </w:rPr>
        <w:t>few</w:t>
      </w:r>
      <w:r w:rsidR="00BF059B">
        <w:rPr>
          <w:color w:val="000000"/>
        </w:rPr>
        <w:t xml:space="preserve"> </w:t>
      </w:r>
      <w:r>
        <w:rPr>
          <w:color w:val="000000"/>
        </w:rPr>
        <w:t>years</w:t>
      </w:r>
      <w:r w:rsidR="00BF059B">
        <w:rPr>
          <w:color w:val="000000"/>
        </w:rPr>
        <w:t xml:space="preserve"> </w:t>
      </w:r>
      <w:r>
        <w:rPr>
          <w:color w:val="000000"/>
        </w:rPr>
        <w:t>have</w:t>
      </w:r>
      <w:r w:rsidR="00BF059B">
        <w:rPr>
          <w:color w:val="000000"/>
        </w:rPr>
        <w:t xml:space="preserve"> </w:t>
      </w:r>
      <w:r>
        <w:rPr>
          <w:color w:val="000000"/>
        </w:rPr>
        <w:t>seen</w:t>
      </w:r>
      <w:r w:rsidR="00BF059B">
        <w:rPr>
          <w:color w:val="000000"/>
        </w:rPr>
        <w:t xml:space="preserve"> </w:t>
      </w:r>
      <w:r>
        <w:rPr>
          <w:color w:val="000000"/>
        </w:rPr>
        <w:t>the</w:t>
      </w:r>
      <w:r w:rsidR="00BF059B">
        <w:rPr>
          <w:color w:val="000000"/>
        </w:rPr>
        <w:t xml:space="preserve"> </w:t>
      </w:r>
      <w:r>
        <w:rPr>
          <w:color w:val="000000"/>
        </w:rPr>
        <w:t>Horniman</w:t>
      </w:r>
      <w:r w:rsidR="00BF059B">
        <w:rPr>
          <w:color w:val="000000"/>
        </w:rPr>
        <w:t xml:space="preserve"> </w:t>
      </w:r>
      <w:r>
        <w:rPr>
          <w:color w:val="000000"/>
        </w:rPr>
        <w:t>speaking</w:t>
      </w:r>
      <w:r w:rsidR="00BF059B">
        <w:rPr>
          <w:color w:val="000000"/>
        </w:rPr>
        <w:t xml:space="preserve"> </w:t>
      </w:r>
      <w:r>
        <w:rPr>
          <w:color w:val="000000"/>
        </w:rPr>
        <w:t>authoritatively</w:t>
      </w:r>
      <w:r w:rsidR="00BF059B">
        <w:rPr>
          <w:color w:val="000000"/>
        </w:rPr>
        <w:t xml:space="preserve"> </w:t>
      </w:r>
      <w:r>
        <w:rPr>
          <w:color w:val="000000"/>
        </w:rPr>
        <w:t>as</w:t>
      </w:r>
      <w:r w:rsidR="00BF059B">
        <w:rPr>
          <w:color w:val="000000"/>
        </w:rPr>
        <w:t xml:space="preserve"> </w:t>
      </w:r>
      <w:r>
        <w:rPr>
          <w:color w:val="000000"/>
        </w:rPr>
        <w:t>a</w:t>
      </w:r>
      <w:r w:rsidR="00BF059B">
        <w:rPr>
          <w:color w:val="000000"/>
        </w:rPr>
        <w:t xml:space="preserve"> </w:t>
      </w:r>
      <w:r>
        <w:rPr>
          <w:color w:val="000000"/>
        </w:rPr>
        <w:t>local,</w:t>
      </w:r>
      <w:r w:rsidR="00BF059B">
        <w:rPr>
          <w:color w:val="000000"/>
        </w:rPr>
        <w:t xml:space="preserve"> </w:t>
      </w:r>
      <w:r>
        <w:rPr>
          <w:color w:val="000000"/>
        </w:rPr>
        <w:t>global</w:t>
      </w:r>
      <w:r w:rsidR="00BF059B">
        <w:rPr>
          <w:color w:val="000000"/>
        </w:rPr>
        <w:t xml:space="preserve"> </w:t>
      </w:r>
      <w:r>
        <w:rPr>
          <w:color w:val="000000"/>
        </w:rPr>
        <w:t>and</w:t>
      </w:r>
      <w:r w:rsidR="00BF059B">
        <w:rPr>
          <w:color w:val="000000"/>
        </w:rPr>
        <w:t xml:space="preserve"> </w:t>
      </w:r>
      <w:r>
        <w:rPr>
          <w:color w:val="000000"/>
        </w:rPr>
        <w:t>sector</w:t>
      </w:r>
      <w:r w:rsidR="00BF059B">
        <w:rPr>
          <w:color w:val="000000"/>
        </w:rPr>
        <w:t xml:space="preserve"> </w:t>
      </w:r>
      <w:r>
        <w:rPr>
          <w:color w:val="000000"/>
        </w:rPr>
        <w:t>leader</w:t>
      </w:r>
      <w:r w:rsidR="00BF059B">
        <w:rPr>
          <w:color w:val="000000"/>
        </w:rPr>
        <w:t xml:space="preserve"> </w:t>
      </w:r>
      <w:r>
        <w:rPr>
          <w:color w:val="000000"/>
        </w:rPr>
        <w:t>on</w:t>
      </w:r>
      <w:r w:rsidR="00BF059B">
        <w:rPr>
          <w:color w:val="000000"/>
        </w:rPr>
        <w:t xml:space="preserve"> </w:t>
      </w:r>
      <w:r>
        <w:rPr>
          <w:color w:val="000000"/>
        </w:rPr>
        <w:t>environmental</w:t>
      </w:r>
      <w:r w:rsidR="00BF059B">
        <w:rPr>
          <w:color w:val="000000"/>
        </w:rPr>
        <w:t xml:space="preserve"> </w:t>
      </w:r>
      <w:r>
        <w:rPr>
          <w:color w:val="000000"/>
        </w:rPr>
        <w:t>activity.</w:t>
      </w:r>
      <w:r w:rsidR="00BF059B">
        <w:rPr>
          <w:color w:val="000000"/>
        </w:rPr>
        <w:t xml:space="preserve"> </w:t>
      </w:r>
      <w:r>
        <w:rPr>
          <w:color w:val="000000"/>
        </w:rPr>
        <w:t>Ironically,</w:t>
      </w:r>
      <w:r w:rsidR="00BF059B">
        <w:rPr>
          <w:color w:val="000000"/>
        </w:rPr>
        <w:t xml:space="preserve"> </w:t>
      </w:r>
      <w:r>
        <w:rPr>
          <w:color w:val="000000"/>
        </w:rPr>
        <w:t>though,</w:t>
      </w:r>
      <w:r w:rsidR="00BF059B">
        <w:rPr>
          <w:color w:val="000000"/>
        </w:rPr>
        <w:t xml:space="preserve"> </w:t>
      </w:r>
      <w:r>
        <w:rPr>
          <w:color w:val="000000"/>
        </w:rPr>
        <w:t>our</w:t>
      </w:r>
      <w:r w:rsidR="00BF059B">
        <w:rPr>
          <w:color w:val="000000"/>
        </w:rPr>
        <w:t xml:space="preserve"> </w:t>
      </w:r>
      <w:r>
        <w:rPr>
          <w:color w:val="000000"/>
        </w:rPr>
        <w:t>environmental</w:t>
      </w:r>
      <w:r w:rsidR="00BF059B">
        <w:rPr>
          <w:color w:val="000000"/>
        </w:rPr>
        <w:t xml:space="preserve"> </w:t>
      </w:r>
      <w:r>
        <w:rPr>
          <w:color w:val="000000"/>
        </w:rPr>
        <w:t>performance</w:t>
      </w:r>
      <w:r w:rsidR="00BF059B">
        <w:rPr>
          <w:color w:val="000000"/>
        </w:rPr>
        <w:t xml:space="preserve"> </w:t>
      </w:r>
      <w:r>
        <w:rPr>
          <w:color w:val="000000"/>
        </w:rPr>
        <w:t>requires</w:t>
      </w:r>
      <w:r w:rsidR="00BF059B">
        <w:rPr>
          <w:color w:val="000000"/>
        </w:rPr>
        <w:t xml:space="preserve"> </w:t>
      </w:r>
      <w:r>
        <w:rPr>
          <w:color w:val="000000"/>
        </w:rPr>
        <w:t>improvement,</w:t>
      </w:r>
      <w:r w:rsidR="00BF059B">
        <w:rPr>
          <w:color w:val="000000"/>
        </w:rPr>
        <w:t xml:space="preserve"> </w:t>
      </w:r>
      <w:r>
        <w:rPr>
          <w:color w:val="000000"/>
        </w:rPr>
        <w:t>particularly</w:t>
      </w:r>
      <w:r w:rsidR="00BF059B">
        <w:rPr>
          <w:color w:val="000000"/>
        </w:rPr>
        <w:t xml:space="preserve"> </w:t>
      </w:r>
      <w:r>
        <w:rPr>
          <w:color w:val="000000"/>
        </w:rPr>
        <w:t>regarding</w:t>
      </w:r>
      <w:r w:rsidR="00BF059B">
        <w:rPr>
          <w:color w:val="000000"/>
        </w:rPr>
        <w:t xml:space="preserve"> </w:t>
      </w:r>
      <w:r>
        <w:rPr>
          <w:color w:val="000000"/>
        </w:rPr>
        <w:t>carbon</w:t>
      </w:r>
      <w:r w:rsidR="00BF059B">
        <w:rPr>
          <w:color w:val="000000"/>
        </w:rPr>
        <w:t xml:space="preserve"> </w:t>
      </w:r>
      <w:r>
        <w:rPr>
          <w:color w:val="000000"/>
        </w:rPr>
        <w:t>reduction,</w:t>
      </w:r>
      <w:r w:rsidR="00BF059B">
        <w:rPr>
          <w:color w:val="000000"/>
        </w:rPr>
        <w:t xml:space="preserve"> </w:t>
      </w:r>
      <w:r>
        <w:rPr>
          <w:color w:val="000000"/>
        </w:rPr>
        <w:t>so</w:t>
      </w:r>
      <w:r w:rsidR="00BF059B">
        <w:rPr>
          <w:color w:val="000000"/>
        </w:rPr>
        <w:t xml:space="preserve"> </w:t>
      </w:r>
      <w:r>
        <w:rPr>
          <w:color w:val="000000"/>
        </w:rPr>
        <w:t>we</w:t>
      </w:r>
      <w:r w:rsidR="00BF059B">
        <w:rPr>
          <w:color w:val="000000"/>
        </w:rPr>
        <w:t xml:space="preserve"> </w:t>
      </w:r>
      <w:r>
        <w:rPr>
          <w:color w:val="000000"/>
        </w:rPr>
        <w:t>will</w:t>
      </w:r>
      <w:r w:rsidR="00BF059B">
        <w:rPr>
          <w:color w:val="000000"/>
        </w:rPr>
        <w:t xml:space="preserve"> </w:t>
      </w:r>
      <w:r>
        <w:rPr>
          <w:color w:val="000000"/>
        </w:rPr>
        <w:t>place</w:t>
      </w:r>
      <w:r w:rsidR="00BF059B">
        <w:rPr>
          <w:color w:val="000000"/>
        </w:rPr>
        <w:t xml:space="preserve"> </w:t>
      </w:r>
      <w:r>
        <w:rPr>
          <w:color w:val="000000"/>
        </w:rPr>
        <w:t>a</w:t>
      </w:r>
      <w:r w:rsidR="00BF059B">
        <w:rPr>
          <w:color w:val="000000"/>
        </w:rPr>
        <w:t xml:space="preserve"> </w:t>
      </w:r>
      <w:r>
        <w:rPr>
          <w:color w:val="000000"/>
        </w:rPr>
        <w:t>new</w:t>
      </w:r>
      <w:r w:rsidR="00BF059B">
        <w:rPr>
          <w:color w:val="000000"/>
        </w:rPr>
        <w:t xml:space="preserve"> </w:t>
      </w:r>
      <w:r>
        <w:rPr>
          <w:color w:val="000000"/>
        </w:rPr>
        <w:t>focus</w:t>
      </w:r>
      <w:r w:rsidR="00BF059B">
        <w:rPr>
          <w:color w:val="000000"/>
        </w:rPr>
        <w:t xml:space="preserve"> </w:t>
      </w:r>
      <w:r>
        <w:rPr>
          <w:color w:val="000000"/>
        </w:rPr>
        <w:t>on</w:t>
      </w:r>
      <w:r w:rsidR="00BF059B">
        <w:rPr>
          <w:color w:val="000000"/>
        </w:rPr>
        <w:t xml:space="preserve"> </w:t>
      </w:r>
      <w:r>
        <w:rPr>
          <w:color w:val="000000"/>
        </w:rPr>
        <w:t>action</w:t>
      </w:r>
      <w:r w:rsidR="00BF059B">
        <w:rPr>
          <w:color w:val="000000"/>
        </w:rPr>
        <w:t xml:space="preserve"> </w:t>
      </w:r>
      <w:r>
        <w:rPr>
          <w:color w:val="000000"/>
        </w:rPr>
        <w:t>towards</w:t>
      </w:r>
      <w:r w:rsidR="00BF059B">
        <w:rPr>
          <w:color w:val="000000"/>
        </w:rPr>
        <w:t xml:space="preserve"> </w:t>
      </w:r>
      <w:r>
        <w:rPr>
          <w:color w:val="000000"/>
        </w:rPr>
        <w:t>achieving</w:t>
      </w:r>
      <w:r w:rsidR="00BF059B">
        <w:rPr>
          <w:color w:val="000000"/>
        </w:rPr>
        <w:t xml:space="preserve"> </w:t>
      </w:r>
      <w:r>
        <w:rPr>
          <w:color w:val="000000"/>
        </w:rPr>
        <w:t>net</w:t>
      </w:r>
      <w:r w:rsidR="00BF059B">
        <w:rPr>
          <w:color w:val="000000"/>
        </w:rPr>
        <w:t xml:space="preserve"> </w:t>
      </w:r>
      <w:r>
        <w:rPr>
          <w:color w:val="000000"/>
        </w:rPr>
        <w:t>zero.</w:t>
      </w:r>
      <w:r w:rsidR="00BF059B">
        <w:rPr>
          <w:color w:val="000000"/>
        </w:rPr>
        <w:t xml:space="preserve">  </w:t>
      </w:r>
      <w:r>
        <w:rPr>
          <w:color w:val="000000"/>
        </w:rPr>
        <w:t>We</w:t>
      </w:r>
      <w:r w:rsidR="00BF059B">
        <w:rPr>
          <w:color w:val="000000"/>
        </w:rPr>
        <w:t xml:space="preserve"> </w:t>
      </w:r>
      <w:r>
        <w:rPr>
          <w:color w:val="000000"/>
        </w:rPr>
        <w:t>will</w:t>
      </w:r>
      <w:r w:rsidR="00BF059B">
        <w:rPr>
          <w:color w:val="000000"/>
        </w:rPr>
        <w:t xml:space="preserve"> </w:t>
      </w:r>
      <w:r>
        <w:rPr>
          <w:color w:val="000000"/>
        </w:rPr>
        <w:t>implement</w:t>
      </w:r>
      <w:r w:rsidR="00BF059B">
        <w:rPr>
          <w:color w:val="000000"/>
        </w:rPr>
        <w:t xml:space="preserve"> </w:t>
      </w:r>
      <w:r>
        <w:rPr>
          <w:color w:val="000000"/>
        </w:rPr>
        <w:t>practical</w:t>
      </w:r>
      <w:r w:rsidR="00BF059B">
        <w:rPr>
          <w:color w:val="000000"/>
        </w:rPr>
        <w:t xml:space="preserve"> </w:t>
      </w:r>
      <w:r>
        <w:rPr>
          <w:color w:val="000000"/>
        </w:rPr>
        <w:t>steps</w:t>
      </w:r>
      <w:r w:rsidR="00BF059B">
        <w:rPr>
          <w:color w:val="000000"/>
        </w:rPr>
        <w:t xml:space="preserve"> </w:t>
      </w:r>
      <w:r>
        <w:rPr>
          <w:color w:val="000000"/>
        </w:rPr>
        <w:t>across</w:t>
      </w:r>
      <w:r w:rsidR="00BF059B">
        <w:rPr>
          <w:color w:val="000000"/>
        </w:rPr>
        <w:t xml:space="preserve"> </w:t>
      </w:r>
      <w:r>
        <w:rPr>
          <w:color w:val="000000"/>
        </w:rPr>
        <w:t>the</w:t>
      </w:r>
      <w:r w:rsidR="00BF059B">
        <w:rPr>
          <w:color w:val="000000"/>
        </w:rPr>
        <w:t xml:space="preserve"> </w:t>
      </w:r>
      <w:r>
        <w:rPr>
          <w:color w:val="000000"/>
        </w:rPr>
        <w:t>organisation</w:t>
      </w:r>
      <w:r w:rsidR="00BF059B">
        <w:rPr>
          <w:color w:val="000000"/>
        </w:rPr>
        <w:t xml:space="preserve"> </w:t>
      </w:r>
      <w:r>
        <w:rPr>
          <w:color w:val="000000"/>
        </w:rPr>
        <w:t>to</w:t>
      </w:r>
      <w:r w:rsidR="00BF059B">
        <w:rPr>
          <w:color w:val="000000"/>
        </w:rPr>
        <w:t xml:space="preserve"> </w:t>
      </w:r>
      <w:r>
        <w:rPr>
          <w:color w:val="000000"/>
        </w:rPr>
        <w:t>reduce</w:t>
      </w:r>
      <w:r w:rsidR="00BF059B">
        <w:rPr>
          <w:color w:val="000000"/>
        </w:rPr>
        <w:t xml:space="preserve"> </w:t>
      </w:r>
      <w:r>
        <w:rPr>
          <w:color w:val="000000"/>
        </w:rPr>
        <w:t>our</w:t>
      </w:r>
      <w:r w:rsidR="00BF059B">
        <w:rPr>
          <w:color w:val="000000"/>
        </w:rPr>
        <w:t xml:space="preserve"> </w:t>
      </w:r>
      <w:r>
        <w:rPr>
          <w:color w:val="000000"/>
        </w:rPr>
        <w:t>carbon</w:t>
      </w:r>
      <w:r w:rsidR="00BF059B">
        <w:rPr>
          <w:color w:val="000000"/>
        </w:rPr>
        <w:t xml:space="preserve"> </w:t>
      </w:r>
      <w:r>
        <w:rPr>
          <w:color w:val="000000"/>
        </w:rPr>
        <w:t>emissions</w:t>
      </w:r>
      <w:r w:rsidR="00BF059B">
        <w:rPr>
          <w:color w:val="000000"/>
        </w:rPr>
        <w:t xml:space="preserve"> </w:t>
      </w:r>
      <w:r>
        <w:rPr>
          <w:color w:val="000000"/>
        </w:rPr>
        <w:t>and</w:t>
      </w:r>
      <w:r w:rsidR="00BF059B">
        <w:rPr>
          <w:color w:val="000000"/>
        </w:rPr>
        <w:t xml:space="preserve"> </w:t>
      </w:r>
      <w:r>
        <w:rPr>
          <w:color w:val="000000"/>
        </w:rPr>
        <w:t>pollution</w:t>
      </w:r>
      <w:r w:rsidR="00BF059B">
        <w:rPr>
          <w:color w:val="000000"/>
        </w:rPr>
        <w:t xml:space="preserve"> </w:t>
      </w:r>
      <w:r>
        <w:rPr>
          <w:color w:val="000000"/>
        </w:rPr>
        <w:t>and</w:t>
      </w:r>
      <w:r w:rsidR="00BF059B">
        <w:rPr>
          <w:color w:val="000000"/>
        </w:rPr>
        <w:t xml:space="preserve"> </w:t>
      </w:r>
      <w:r>
        <w:rPr>
          <w:color w:val="000000"/>
        </w:rPr>
        <w:t>increase</w:t>
      </w:r>
      <w:r w:rsidR="00BF059B">
        <w:rPr>
          <w:color w:val="000000"/>
        </w:rPr>
        <w:t xml:space="preserve"> </w:t>
      </w:r>
      <w:r>
        <w:rPr>
          <w:color w:val="000000"/>
        </w:rPr>
        <w:t>the</w:t>
      </w:r>
      <w:r w:rsidR="00BF059B">
        <w:rPr>
          <w:color w:val="000000"/>
        </w:rPr>
        <w:t xml:space="preserve"> </w:t>
      </w:r>
      <w:r>
        <w:rPr>
          <w:color w:val="000000"/>
        </w:rPr>
        <w:t>biodiversity</w:t>
      </w:r>
      <w:r w:rsidR="00BF059B">
        <w:rPr>
          <w:color w:val="000000"/>
        </w:rPr>
        <w:t xml:space="preserve"> </w:t>
      </w:r>
      <w:r>
        <w:rPr>
          <w:color w:val="000000"/>
        </w:rPr>
        <w:t>of</w:t>
      </w:r>
      <w:r w:rsidR="00BF059B">
        <w:rPr>
          <w:color w:val="000000"/>
        </w:rPr>
        <w:t xml:space="preserve"> </w:t>
      </w:r>
      <w:r>
        <w:rPr>
          <w:color w:val="000000"/>
        </w:rPr>
        <w:t>our</w:t>
      </w:r>
      <w:r w:rsidR="00BF059B">
        <w:rPr>
          <w:color w:val="000000"/>
        </w:rPr>
        <w:t xml:space="preserve"> </w:t>
      </w:r>
      <w:r>
        <w:rPr>
          <w:color w:val="000000"/>
        </w:rPr>
        <w:t>site,</w:t>
      </w:r>
      <w:r w:rsidR="00BF059B">
        <w:rPr>
          <w:color w:val="000000"/>
        </w:rPr>
        <w:t xml:space="preserve"> </w:t>
      </w:r>
      <w:r>
        <w:rPr>
          <w:color w:val="000000"/>
        </w:rPr>
        <w:t>sharing</w:t>
      </w:r>
      <w:r w:rsidR="00BF059B">
        <w:rPr>
          <w:color w:val="000000"/>
        </w:rPr>
        <w:t xml:space="preserve"> </w:t>
      </w:r>
      <w:r>
        <w:rPr>
          <w:color w:val="000000"/>
        </w:rPr>
        <w:t>our</w:t>
      </w:r>
      <w:r w:rsidR="00BF059B">
        <w:rPr>
          <w:color w:val="000000"/>
        </w:rPr>
        <w:t xml:space="preserve"> </w:t>
      </w:r>
      <w:r>
        <w:rPr>
          <w:color w:val="000000"/>
        </w:rPr>
        <w:t>successes</w:t>
      </w:r>
      <w:r w:rsidR="00BF059B">
        <w:rPr>
          <w:color w:val="000000"/>
        </w:rPr>
        <w:t xml:space="preserve"> </w:t>
      </w:r>
      <w:r>
        <w:rPr>
          <w:color w:val="000000"/>
        </w:rPr>
        <w:t>and</w:t>
      </w:r>
      <w:r w:rsidR="00BF059B">
        <w:rPr>
          <w:color w:val="000000"/>
        </w:rPr>
        <w:t xml:space="preserve"> </w:t>
      </w:r>
      <w:r>
        <w:rPr>
          <w:color w:val="000000"/>
        </w:rPr>
        <w:t>failures</w:t>
      </w:r>
      <w:r w:rsidR="00BF059B">
        <w:rPr>
          <w:color w:val="000000"/>
        </w:rPr>
        <w:t xml:space="preserve"> </w:t>
      </w:r>
      <w:r>
        <w:rPr>
          <w:color w:val="000000"/>
        </w:rPr>
        <w:t>in</w:t>
      </w:r>
      <w:r w:rsidR="00BF059B">
        <w:rPr>
          <w:color w:val="000000"/>
        </w:rPr>
        <w:t xml:space="preserve"> </w:t>
      </w:r>
      <w:r>
        <w:rPr>
          <w:color w:val="000000"/>
        </w:rPr>
        <w:t>line</w:t>
      </w:r>
      <w:r w:rsidR="00BF059B">
        <w:rPr>
          <w:color w:val="000000"/>
        </w:rPr>
        <w:t xml:space="preserve"> </w:t>
      </w:r>
      <w:r>
        <w:rPr>
          <w:color w:val="000000"/>
        </w:rPr>
        <w:t>with</w:t>
      </w:r>
      <w:r w:rsidR="00BF059B">
        <w:rPr>
          <w:color w:val="000000"/>
        </w:rPr>
        <w:t xml:space="preserve"> </w:t>
      </w:r>
      <w:r>
        <w:rPr>
          <w:color w:val="000000"/>
        </w:rPr>
        <w:t>our</w:t>
      </w:r>
      <w:r w:rsidR="00BF059B">
        <w:rPr>
          <w:color w:val="000000"/>
        </w:rPr>
        <w:t xml:space="preserve"> </w:t>
      </w:r>
      <w:r>
        <w:rPr>
          <w:color w:val="000000"/>
        </w:rPr>
        <w:t>responsibility</w:t>
      </w:r>
      <w:r w:rsidR="00BF059B">
        <w:rPr>
          <w:color w:val="000000"/>
        </w:rPr>
        <w:t xml:space="preserve"> </w:t>
      </w:r>
      <w:r>
        <w:rPr>
          <w:color w:val="000000"/>
        </w:rPr>
        <w:t>to</w:t>
      </w:r>
      <w:r w:rsidR="00BF059B">
        <w:rPr>
          <w:color w:val="000000"/>
        </w:rPr>
        <w:t xml:space="preserve"> </w:t>
      </w:r>
      <w:r>
        <w:rPr>
          <w:color w:val="000000"/>
        </w:rPr>
        <w:t>give</w:t>
      </w:r>
      <w:r w:rsidR="00BF059B">
        <w:rPr>
          <w:color w:val="000000"/>
        </w:rPr>
        <w:t xml:space="preserve"> </w:t>
      </w:r>
      <w:r>
        <w:rPr>
          <w:color w:val="000000"/>
        </w:rPr>
        <w:t>a</w:t>
      </w:r>
      <w:r w:rsidR="00BF059B">
        <w:rPr>
          <w:color w:val="000000"/>
        </w:rPr>
        <w:t xml:space="preserve"> </w:t>
      </w:r>
      <w:r>
        <w:rPr>
          <w:color w:val="000000"/>
        </w:rPr>
        <w:t>sense</w:t>
      </w:r>
      <w:r w:rsidR="00BF059B">
        <w:rPr>
          <w:color w:val="000000"/>
        </w:rPr>
        <w:t xml:space="preserve"> </w:t>
      </w:r>
      <w:r>
        <w:rPr>
          <w:color w:val="000000"/>
        </w:rPr>
        <w:t>of</w:t>
      </w:r>
      <w:r w:rsidR="00BF059B">
        <w:rPr>
          <w:color w:val="000000"/>
        </w:rPr>
        <w:t xml:space="preserve"> </w:t>
      </w:r>
      <w:r>
        <w:rPr>
          <w:color w:val="000000"/>
        </w:rPr>
        <w:t>agency</w:t>
      </w:r>
      <w:r w:rsidR="00BF059B">
        <w:rPr>
          <w:color w:val="000000"/>
        </w:rPr>
        <w:t xml:space="preserve"> </w:t>
      </w:r>
      <w:r>
        <w:rPr>
          <w:color w:val="000000"/>
        </w:rPr>
        <w:t>to</w:t>
      </w:r>
      <w:r w:rsidR="00BF059B">
        <w:rPr>
          <w:color w:val="000000"/>
        </w:rPr>
        <w:t xml:space="preserve"> </w:t>
      </w:r>
      <w:r>
        <w:rPr>
          <w:color w:val="000000"/>
        </w:rPr>
        <w:t>our</w:t>
      </w:r>
      <w:r w:rsidR="00BF059B">
        <w:rPr>
          <w:color w:val="000000"/>
        </w:rPr>
        <w:t xml:space="preserve"> </w:t>
      </w:r>
      <w:r>
        <w:rPr>
          <w:color w:val="000000"/>
        </w:rPr>
        <w:t>visitors</w:t>
      </w:r>
      <w:r w:rsidR="00BF059B">
        <w:rPr>
          <w:color w:val="000000"/>
        </w:rPr>
        <w:t xml:space="preserve"> </w:t>
      </w:r>
      <w:r>
        <w:rPr>
          <w:color w:val="000000"/>
        </w:rPr>
        <w:t>and</w:t>
      </w:r>
      <w:r w:rsidR="00BF059B">
        <w:rPr>
          <w:color w:val="000000"/>
        </w:rPr>
        <w:t xml:space="preserve"> </w:t>
      </w:r>
      <w:r>
        <w:rPr>
          <w:color w:val="000000"/>
        </w:rPr>
        <w:t>local</w:t>
      </w:r>
      <w:r w:rsidR="00BF059B">
        <w:rPr>
          <w:color w:val="000000"/>
        </w:rPr>
        <w:t xml:space="preserve"> </w:t>
      </w:r>
      <w:r>
        <w:rPr>
          <w:color w:val="000000"/>
        </w:rPr>
        <w:t>community.</w:t>
      </w:r>
    </w:p>
    <w:p w14:paraId="6BCCB095" w14:textId="16CB2220" w:rsidR="00BE13A8" w:rsidRDefault="00D70530" w:rsidP="0015265F">
      <w:pPr>
        <w:numPr>
          <w:ilvl w:val="0"/>
          <w:numId w:val="4"/>
        </w:numPr>
        <w:pBdr>
          <w:top w:val="nil"/>
          <w:left w:val="nil"/>
          <w:bottom w:val="nil"/>
          <w:right w:val="nil"/>
          <w:between w:val="nil"/>
        </w:pBdr>
        <w:ind w:left="426"/>
        <w:rPr>
          <w:color w:val="000000"/>
        </w:rPr>
      </w:pPr>
      <w:r>
        <w:rPr>
          <w:color w:val="000000"/>
        </w:rPr>
        <w:t>During</w:t>
      </w:r>
      <w:r w:rsidR="00BF059B">
        <w:rPr>
          <w:color w:val="000000"/>
        </w:rPr>
        <w:t xml:space="preserve"> </w:t>
      </w:r>
      <w:r>
        <w:rPr>
          <w:color w:val="000000"/>
        </w:rPr>
        <w:t>2024/25</w:t>
      </w:r>
      <w:r w:rsidR="00BF059B">
        <w:rPr>
          <w:color w:val="000000"/>
        </w:rPr>
        <w:t xml:space="preserve"> </w:t>
      </w:r>
      <w:r>
        <w:rPr>
          <w:color w:val="000000"/>
        </w:rPr>
        <w:t>the</w:t>
      </w:r>
      <w:r w:rsidR="00BF059B">
        <w:rPr>
          <w:color w:val="000000"/>
        </w:rPr>
        <w:t xml:space="preserve"> </w:t>
      </w:r>
      <w:r>
        <w:rPr>
          <w:color w:val="000000"/>
        </w:rPr>
        <w:t>Horniman</w:t>
      </w:r>
      <w:r w:rsidR="00BF059B">
        <w:rPr>
          <w:color w:val="000000"/>
        </w:rPr>
        <w:t xml:space="preserve"> </w:t>
      </w:r>
      <w:r>
        <w:rPr>
          <w:color w:val="000000"/>
        </w:rPr>
        <w:t>successfully</w:t>
      </w:r>
      <w:r w:rsidR="00BF059B">
        <w:rPr>
          <w:color w:val="000000"/>
        </w:rPr>
        <w:t xml:space="preserve"> </w:t>
      </w:r>
      <w:r>
        <w:rPr>
          <w:color w:val="000000"/>
        </w:rPr>
        <w:t>achieved</w:t>
      </w:r>
      <w:r w:rsidR="00BF059B">
        <w:rPr>
          <w:color w:val="000000"/>
        </w:rPr>
        <w:t xml:space="preserve"> </w:t>
      </w:r>
      <w:r>
        <w:rPr>
          <w:color w:val="000000"/>
        </w:rPr>
        <w:t>Cyber</w:t>
      </w:r>
      <w:r w:rsidR="00BF059B">
        <w:rPr>
          <w:color w:val="000000"/>
        </w:rPr>
        <w:t xml:space="preserve"> </w:t>
      </w:r>
      <w:r>
        <w:rPr>
          <w:color w:val="000000"/>
        </w:rPr>
        <w:t>Essentials</w:t>
      </w:r>
      <w:r w:rsidR="00BF059B">
        <w:rPr>
          <w:color w:val="000000"/>
        </w:rPr>
        <w:t xml:space="preserve"> </w:t>
      </w:r>
      <w:r>
        <w:rPr>
          <w:color w:val="000000"/>
        </w:rPr>
        <w:t>accreditation,</w:t>
      </w:r>
      <w:r w:rsidR="00BF059B">
        <w:rPr>
          <w:color w:val="000000"/>
        </w:rPr>
        <w:t xml:space="preserve"> </w:t>
      </w:r>
      <w:r>
        <w:rPr>
          <w:color w:val="000000"/>
        </w:rPr>
        <w:t>due</w:t>
      </w:r>
      <w:r w:rsidR="00BF059B">
        <w:rPr>
          <w:color w:val="000000"/>
        </w:rPr>
        <w:t xml:space="preserve"> </w:t>
      </w:r>
      <w:r>
        <w:rPr>
          <w:color w:val="000000"/>
        </w:rPr>
        <w:t>to</w:t>
      </w:r>
      <w:r w:rsidR="00BF059B">
        <w:rPr>
          <w:color w:val="000000"/>
        </w:rPr>
        <w:t xml:space="preserve"> </w:t>
      </w:r>
      <w:r>
        <w:rPr>
          <w:color w:val="000000"/>
        </w:rPr>
        <w:t>the</w:t>
      </w:r>
      <w:r w:rsidR="00BF059B">
        <w:rPr>
          <w:color w:val="000000"/>
        </w:rPr>
        <w:t xml:space="preserve"> </w:t>
      </w:r>
      <w:r>
        <w:rPr>
          <w:color w:val="000000"/>
        </w:rPr>
        <w:t>hard</w:t>
      </w:r>
      <w:r w:rsidR="00BF059B">
        <w:rPr>
          <w:color w:val="000000"/>
        </w:rPr>
        <w:t xml:space="preserve"> </w:t>
      </w:r>
      <w:r>
        <w:rPr>
          <w:color w:val="000000"/>
        </w:rPr>
        <w:t>work</w:t>
      </w:r>
      <w:r w:rsidR="00BF059B">
        <w:rPr>
          <w:color w:val="000000"/>
        </w:rPr>
        <w:t xml:space="preserve"> </w:t>
      </w:r>
      <w:r>
        <w:rPr>
          <w:color w:val="000000"/>
        </w:rPr>
        <w:t>and</w:t>
      </w:r>
      <w:r w:rsidR="00BF059B">
        <w:rPr>
          <w:color w:val="000000"/>
        </w:rPr>
        <w:t xml:space="preserve"> </w:t>
      </w:r>
      <w:r>
        <w:rPr>
          <w:color w:val="000000"/>
        </w:rPr>
        <w:t>efforts</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IT</w:t>
      </w:r>
      <w:r w:rsidR="00BF059B">
        <w:rPr>
          <w:color w:val="000000"/>
        </w:rPr>
        <w:t xml:space="preserve"> </w:t>
      </w:r>
      <w:r>
        <w:rPr>
          <w:color w:val="000000"/>
        </w:rPr>
        <w:t>Team,</w:t>
      </w:r>
      <w:r w:rsidR="00BF059B">
        <w:rPr>
          <w:color w:val="000000"/>
        </w:rPr>
        <w:t xml:space="preserve"> </w:t>
      </w:r>
      <w:r>
        <w:rPr>
          <w:color w:val="000000"/>
        </w:rPr>
        <w:t>led</w:t>
      </w:r>
      <w:r w:rsidR="00BF059B">
        <w:rPr>
          <w:color w:val="000000"/>
        </w:rPr>
        <w:t xml:space="preserve"> </w:t>
      </w:r>
      <w:r>
        <w:rPr>
          <w:color w:val="000000"/>
        </w:rPr>
        <w:t>by</w:t>
      </w:r>
      <w:r w:rsidR="00BF059B">
        <w:rPr>
          <w:color w:val="000000"/>
        </w:rPr>
        <w:t xml:space="preserve"> </w:t>
      </w:r>
      <w:r>
        <w:rPr>
          <w:color w:val="000000"/>
        </w:rPr>
        <w:t>the</w:t>
      </w:r>
      <w:r w:rsidR="00BF059B">
        <w:rPr>
          <w:color w:val="000000"/>
        </w:rPr>
        <w:t xml:space="preserve"> </w:t>
      </w:r>
      <w:r>
        <w:rPr>
          <w:color w:val="000000"/>
        </w:rPr>
        <w:t>Head</w:t>
      </w:r>
      <w:r w:rsidR="00BF059B">
        <w:rPr>
          <w:color w:val="000000"/>
        </w:rPr>
        <w:t xml:space="preserve"> </w:t>
      </w:r>
      <w:r>
        <w:rPr>
          <w:color w:val="000000"/>
        </w:rPr>
        <w:t>of</w:t>
      </w:r>
      <w:r w:rsidR="00BF059B">
        <w:rPr>
          <w:color w:val="000000"/>
        </w:rPr>
        <w:t xml:space="preserve"> </w:t>
      </w:r>
      <w:r>
        <w:rPr>
          <w:color w:val="000000"/>
        </w:rPr>
        <w:t>Information</w:t>
      </w:r>
      <w:r w:rsidR="00BF059B">
        <w:rPr>
          <w:color w:val="000000"/>
        </w:rPr>
        <w:t xml:space="preserve"> </w:t>
      </w:r>
      <w:r>
        <w:rPr>
          <w:color w:val="000000"/>
        </w:rPr>
        <w:t>Technology:</w:t>
      </w:r>
      <w:r w:rsidR="00BF059B">
        <w:rPr>
          <w:color w:val="000000"/>
        </w:rPr>
        <w:t xml:space="preserve"> </w:t>
      </w:r>
      <w:r>
        <w:rPr>
          <w:color w:val="000000"/>
        </w:rPr>
        <w:t>Thomas</w:t>
      </w:r>
      <w:r w:rsidR="00BF059B">
        <w:rPr>
          <w:color w:val="000000"/>
        </w:rPr>
        <w:t xml:space="preserve"> </w:t>
      </w:r>
      <w:r>
        <w:rPr>
          <w:color w:val="000000"/>
        </w:rPr>
        <w:t>Dakin.</w:t>
      </w:r>
      <w:r w:rsidR="00BF059B">
        <w:rPr>
          <w:color w:val="000000"/>
        </w:rPr>
        <w:t xml:space="preserve"> </w:t>
      </w:r>
      <w:r>
        <w:rPr>
          <w:color w:val="000000"/>
        </w:rPr>
        <w:t>We</w:t>
      </w:r>
      <w:r w:rsidR="00BF059B">
        <w:rPr>
          <w:color w:val="000000"/>
        </w:rPr>
        <w:t xml:space="preserve"> </w:t>
      </w:r>
      <w:r>
        <w:rPr>
          <w:color w:val="000000"/>
        </w:rPr>
        <w:t>will</w:t>
      </w:r>
      <w:r w:rsidR="00BF059B">
        <w:rPr>
          <w:color w:val="000000"/>
        </w:rPr>
        <w:t xml:space="preserve"> </w:t>
      </w:r>
      <w:r>
        <w:rPr>
          <w:color w:val="000000"/>
        </w:rPr>
        <w:t>continue</w:t>
      </w:r>
      <w:r w:rsidR="00BF059B">
        <w:rPr>
          <w:color w:val="000000"/>
        </w:rPr>
        <w:t xml:space="preserve"> </w:t>
      </w:r>
      <w:r>
        <w:rPr>
          <w:color w:val="000000"/>
        </w:rPr>
        <w:t>to</w:t>
      </w:r>
      <w:r w:rsidR="00BF059B">
        <w:rPr>
          <w:color w:val="000000"/>
        </w:rPr>
        <w:t xml:space="preserve"> </w:t>
      </w:r>
      <w:r>
        <w:rPr>
          <w:color w:val="000000"/>
        </w:rPr>
        <w:t>implement</w:t>
      </w:r>
      <w:r w:rsidR="00BF059B">
        <w:rPr>
          <w:color w:val="000000"/>
        </w:rPr>
        <w:t xml:space="preserve"> </w:t>
      </w:r>
      <w:r>
        <w:rPr>
          <w:color w:val="000000"/>
        </w:rPr>
        <w:t>our</w:t>
      </w:r>
      <w:r w:rsidR="00BF059B">
        <w:rPr>
          <w:color w:val="000000"/>
        </w:rPr>
        <w:t xml:space="preserve"> </w:t>
      </w:r>
      <w:r>
        <w:rPr>
          <w:color w:val="000000"/>
        </w:rPr>
        <w:t>information</w:t>
      </w:r>
      <w:r w:rsidR="00BF059B">
        <w:rPr>
          <w:color w:val="000000"/>
        </w:rPr>
        <w:t xml:space="preserve"> </w:t>
      </w:r>
      <w:r>
        <w:rPr>
          <w:color w:val="000000"/>
        </w:rPr>
        <w:t>technology</w:t>
      </w:r>
      <w:r w:rsidR="00BF059B">
        <w:rPr>
          <w:color w:val="000000"/>
        </w:rPr>
        <w:t xml:space="preserve"> </w:t>
      </w:r>
      <w:r>
        <w:rPr>
          <w:color w:val="000000"/>
        </w:rPr>
        <w:t>and</w:t>
      </w:r>
      <w:r w:rsidR="00BF059B">
        <w:rPr>
          <w:color w:val="000000"/>
        </w:rPr>
        <w:t xml:space="preserve"> </w:t>
      </w:r>
      <w:r>
        <w:rPr>
          <w:color w:val="000000"/>
        </w:rPr>
        <w:t>digital</w:t>
      </w:r>
      <w:r w:rsidR="00BF059B">
        <w:rPr>
          <w:color w:val="000000"/>
        </w:rPr>
        <w:t xml:space="preserve"> </w:t>
      </w:r>
      <w:r>
        <w:rPr>
          <w:color w:val="000000"/>
        </w:rPr>
        <w:t>transformation</w:t>
      </w:r>
      <w:r w:rsidR="00BF059B">
        <w:rPr>
          <w:color w:val="000000"/>
        </w:rPr>
        <w:t xml:space="preserve"> </w:t>
      </w:r>
      <w:r>
        <w:rPr>
          <w:color w:val="000000"/>
        </w:rPr>
        <w:t>strategy</w:t>
      </w:r>
      <w:r w:rsidR="00BF059B">
        <w:rPr>
          <w:color w:val="000000"/>
        </w:rPr>
        <w:t xml:space="preserve"> </w:t>
      </w:r>
      <w:r>
        <w:rPr>
          <w:color w:val="000000"/>
        </w:rPr>
        <w:t>by</w:t>
      </w:r>
      <w:r w:rsidR="00BF059B">
        <w:rPr>
          <w:color w:val="000000"/>
        </w:rPr>
        <w:t xml:space="preserve"> </w:t>
      </w:r>
      <w:r>
        <w:rPr>
          <w:color w:val="000000"/>
        </w:rPr>
        <w:t>ensuring</w:t>
      </w:r>
      <w:r w:rsidR="00BF059B">
        <w:rPr>
          <w:color w:val="000000"/>
        </w:rPr>
        <w:t xml:space="preserve"> </w:t>
      </w:r>
      <w:r>
        <w:rPr>
          <w:color w:val="000000"/>
        </w:rPr>
        <w:t>that</w:t>
      </w:r>
      <w:r w:rsidR="00BF059B">
        <w:rPr>
          <w:color w:val="000000"/>
        </w:rPr>
        <w:t xml:space="preserve"> </w:t>
      </w:r>
      <w:r>
        <w:rPr>
          <w:color w:val="000000"/>
        </w:rPr>
        <w:t>staff</w:t>
      </w:r>
      <w:r w:rsidR="00BF059B">
        <w:rPr>
          <w:color w:val="000000"/>
        </w:rPr>
        <w:t xml:space="preserve"> </w:t>
      </w:r>
      <w:r>
        <w:rPr>
          <w:color w:val="000000"/>
        </w:rPr>
        <w:t>across</w:t>
      </w:r>
      <w:r w:rsidR="00BF059B">
        <w:rPr>
          <w:color w:val="000000"/>
        </w:rPr>
        <w:t xml:space="preserve"> </w:t>
      </w:r>
      <w:r>
        <w:rPr>
          <w:color w:val="000000"/>
        </w:rPr>
        <w:t>the</w:t>
      </w:r>
      <w:r w:rsidR="00BF059B">
        <w:rPr>
          <w:color w:val="000000"/>
        </w:rPr>
        <w:t xml:space="preserve"> </w:t>
      </w:r>
      <w:r>
        <w:rPr>
          <w:color w:val="000000"/>
        </w:rPr>
        <w:t>organisation</w:t>
      </w:r>
      <w:r w:rsidR="00BF059B">
        <w:rPr>
          <w:color w:val="000000"/>
        </w:rPr>
        <w:t xml:space="preserve"> </w:t>
      </w:r>
      <w:r>
        <w:rPr>
          <w:color w:val="000000"/>
        </w:rPr>
        <w:t>are</w:t>
      </w:r>
      <w:r w:rsidR="00BF059B">
        <w:rPr>
          <w:color w:val="000000"/>
        </w:rPr>
        <w:t xml:space="preserve"> </w:t>
      </w:r>
      <w:r>
        <w:rPr>
          <w:color w:val="000000"/>
        </w:rPr>
        <w:t>equipped</w:t>
      </w:r>
      <w:r w:rsidR="00BF059B">
        <w:rPr>
          <w:color w:val="000000"/>
        </w:rPr>
        <w:t xml:space="preserve"> </w:t>
      </w:r>
      <w:r>
        <w:rPr>
          <w:color w:val="000000"/>
        </w:rPr>
        <w:t>with</w:t>
      </w:r>
      <w:r w:rsidR="00BF059B">
        <w:rPr>
          <w:color w:val="000000"/>
        </w:rPr>
        <w:t xml:space="preserve"> </w:t>
      </w:r>
      <w:r>
        <w:rPr>
          <w:color w:val="000000"/>
        </w:rPr>
        <w:t>the</w:t>
      </w:r>
      <w:r w:rsidR="00BF059B">
        <w:rPr>
          <w:color w:val="000000"/>
        </w:rPr>
        <w:t xml:space="preserve"> </w:t>
      </w:r>
      <w:r>
        <w:rPr>
          <w:color w:val="000000"/>
        </w:rPr>
        <w:t>right</w:t>
      </w:r>
      <w:r w:rsidR="00BF059B">
        <w:rPr>
          <w:color w:val="000000"/>
        </w:rPr>
        <w:t xml:space="preserve"> </w:t>
      </w:r>
      <w:r>
        <w:rPr>
          <w:color w:val="000000"/>
        </w:rPr>
        <w:t>systems</w:t>
      </w:r>
      <w:r w:rsidR="00BF059B">
        <w:rPr>
          <w:color w:val="000000"/>
        </w:rPr>
        <w:t xml:space="preserve"> </w:t>
      </w:r>
      <w:r>
        <w:rPr>
          <w:color w:val="000000"/>
        </w:rPr>
        <w:t>and</w:t>
      </w:r>
      <w:r w:rsidR="00BF059B">
        <w:rPr>
          <w:color w:val="000000"/>
        </w:rPr>
        <w:t xml:space="preserve"> </w:t>
      </w:r>
      <w:r>
        <w:rPr>
          <w:color w:val="000000"/>
        </w:rPr>
        <w:t>security</w:t>
      </w:r>
      <w:r w:rsidR="00BF059B">
        <w:rPr>
          <w:color w:val="000000"/>
        </w:rPr>
        <w:t xml:space="preserve"> </w:t>
      </w:r>
      <w:r>
        <w:rPr>
          <w:color w:val="000000"/>
        </w:rPr>
        <w:t>for</w:t>
      </w:r>
      <w:r w:rsidR="00BF059B">
        <w:rPr>
          <w:color w:val="000000"/>
        </w:rPr>
        <w:t xml:space="preserve"> </w:t>
      </w:r>
      <w:r>
        <w:rPr>
          <w:color w:val="000000"/>
        </w:rPr>
        <w:t>them</w:t>
      </w:r>
      <w:r w:rsidR="00BF059B">
        <w:rPr>
          <w:color w:val="000000"/>
        </w:rPr>
        <w:t xml:space="preserve"> </w:t>
      </w:r>
      <w:r>
        <w:rPr>
          <w:color w:val="000000"/>
        </w:rPr>
        <w:t>to</w:t>
      </w:r>
      <w:r w:rsidR="00BF059B">
        <w:rPr>
          <w:color w:val="000000"/>
        </w:rPr>
        <w:t xml:space="preserve"> </w:t>
      </w:r>
      <w:r>
        <w:rPr>
          <w:color w:val="000000"/>
        </w:rPr>
        <w:t>function</w:t>
      </w:r>
      <w:r w:rsidR="00BF059B">
        <w:rPr>
          <w:color w:val="000000"/>
        </w:rPr>
        <w:t xml:space="preserve"> </w:t>
      </w:r>
      <w:r>
        <w:rPr>
          <w:color w:val="000000"/>
        </w:rPr>
        <w:t>in</w:t>
      </w:r>
      <w:r w:rsidR="00BF059B">
        <w:rPr>
          <w:color w:val="000000"/>
        </w:rPr>
        <w:t xml:space="preserve"> </w:t>
      </w:r>
      <w:r>
        <w:rPr>
          <w:color w:val="000000"/>
        </w:rPr>
        <w:t>the</w:t>
      </w:r>
      <w:r w:rsidR="00BF059B">
        <w:rPr>
          <w:color w:val="000000"/>
        </w:rPr>
        <w:t xml:space="preserve"> </w:t>
      </w:r>
      <w:r>
        <w:rPr>
          <w:color w:val="000000"/>
        </w:rPr>
        <w:t>most</w:t>
      </w:r>
      <w:r w:rsidR="00BF059B">
        <w:rPr>
          <w:color w:val="000000"/>
        </w:rPr>
        <w:t xml:space="preserve"> </w:t>
      </w:r>
      <w:r>
        <w:rPr>
          <w:color w:val="000000"/>
        </w:rPr>
        <w:t>efficient</w:t>
      </w:r>
      <w:r w:rsidR="00BF059B">
        <w:rPr>
          <w:color w:val="000000"/>
        </w:rPr>
        <w:t xml:space="preserve"> </w:t>
      </w:r>
      <w:r>
        <w:rPr>
          <w:color w:val="000000"/>
        </w:rPr>
        <w:t>and</w:t>
      </w:r>
      <w:r w:rsidR="00BF059B">
        <w:rPr>
          <w:color w:val="000000"/>
        </w:rPr>
        <w:t xml:space="preserve"> </w:t>
      </w:r>
      <w:r>
        <w:rPr>
          <w:color w:val="000000"/>
        </w:rPr>
        <w:t>secure</w:t>
      </w:r>
      <w:r w:rsidR="00BF059B">
        <w:rPr>
          <w:color w:val="000000"/>
        </w:rPr>
        <w:t xml:space="preserve"> </w:t>
      </w:r>
      <w:r>
        <w:rPr>
          <w:color w:val="000000"/>
        </w:rPr>
        <w:t>way.</w:t>
      </w:r>
      <w:r w:rsidR="00BF059B">
        <w:rPr>
          <w:color w:val="000000"/>
        </w:rPr>
        <w:t xml:space="preserve"> </w:t>
      </w:r>
      <w:r>
        <w:rPr>
          <w:color w:val="000000"/>
        </w:rPr>
        <w:t>The</w:t>
      </w:r>
      <w:r w:rsidR="00BF059B">
        <w:rPr>
          <w:color w:val="000000"/>
        </w:rPr>
        <w:t xml:space="preserve"> </w:t>
      </w:r>
      <w:r>
        <w:rPr>
          <w:color w:val="000000"/>
        </w:rPr>
        <w:t>continued</w:t>
      </w:r>
      <w:r w:rsidR="00BF059B">
        <w:rPr>
          <w:color w:val="000000"/>
        </w:rPr>
        <w:t xml:space="preserve"> </w:t>
      </w:r>
      <w:r>
        <w:rPr>
          <w:color w:val="000000"/>
        </w:rPr>
        <w:t>development</w:t>
      </w:r>
      <w:r w:rsidR="00BF059B">
        <w:rPr>
          <w:color w:val="000000"/>
        </w:rPr>
        <w:t xml:space="preserve"> </w:t>
      </w:r>
      <w:r>
        <w:rPr>
          <w:color w:val="000000"/>
        </w:rPr>
        <w:t>of</w:t>
      </w:r>
      <w:r w:rsidR="00BF059B">
        <w:rPr>
          <w:color w:val="000000"/>
        </w:rPr>
        <w:t xml:space="preserve"> </w:t>
      </w:r>
      <w:r>
        <w:rPr>
          <w:color w:val="000000"/>
        </w:rPr>
        <w:t>upgrading</w:t>
      </w:r>
      <w:r w:rsidR="00BF059B">
        <w:rPr>
          <w:color w:val="000000"/>
        </w:rPr>
        <w:t xml:space="preserve"> </w:t>
      </w:r>
      <w:r>
        <w:rPr>
          <w:color w:val="000000"/>
        </w:rPr>
        <w:t>our</w:t>
      </w:r>
      <w:r w:rsidR="00BF059B">
        <w:rPr>
          <w:color w:val="000000"/>
        </w:rPr>
        <w:t xml:space="preserve"> </w:t>
      </w:r>
      <w:r>
        <w:rPr>
          <w:color w:val="000000"/>
        </w:rPr>
        <w:t>systems</w:t>
      </w:r>
      <w:r w:rsidR="00BF059B">
        <w:rPr>
          <w:color w:val="000000"/>
        </w:rPr>
        <w:t xml:space="preserve"> </w:t>
      </w:r>
      <w:r>
        <w:rPr>
          <w:color w:val="000000"/>
        </w:rPr>
        <w:t>network</w:t>
      </w:r>
      <w:r w:rsidR="00BF059B">
        <w:rPr>
          <w:color w:val="000000"/>
        </w:rPr>
        <w:t xml:space="preserve"> </w:t>
      </w:r>
      <w:r>
        <w:rPr>
          <w:color w:val="000000"/>
        </w:rPr>
        <w:t>and</w:t>
      </w:r>
      <w:r w:rsidR="00BF059B">
        <w:rPr>
          <w:color w:val="000000"/>
        </w:rPr>
        <w:t xml:space="preserve"> </w:t>
      </w:r>
      <w:r>
        <w:rPr>
          <w:color w:val="000000"/>
        </w:rPr>
        <w:t>software</w:t>
      </w:r>
      <w:r w:rsidR="00BF059B">
        <w:rPr>
          <w:color w:val="000000"/>
        </w:rPr>
        <w:t xml:space="preserve"> </w:t>
      </w:r>
      <w:r>
        <w:rPr>
          <w:color w:val="000000"/>
        </w:rPr>
        <w:t>will</w:t>
      </w:r>
      <w:r w:rsidR="00BF059B">
        <w:rPr>
          <w:color w:val="000000"/>
        </w:rPr>
        <w:t xml:space="preserve"> </w:t>
      </w:r>
      <w:r>
        <w:rPr>
          <w:color w:val="000000"/>
        </w:rPr>
        <w:t>further</w:t>
      </w:r>
      <w:r w:rsidR="00BF059B">
        <w:rPr>
          <w:color w:val="000000"/>
        </w:rPr>
        <w:t xml:space="preserve"> </w:t>
      </w:r>
      <w:r>
        <w:rPr>
          <w:color w:val="000000"/>
        </w:rPr>
        <w:t>strengthening</w:t>
      </w:r>
      <w:r w:rsidR="00BF059B">
        <w:rPr>
          <w:color w:val="000000"/>
        </w:rPr>
        <w:t xml:space="preserve"> </w:t>
      </w:r>
      <w:r>
        <w:rPr>
          <w:color w:val="000000"/>
        </w:rPr>
        <w:t>the</w:t>
      </w:r>
      <w:r w:rsidR="00BF059B">
        <w:rPr>
          <w:color w:val="000000"/>
        </w:rPr>
        <w:t xml:space="preserve"> </w:t>
      </w:r>
      <w:r>
        <w:rPr>
          <w:color w:val="000000"/>
        </w:rPr>
        <w:t>organisation’s</w:t>
      </w:r>
      <w:r w:rsidR="00BF059B">
        <w:rPr>
          <w:color w:val="000000"/>
        </w:rPr>
        <w:t xml:space="preserve"> </w:t>
      </w:r>
      <w:r>
        <w:rPr>
          <w:color w:val="000000"/>
        </w:rPr>
        <w:t>general</w:t>
      </w:r>
      <w:r w:rsidR="00BF059B">
        <w:rPr>
          <w:color w:val="000000"/>
        </w:rPr>
        <w:t xml:space="preserve"> </w:t>
      </w:r>
      <w:r>
        <w:rPr>
          <w:color w:val="000000"/>
        </w:rPr>
        <w:t>IT</w:t>
      </w:r>
      <w:r w:rsidR="00BF059B">
        <w:rPr>
          <w:color w:val="000000"/>
        </w:rPr>
        <w:t xml:space="preserve"> </w:t>
      </w:r>
      <w:r>
        <w:rPr>
          <w:color w:val="000000"/>
        </w:rPr>
        <w:t>infrastructure.</w:t>
      </w:r>
      <w:r w:rsidR="00BF059B">
        <w:rPr>
          <w:color w:val="000000"/>
        </w:rPr>
        <w:t xml:space="preserve"> </w:t>
      </w:r>
    </w:p>
    <w:p w14:paraId="269F34F9" w14:textId="77777777" w:rsidR="00BE13A8" w:rsidRDefault="00BE13A8" w:rsidP="0015265F">
      <w:pPr>
        <w:rPr>
          <w:b/>
          <w:i/>
          <w:color w:val="FF0000"/>
        </w:rPr>
      </w:pPr>
    </w:p>
    <w:p w14:paraId="44BFFD36" w14:textId="6DEFB69F" w:rsidR="00BE13A8" w:rsidRDefault="00D70530" w:rsidP="0015265F">
      <w:pPr>
        <w:pStyle w:val="Heading4"/>
        <w:jc w:val="left"/>
      </w:pPr>
      <w:bookmarkStart w:id="5" w:name="_heading=h.7sybhbp59zvu" w:colFirst="0" w:colLast="0"/>
      <w:bookmarkEnd w:id="5"/>
      <w:r>
        <w:t>3.1</w:t>
      </w:r>
      <w:r w:rsidR="00BF059B">
        <w:t xml:space="preserve"> </w:t>
      </w:r>
      <w:r>
        <w:t>Income</w:t>
      </w:r>
      <w:r w:rsidR="00BF059B">
        <w:t xml:space="preserve"> </w:t>
      </w:r>
      <w:r>
        <w:t>generation</w:t>
      </w:r>
    </w:p>
    <w:p w14:paraId="1461E8C5" w14:textId="77777777" w:rsidR="00BE13A8" w:rsidRDefault="00BE13A8" w:rsidP="0015265F">
      <w:pPr>
        <w:rPr>
          <w:b/>
        </w:rPr>
      </w:pPr>
    </w:p>
    <w:p w14:paraId="0B2B937A" w14:textId="308F2EBA" w:rsidR="00BE13A8" w:rsidRDefault="00D70530" w:rsidP="0015265F">
      <w:pPr>
        <w:pStyle w:val="Heading5"/>
        <w:jc w:val="left"/>
      </w:pPr>
      <w:r>
        <w:t>3.1.1</w:t>
      </w:r>
      <w:r w:rsidR="00BF059B">
        <w:t xml:space="preserve"> </w:t>
      </w:r>
      <w:r>
        <w:t>Commercial</w:t>
      </w:r>
      <w:r w:rsidR="00BF059B">
        <w:t xml:space="preserve"> </w:t>
      </w:r>
    </w:p>
    <w:p w14:paraId="21C574DB" w14:textId="5514F1EB" w:rsidR="00BE13A8" w:rsidRDefault="00D70530" w:rsidP="0015265F">
      <w:r>
        <w:t>Activity</w:t>
      </w:r>
      <w:r w:rsidR="00BF059B">
        <w:t xml:space="preserve"> </w:t>
      </w:r>
      <w:r>
        <w:t>managed</w:t>
      </w:r>
      <w:r w:rsidR="00BF059B">
        <w:t xml:space="preserve"> </w:t>
      </w:r>
      <w:r>
        <w:t>through</w:t>
      </w:r>
      <w:r w:rsidR="00BF059B">
        <w:t xml:space="preserve"> </w:t>
      </w:r>
      <w:r>
        <w:t>the</w:t>
      </w:r>
      <w:r w:rsidR="00BF059B">
        <w:t xml:space="preserve"> </w:t>
      </w:r>
      <w:r>
        <w:t>Horniman</w:t>
      </w:r>
      <w:r w:rsidR="00BF059B">
        <w:t xml:space="preserve"> </w:t>
      </w:r>
      <w:r>
        <w:t>Museum</w:t>
      </w:r>
      <w:r w:rsidR="00BF059B">
        <w:t xml:space="preserve"> </w:t>
      </w:r>
      <w:r>
        <w:t>and</w:t>
      </w:r>
      <w:r w:rsidR="00BF059B">
        <w:t xml:space="preserve"> </w:t>
      </w:r>
      <w:r>
        <w:t>Enterprises</w:t>
      </w:r>
      <w:r w:rsidR="00BF059B">
        <w:t xml:space="preserve"> </w:t>
      </w:r>
      <w:r>
        <w:t>(HME)</w:t>
      </w:r>
      <w:r w:rsidR="00BF059B">
        <w:t xml:space="preserve"> </w:t>
      </w:r>
      <w:r>
        <w:t>and</w:t>
      </w:r>
      <w:r w:rsidR="00BF059B">
        <w:t xml:space="preserve"> </w:t>
      </w:r>
      <w:r>
        <w:t>comprising</w:t>
      </w:r>
      <w:r w:rsidR="00BF059B">
        <w:t xml:space="preserve"> </w:t>
      </w:r>
      <w:r>
        <w:t>retail,</w:t>
      </w:r>
      <w:r w:rsidR="00BF059B">
        <w:t xml:space="preserve"> </w:t>
      </w:r>
      <w:r>
        <w:t>catering</w:t>
      </w:r>
      <w:r w:rsidR="00BF059B">
        <w:t xml:space="preserve"> </w:t>
      </w:r>
      <w:r>
        <w:t>and</w:t>
      </w:r>
      <w:r w:rsidR="00BF059B">
        <w:t xml:space="preserve"> </w:t>
      </w:r>
      <w:r>
        <w:t>venue</w:t>
      </w:r>
      <w:r w:rsidR="00BF059B">
        <w:t xml:space="preserve"> </w:t>
      </w:r>
      <w:r>
        <w:t>hire</w:t>
      </w:r>
      <w:r w:rsidR="00BF059B">
        <w:t xml:space="preserve"> </w:t>
      </w:r>
      <w:r>
        <w:t>generated</w:t>
      </w:r>
      <w:r w:rsidR="00BF059B">
        <w:t xml:space="preserve"> </w:t>
      </w:r>
      <w:r>
        <w:t>a</w:t>
      </w:r>
      <w:r w:rsidR="00BF059B">
        <w:t xml:space="preserve"> </w:t>
      </w:r>
      <w:r>
        <w:t>gross</w:t>
      </w:r>
      <w:r w:rsidR="00BF059B">
        <w:t xml:space="preserve"> </w:t>
      </w:r>
      <w:r>
        <w:t>turnover</w:t>
      </w:r>
      <w:r w:rsidR="00BF059B">
        <w:t xml:space="preserve"> </w:t>
      </w:r>
      <w:r>
        <w:t>of</w:t>
      </w:r>
      <w:r w:rsidR="00BF059B">
        <w:t xml:space="preserve"> </w:t>
      </w:r>
      <w:r>
        <w:t>c.</w:t>
      </w:r>
      <w:r w:rsidR="00BF059B">
        <w:t xml:space="preserve"> </w:t>
      </w:r>
      <w:r>
        <w:t>£571,454</w:t>
      </w:r>
      <w:r w:rsidR="00BF059B">
        <w:t xml:space="preserve"> </w:t>
      </w:r>
      <w:r>
        <w:t>and</w:t>
      </w:r>
      <w:r w:rsidR="00BF059B">
        <w:t xml:space="preserve"> </w:t>
      </w:r>
      <w:r>
        <w:t>a</w:t>
      </w:r>
      <w:r w:rsidR="00BF059B">
        <w:t xml:space="preserve"> </w:t>
      </w:r>
      <w:r>
        <w:t>net</w:t>
      </w:r>
      <w:r w:rsidR="00BF059B">
        <w:t xml:space="preserve"> </w:t>
      </w:r>
      <w:r>
        <w:t>profit</w:t>
      </w:r>
      <w:r w:rsidR="00BF059B">
        <w:t xml:space="preserve"> </w:t>
      </w:r>
      <w:r>
        <w:t>of</w:t>
      </w:r>
      <w:r w:rsidR="00BF059B">
        <w:t xml:space="preserve"> </w:t>
      </w:r>
      <w:r>
        <w:t>c.</w:t>
      </w:r>
      <w:r w:rsidR="00BF059B">
        <w:t xml:space="preserve"> </w:t>
      </w:r>
      <w:r>
        <w:t>£164,021.</w:t>
      </w:r>
      <w:r w:rsidR="00BF059B">
        <w:t xml:space="preserve"> </w:t>
      </w:r>
      <w:r>
        <w:t>The</w:t>
      </w:r>
      <w:r w:rsidR="00BF059B">
        <w:t xml:space="preserve"> </w:t>
      </w:r>
      <w:r>
        <w:t>retail</w:t>
      </w:r>
      <w:r w:rsidR="00BF059B">
        <w:t xml:space="preserve"> </w:t>
      </w:r>
      <w:r>
        <w:t>offer</w:t>
      </w:r>
      <w:r w:rsidR="00BF059B">
        <w:t xml:space="preserve"> </w:t>
      </w:r>
      <w:r>
        <w:t>achieved</w:t>
      </w:r>
      <w:r w:rsidR="00BF059B">
        <w:t xml:space="preserve"> </w:t>
      </w:r>
      <w:r>
        <w:t>£295,651</w:t>
      </w:r>
      <w:r w:rsidR="00BF059B">
        <w:t xml:space="preserve"> </w:t>
      </w:r>
      <w:r>
        <w:t>in</w:t>
      </w:r>
      <w:r w:rsidR="00BF059B">
        <w:t xml:space="preserve"> </w:t>
      </w:r>
      <w:r>
        <w:t>net</w:t>
      </w:r>
      <w:r w:rsidR="00BF059B">
        <w:t xml:space="preserve"> </w:t>
      </w:r>
      <w:r>
        <w:t>sales</w:t>
      </w:r>
      <w:r w:rsidR="00BF059B">
        <w:t xml:space="preserve"> </w:t>
      </w:r>
      <w:r>
        <w:t>and</w:t>
      </w:r>
      <w:r w:rsidR="00BF059B">
        <w:t xml:space="preserve"> </w:t>
      </w:r>
      <w:r>
        <w:t>visitor</w:t>
      </w:r>
      <w:r w:rsidR="00BF059B">
        <w:t xml:space="preserve"> </w:t>
      </w:r>
      <w:r>
        <w:t>catering</w:t>
      </w:r>
      <w:r w:rsidR="00BF059B">
        <w:t xml:space="preserve"> </w:t>
      </w:r>
      <w:r>
        <w:t>delivered</w:t>
      </w:r>
      <w:r w:rsidR="00BF059B">
        <w:t xml:space="preserve"> </w:t>
      </w:r>
      <w:r>
        <w:t>£161,429.</w:t>
      </w:r>
      <w:r w:rsidR="00BF059B">
        <w:t xml:space="preserve"> </w:t>
      </w:r>
      <w:r>
        <w:t>Net</w:t>
      </w:r>
      <w:r w:rsidR="00BF059B">
        <w:t xml:space="preserve"> </w:t>
      </w:r>
      <w:r>
        <w:t>profit</w:t>
      </w:r>
      <w:r w:rsidR="00BF059B">
        <w:t xml:space="preserve"> </w:t>
      </w:r>
      <w:r>
        <w:t>was</w:t>
      </w:r>
      <w:r w:rsidR="00BF059B">
        <w:t xml:space="preserve"> </w:t>
      </w:r>
      <w:r>
        <w:t>down</w:t>
      </w:r>
      <w:r w:rsidR="00BF059B">
        <w:t xml:space="preserve"> </w:t>
      </w:r>
      <w:r>
        <w:t>on</w:t>
      </w:r>
      <w:r w:rsidR="00BF059B">
        <w:t xml:space="preserve"> </w:t>
      </w:r>
      <w:r>
        <w:t>the</w:t>
      </w:r>
      <w:r w:rsidR="00BF059B">
        <w:t xml:space="preserve"> </w:t>
      </w:r>
      <w:r>
        <w:t>previous</w:t>
      </w:r>
      <w:r w:rsidR="00BF059B">
        <w:t xml:space="preserve"> </w:t>
      </w:r>
      <w:r>
        <w:t>year</w:t>
      </w:r>
      <w:r w:rsidR="00BF059B">
        <w:t xml:space="preserve"> </w:t>
      </w:r>
      <w:r>
        <w:t>for</w:t>
      </w:r>
      <w:r w:rsidR="00BF059B">
        <w:t xml:space="preserve"> </w:t>
      </w:r>
      <w:r>
        <w:t>several</w:t>
      </w:r>
      <w:r w:rsidR="00BF059B">
        <w:t xml:space="preserve"> </w:t>
      </w:r>
      <w:r>
        <w:t>reasons,</w:t>
      </w:r>
      <w:r w:rsidR="00BF059B">
        <w:t xml:space="preserve"> </w:t>
      </w:r>
      <w:r>
        <w:t>the</w:t>
      </w:r>
      <w:r w:rsidR="00BF059B">
        <w:t xml:space="preserve"> </w:t>
      </w:r>
      <w:r>
        <w:t>most</w:t>
      </w:r>
      <w:r w:rsidR="00BF059B">
        <w:t xml:space="preserve"> </w:t>
      </w:r>
      <w:r>
        <w:t>impactful</w:t>
      </w:r>
      <w:r w:rsidR="00BF059B">
        <w:t xml:space="preserve"> </w:t>
      </w:r>
      <w:r>
        <w:t>being</w:t>
      </w:r>
      <w:r w:rsidR="00BF059B">
        <w:t xml:space="preserve"> </w:t>
      </w:r>
      <w:r>
        <w:t>lower</w:t>
      </w:r>
      <w:r w:rsidR="00BF059B">
        <w:t xml:space="preserve"> </w:t>
      </w:r>
      <w:r>
        <w:t>visitor</w:t>
      </w:r>
      <w:r w:rsidR="00BF059B">
        <w:t xml:space="preserve"> </w:t>
      </w:r>
      <w:r>
        <w:t>numbers</w:t>
      </w:r>
      <w:r w:rsidR="00BF059B">
        <w:t xml:space="preserve"> </w:t>
      </w:r>
      <w:r>
        <w:t>and</w:t>
      </w:r>
      <w:r w:rsidR="00BF059B">
        <w:t xml:space="preserve"> </w:t>
      </w:r>
      <w:r>
        <w:t>therefore</w:t>
      </w:r>
      <w:r w:rsidR="00BF059B">
        <w:t xml:space="preserve"> </w:t>
      </w:r>
      <w:r>
        <w:t>lower</w:t>
      </w:r>
      <w:r w:rsidR="00BF059B">
        <w:t xml:space="preserve"> </w:t>
      </w:r>
      <w:r>
        <w:t>secondary</w:t>
      </w:r>
      <w:r w:rsidR="00BF059B">
        <w:t xml:space="preserve"> </w:t>
      </w:r>
      <w:r>
        <w:t>spend</w:t>
      </w:r>
      <w:r w:rsidR="00BF059B">
        <w:t xml:space="preserve"> </w:t>
      </w:r>
      <w:r>
        <w:t>across</w:t>
      </w:r>
      <w:r w:rsidR="00BF059B">
        <w:t xml:space="preserve"> </w:t>
      </w:r>
      <w:r>
        <w:t>café</w:t>
      </w:r>
      <w:r w:rsidR="00BF059B">
        <w:t xml:space="preserve"> </w:t>
      </w:r>
      <w:r>
        <w:t>and</w:t>
      </w:r>
      <w:r w:rsidR="00BF059B">
        <w:t xml:space="preserve"> </w:t>
      </w:r>
      <w:r>
        <w:t>retail</w:t>
      </w:r>
      <w:r w:rsidR="00BF059B">
        <w:t xml:space="preserve"> </w:t>
      </w:r>
      <w:r>
        <w:t>spaces.</w:t>
      </w:r>
      <w:r w:rsidR="00BF059B">
        <w:t xml:space="preserve"> </w:t>
      </w:r>
      <w:r>
        <w:t>The</w:t>
      </w:r>
      <w:r w:rsidR="00BF059B">
        <w:t xml:space="preserve"> </w:t>
      </w:r>
      <w:r>
        <w:t>new</w:t>
      </w:r>
      <w:r w:rsidR="00BF059B">
        <w:t xml:space="preserve"> </w:t>
      </w:r>
      <w:r>
        <w:t>café</w:t>
      </w:r>
      <w:r w:rsidR="00BF059B">
        <w:t xml:space="preserve"> </w:t>
      </w:r>
      <w:r>
        <w:t>operator,</w:t>
      </w:r>
      <w:r w:rsidR="00BF059B">
        <w:t xml:space="preserve"> </w:t>
      </w:r>
      <w:r>
        <w:t>Colicci,</w:t>
      </w:r>
      <w:r w:rsidR="00BF059B">
        <w:t xml:space="preserve"> </w:t>
      </w:r>
      <w:r>
        <w:t>who</w:t>
      </w:r>
      <w:r w:rsidR="00BF059B">
        <w:t xml:space="preserve"> </w:t>
      </w:r>
      <w:r>
        <w:t>was</w:t>
      </w:r>
      <w:r w:rsidR="00BF059B">
        <w:t xml:space="preserve"> </w:t>
      </w:r>
      <w:r>
        <w:t>appointed</w:t>
      </w:r>
      <w:r w:rsidR="00BF059B">
        <w:t xml:space="preserve"> </w:t>
      </w:r>
      <w:r>
        <w:t>and</w:t>
      </w:r>
      <w:r w:rsidR="00BF059B">
        <w:t xml:space="preserve"> </w:t>
      </w:r>
      <w:r>
        <w:t>began</w:t>
      </w:r>
      <w:r w:rsidR="00BF059B">
        <w:t xml:space="preserve"> </w:t>
      </w:r>
      <w:r>
        <w:t>trading</w:t>
      </w:r>
      <w:r w:rsidR="00BF059B">
        <w:t xml:space="preserve"> </w:t>
      </w:r>
      <w:r>
        <w:t>in</w:t>
      </w:r>
      <w:r w:rsidR="00BF059B">
        <w:t xml:space="preserve"> </w:t>
      </w:r>
      <w:r>
        <w:t>March</w:t>
      </w:r>
      <w:r w:rsidR="00BF059B">
        <w:t xml:space="preserve"> </w:t>
      </w:r>
      <w:r>
        <w:lastRenderedPageBreak/>
        <w:t>2024,</w:t>
      </w:r>
      <w:r w:rsidR="00BF059B">
        <w:t xml:space="preserve"> </w:t>
      </w:r>
      <w:r>
        <w:t>undertook</w:t>
      </w:r>
      <w:r w:rsidR="00BF059B">
        <w:t xml:space="preserve"> </w:t>
      </w:r>
      <w:r>
        <w:t>extensive</w:t>
      </w:r>
      <w:r w:rsidR="00BF059B">
        <w:t xml:space="preserve"> </w:t>
      </w:r>
      <w:r>
        <w:t>improvements</w:t>
      </w:r>
      <w:r w:rsidR="00BF059B">
        <w:t xml:space="preserve"> </w:t>
      </w:r>
      <w:r>
        <w:t>to</w:t>
      </w:r>
      <w:r w:rsidR="00BF059B">
        <w:t xml:space="preserve"> </w:t>
      </w:r>
      <w:r>
        <w:t>the</w:t>
      </w:r>
      <w:r w:rsidR="00BF059B">
        <w:t xml:space="preserve"> </w:t>
      </w:r>
      <w:r>
        <w:t>café</w:t>
      </w:r>
      <w:r w:rsidR="00BF059B">
        <w:t xml:space="preserve"> </w:t>
      </w:r>
      <w:r>
        <w:t>space,</w:t>
      </w:r>
      <w:r w:rsidR="00BF059B">
        <w:t xml:space="preserve"> </w:t>
      </w:r>
      <w:r>
        <w:t>which</w:t>
      </w:r>
      <w:r w:rsidR="00BF059B">
        <w:t xml:space="preserve"> </w:t>
      </w:r>
      <w:r>
        <w:t>included</w:t>
      </w:r>
      <w:r w:rsidR="00BF059B">
        <w:t xml:space="preserve"> </w:t>
      </w:r>
      <w:r>
        <w:t>a</w:t>
      </w:r>
      <w:r w:rsidR="00BF059B">
        <w:t xml:space="preserve"> </w:t>
      </w:r>
      <w:proofErr w:type="gramStart"/>
      <w:r>
        <w:t>six</w:t>
      </w:r>
      <w:r w:rsidR="00BF059B">
        <w:t xml:space="preserve"> </w:t>
      </w:r>
      <w:r>
        <w:t>and</w:t>
      </w:r>
      <w:r w:rsidR="00BF059B">
        <w:t xml:space="preserve"> </w:t>
      </w:r>
      <w:r>
        <w:t>a</w:t>
      </w:r>
      <w:r w:rsidR="00BF059B">
        <w:t xml:space="preserve"> </w:t>
      </w:r>
      <w:r>
        <w:t>half</w:t>
      </w:r>
      <w:r w:rsidR="00BF059B">
        <w:t xml:space="preserve"> </w:t>
      </w:r>
      <w:r>
        <w:t>week</w:t>
      </w:r>
      <w:proofErr w:type="gramEnd"/>
      <w:r w:rsidR="00BF059B">
        <w:t xml:space="preserve"> </w:t>
      </w:r>
      <w:r>
        <w:t>closure</w:t>
      </w:r>
      <w:r w:rsidR="00BF059B">
        <w:t xml:space="preserve"> </w:t>
      </w:r>
      <w:r>
        <w:t>for</w:t>
      </w:r>
      <w:r w:rsidR="00BF059B">
        <w:t xml:space="preserve"> </w:t>
      </w:r>
      <w:r>
        <w:t>the</w:t>
      </w:r>
      <w:r w:rsidR="00BF059B">
        <w:t xml:space="preserve"> </w:t>
      </w:r>
      <w:r>
        <w:t>fit</w:t>
      </w:r>
      <w:r w:rsidR="00BF059B">
        <w:t xml:space="preserve"> </w:t>
      </w:r>
      <w:r>
        <w:t>out.</w:t>
      </w:r>
      <w:r w:rsidR="00BF059B">
        <w:t xml:space="preserve"> </w:t>
      </w:r>
      <w:r>
        <w:t>The</w:t>
      </w:r>
      <w:r w:rsidR="00BF059B">
        <w:t xml:space="preserve"> </w:t>
      </w:r>
      <w:r>
        <w:t>café</w:t>
      </w:r>
      <w:r w:rsidR="00BF059B">
        <w:t xml:space="preserve"> </w:t>
      </w:r>
      <w:r>
        <w:t>is</w:t>
      </w:r>
      <w:r w:rsidR="00BF059B">
        <w:t xml:space="preserve"> </w:t>
      </w:r>
      <w:r>
        <w:t>now</w:t>
      </w:r>
      <w:r w:rsidR="00BF059B">
        <w:t xml:space="preserve"> </w:t>
      </w:r>
      <w:r>
        <w:t>a</w:t>
      </w:r>
      <w:r w:rsidR="00BF059B">
        <w:t xml:space="preserve"> </w:t>
      </w:r>
      <w:r>
        <w:t>much-improved</w:t>
      </w:r>
      <w:r w:rsidR="00BF059B">
        <w:t xml:space="preserve"> </w:t>
      </w:r>
      <w:r>
        <w:t>space</w:t>
      </w:r>
      <w:r w:rsidR="00BF059B">
        <w:t xml:space="preserve"> </w:t>
      </w:r>
      <w:r>
        <w:t>for</w:t>
      </w:r>
      <w:r w:rsidR="00BF059B">
        <w:t xml:space="preserve"> </w:t>
      </w:r>
      <w:r>
        <w:t>visitors.</w:t>
      </w:r>
      <w:r w:rsidR="00BF059B">
        <w:t xml:space="preserve"> </w:t>
      </w:r>
      <w:r>
        <w:t>Towards</w:t>
      </w:r>
      <w:r w:rsidR="00BF059B">
        <w:t xml:space="preserve"> </w:t>
      </w:r>
      <w:r>
        <w:t>the</w:t>
      </w:r>
      <w:r w:rsidR="00BF059B">
        <w:t xml:space="preserve"> </w:t>
      </w:r>
      <w:r>
        <w:t>end</w:t>
      </w:r>
      <w:r w:rsidR="00BF059B">
        <w:t xml:space="preserve"> </w:t>
      </w:r>
      <w:r>
        <w:t>of</w:t>
      </w:r>
      <w:r w:rsidR="00BF059B">
        <w:t xml:space="preserve"> </w:t>
      </w:r>
      <w:r>
        <w:t>the</w:t>
      </w:r>
      <w:r w:rsidR="00BF059B">
        <w:t xml:space="preserve"> </w:t>
      </w:r>
      <w:r>
        <w:t>financial</w:t>
      </w:r>
      <w:r w:rsidR="00BF059B">
        <w:t xml:space="preserve"> </w:t>
      </w:r>
      <w:r>
        <w:t>year,</w:t>
      </w:r>
      <w:r w:rsidR="00BF059B">
        <w:t xml:space="preserve"> </w:t>
      </w:r>
      <w:r>
        <w:t>we</w:t>
      </w:r>
      <w:r w:rsidR="00BF059B">
        <w:t xml:space="preserve"> </w:t>
      </w:r>
      <w:r>
        <w:t>have</w:t>
      </w:r>
      <w:r w:rsidR="00BF059B">
        <w:t xml:space="preserve"> </w:t>
      </w:r>
      <w:r>
        <w:t>seen</w:t>
      </w:r>
      <w:r w:rsidR="00BF059B">
        <w:t xml:space="preserve"> </w:t>
      </w:r>
      <w:r>
        <w:t>a</w:t>
      </w:r>
      <w:r w:rsidR="00BF059B">
        <w:t xml:space="preserve"> </w:t>
      </w:r>
      <w:r>
        <w:t>strong</w:t>
      </w:r>
      <w:r w:rsidR="00BF059B">
        <w:t xml:space="preserve"> </w:t>
      </w:r>
      <w:r>
        <w:t>performance.</w:t>
      </w:r>
      <w:r w:rsidR="00BF059B">
        <w:t xml:space="preserve"> </w:t>
      </w:r>
      <w:r>
        <w:t>Additionally,</w:t>
      </w:r>
      <w:r w:rsidR="00BF059B">
        <w:t xml:space="preserve"> </w:t>
      </w:r>
      <w:r>
        <w:t>an</w:t>
      </w:r>
      <w:r w:rsidR="00BF059B">
        <w:t xml:space="preserve"> </w:t>
      </w:r>
      <w:r>
        <w:t>unsuccessful</w:t>
      </w:r>
      <w:r w:rsidR="00BF059B">
        <w:t xml:space="preserve"> </w:t>
      </w:r>
      <w:r>
        <w:t>round</w:t>
      </w:r>
      <w:r w:rsidR="00BF059B">
        <w:t xml:space="preserve"> </w:t>
      </w:r>
      <w:r>
        <w:t>of</w:t>
      </w:r>
      <w:r w:rsidR="00BF059B">
        <w:t xml:space="preserve"> </w:t>
      </w:r>
      <w:r>
        <w:t>recruitment</w:t>
      </w:r>
      <w:r w:rsidR="00BF059B">
        <w:t xml:space="preserve"> </w:t>
      </w:r>
      <w:r>
        <w:t>for</w:t>
      </w:r>
      <w:r w:rsidR="00BF059B">
        <w:t xml:space="preserve"> </w:t>
      </w:r>
      <w:r>
        <w:t>a</w:t>
      </w:r>
      <w:r w:rsidR="00BF059B">
        <w:t xml:space="preserve"> </w:t>
      </w:r>
      <w:r>
        <w:t>Head</w:t>
      </w:r>
      <w:r w:rsidR="00BF059B">
        <w:t xml:space="preserve"> </w:t>
      </w:r>
      <w:r>
        <w:t>of</w:t>
      </w:r>
      <w:r w:rsidR="00BF059B">
        <w:t xml:space="preserve"> </w:t>
      </w:r>
      <w:r>
        <w:t>Commercial</w:t>
      </w:r>
      <w:r w:rsidR="00BF059B">
        <w:t xml:space="preserve"> </w:t>
      </w:r>
      <w:r>
        <w:t>resulted</w:t>
      </w:r>
      <w:r w:rsidR="00BF059B">
        <w:t xml:space="preserve"> </w:t>
      </w:r>
      <w:r>
        <w:t>in</w:t>
      </w:r>
      <w:r w:rsidR="00BF059B">
        <w:t xml:space="preserve"> </w:t>
      </w:r>
      <w:r>
        <w:t>the</w:t>
      </w:r>
      <w:r w:rsidR="00BF059B">
        <w:t xml:space="preserve"> </w:t>
      </w:r>
      <w:r>
        <w:t>post</w:t>
      </w:r>
      <w:r w:rsidR="00BF059B">
        <w:t xml:space="preserve"> </w:t>
      </w:r>
      <w:r>
        <w:t>being</w:t>
      </w:r>
      <w:r w:rsidR="00BF059B">
        <w:t xml:space="preserve"> </w:t>
      </w:r>
      <w:r>
        <w:t>vacant</w:t>
      </w:r>
      <w:r w:rsidR="00BF059B">
        <w:t xml:space="preserve"> </w:t>
      </w:r>
      <w:r>
        <w:t>for</w:t>
      </w:r>
      <w:r w:rsidR="00BF059B">
        <w:t xml:space="preserve"> </w:t>
      </w:r>
      <w:r>
        <w:t>9</w:t>
      </w:r>
      <w:r w:rsidR="00BF059B">
        <w:t xml:space="preserve"> </w:t>
      </w:r>
      <w:r>
        <w:t>months,</w:t>
      </w:r>
      <w:r w:rsidR="00BF059B">
        <w:t xml:space="preserve"> </w:t>
      </w:r>
      <w:r>
        <w:t>which</w:t>
      </w:r>
      <w:r w:rsidR="00BF059B">
        <w:t xml:space="preserve"> </w:t>
      </w:r>
      <w:r>
        <w:t>impacted</w:t>
      </w:r>
      <w:r w:rsidR="00BF059B">
        <w:t xml:space="preserve"> </w:t>
      </w:r>
      <w:r>
        <w:t>the</w:t>
      </w:r>
      <w:r w:rsidR="00BF059B">
        <w:t xml:space="preserve"> </w:t>
      </w:r>
      <w:r>
        <w:t>team’s</w:t>
      </w:r>
      <w:r w:rsidR="00BF059B">
        <w:t xml:space="preserve"> </w:t>
      </w:r>
      <w:r>
        <w:t>resource</w:t>
      </w:r>
      <w:r w:rsidR="00BF059B">
        <w:t xml:space="preserve"> </w:t>
      </w:r>
      <w:r>
        <w:t>to</w:t>
      </w:r>
      <w:r w:rsidR="00BF059B">
        <w:t xml:space="preserve"> </w:t>
      </w:r>
      <w:r>
        <w:t>deliver</w:t>
      </w:r>
      <w:r w:rsidR="00BF059B">
        <w:t xml:space="preserve"> </w:t>
      </w:r>
      <w:r>
        <w:t>additional</w:t>
      </w:r>
      <w:r w:rsidR="00BF059B">
        <w:t xml:space="preserve"> </w:t>
      </w:r>
      <w:r>
        <w:t>commercial</w:t>
      </w:r>
      <w:r w:rsidR="00BF059B">
        <w:t xml:space="preserve"> </w:t>
      </w:r>
      <w:r>
        <w:t>opportunities.</w:t>
      </w:r>
      <w:r w:rsidR="00BF059B">
        <w:t xml:space="preserve"> </w:t>
      </w:r>
      <w:r>
        <w:t>This</w:t>
      </w:r>
      <w:r w:rsidR="00BF059B">
        <w:t xml:space="preserve"> </w:t>
      </w:r>
      <w:r>
        <w:t>post</w:t>
      </w:r>
      <w:r w:rsidR="00BF059B">
        <w:t xml:space="preserve"> </w:t>
      </w:r>
      <w:r>
        <w:t>has</w:t>
      </w:r>
      <w:r w:rsidR="00BF059B">
        <w:t xml:space="preserve"> </w:t>
      </w:r>
      <w:r>
        <w:t>now</w:t>
      </w:r>
      <w:r w:rsidR="00BF059B">
        <w:t xml:space="preserve"> </w:t>
      </w:r>
      <w:r>
        <w:t>been</w:t>
      </w:r>
      <w:r w:rsidR="00BF059B">
        <w:t xml:space="preserve"> </w:t>
      </w:r>
      <w:r>
        <w:t>filled.</w:t>
      </w:r>
      <w:r w:rsidR="00BF059B">
        <w:t xml:space="preserve"> </w:t>
      </w:r>
    </w:p>
    <w:p w14:paraId="2F20BE9D" w14:textId="2F417CDF" w:rsidR="00BE13A8" w:rsidRDefault="00BF059B" w:rsidP="008D4835">
      <w:r>
        <w:t xml:space="preserve"> </w:t>
      </w:r>
    </w:p>
    <w:p w14:paraId="163D6AB3" w14:textId="6E5BADCD" w:rsidR="00BE13A8" w:rsidRDefault="00D70530" w:rsidP="008D4835">
      <w:r>
        <w:t>Venue</w:t>
      </w:r>
      <w:r w:rsidR="00BF059B">
        <w:t xml:space="preserve"> </w:t>
      </w:r>
      <w:proofErr w:type="gramStart"/>
      <w:r>
        <w:t>hire</w:t>
      </w:r>
      <w:proofErr w:type="gramEnd"/>
      <w:r w:rsidR="00BF059B">
        <w:t xml:space="preserve"> </w:t>
      </w:r>
      <w:r>
        <w:t>significantly</w:t>
      </w:r>
      <w:r w:rsidR="00BF059B">
        <w:t xml:space="preserve"> </w:t>
      </w:r>
      <w:r>
        <w:t>exceed</w:t>
      </w:r>
      <w:r w:rsidR="00BF059B">
        <w:t xml:space="preserve"> </w:t>
      </w:r>
      <w:r>
        <w:t>targets</w:t>
      </w:r>
      <w:r w:rsidR="00BF059B">
        <w:t xml:space="preserve"> </w:t>
      </w:r>
      <w:r>
        <w:t>which</w:t>
      </w:r>
      <w:r w:rsidR="00BF059B">
        <w:t xml:space="preserve"> </w:t>
      </w:r>
      <w:r>
        <w:t>were</w:t>
      </w:r>
      <w:r w:rsidR="00BF059B">
        <w:t xml:space="preserve"> </w:t>
      </w:r>
      <w:r>
        <w:t>set</w:t>
      </w:r>
      <w:r w:rsidR="00BF059B">
        <w:t xml:space="preserve"> </w:t>
      </w:r>
      <w:r>
        <w:t>low,</w:t>
      </w:r>
      <w:r w:rsidR="00BF059B">
        <w:t xml:space="preserve"> </w:t>
      </w:r>
      <w:r>
        <w:t>anticipating</w:t>
      </w:r>
      <w:r w:rsidR="00BF059B">
        <w:t xml:space="preserve"> </w:t>
      </w:r>
      <w:r>
        <w:t>that</w:t>
      </w:r>
      <w:r w:rsidR="00BF059B">
        <w:t xml:space="preserve"> </w:t>
      </w:r>
      <w:r>
        <w:t>primary</w:t>
      </w:r>
      <w:r w:rsidR="00BF059B">
        <w:t xml:space="preserve"> </w:t>
      </w:r>
      <w:r>
        <w:t>spaces</w:t>
      </w:r>
      <w:r w:rsidR="00BF059B">
        <w:t xml:space="preserve"> </w:t>
      </w:r>
      <w:r>
        <w:t>for</w:t>
      </w:r>
      <w:r w:rsidR="00BF059B">
        <w:t xml:space="preserve"> </w:t>
      </w:r>
      <w:r>
        <w:t>weddings</w:t>
      </w:r>
      <w:r w:rsidR="00BF059B">
        <w:t xml:space="preserve"> </w:t>
      </w:r>
      <w:r>
        <w:t>would</w:t>
      </w:r>
      <w:r w:rsidR="00BF059B">
        <w:t xml:space="preserve"> </w:t>
      </w:r>
      <w:r>
        <w:t>not</w:t>
      </w:r>
      <w:r w:rsidR="00BF059B">
        <w:t xml:space="preserve"> </w:t>
      </w:r>
      <w:r>
        <w:t>be</w:t>
      </w:r>
      <w:r w:rsidR="00BF059B">
        <w:t xml:space="preserve"> </w:t>
      </w:r>
      <w:r>
        <w:t>in</w:t>
      </w:r>
      <w:r w:rsidR="00BF059B">
        <w:t xml:space="preserve"> </w:t>
      </w:r>
      <w:r>
        <w:t>use</w:t>
      </w:r>
      <w:r w:rsidR="00BF059B">
        <w:t xml:space="preserve"> </w:t>
      </w:r>
      <w:r>
        <w:t>due</w:t>
      </w:r>
      <w:r w:rsidR="00BF059B">
        <w:t xml:space="preserve"> </w:t>
      </w:r>
      <w:r>
        <w:t>to</w:t>
      </w:r>
      <w:r w:rsidR="00BF059B">
        <w:t xml:space="preserve"> </w:t>
      </w:r>
      <w:r>
        <w:t>Nature</w:t>
      </w:r>
      <w:r w:rsidR="00BF059B">
        <w:t xml:space="preserve"> </w:t>
      </w:r>
      <w:r>
        <w:t>+</w:t>
      </w:r>
      <w:r w:rsidR="00BF059B">
        <w:t xml:space="preserve"> </w:t>
      </w:r>
      <w:r>
        <w:t>Love</w:t>
      </w:r>
      <w:r w:rsidR="00BF059B">
        <w:t xml:space="preserve"> </w:t>
      </w:r>
      <w:r>
        <w:t>capital</w:t>
      </w:r>
      <w:r w:rsidR="00BF059B">
        <w:t xml:space="preserve"> </w:t>
      </w:r>
      <w:r>
        <w:t>works.</w:t>
      </w:r>
      <w:r w:rsidR="00BF059B">
        <w:t xml:space="preserve"> </w:t>
      </w:r>
      <w:r>
        <w:t>However,</w:t>
      </w:r>
      <w:r w:rsidR="00BF059B">
        <w:t xml:space="preserve"> </w:t>
      </w:r>
      <w:r>
        <w:t>project</w:t>
      </w:r>
      <w:r w:rsidR="00BF059B">
        <w:t xml:space="preserve"> </w:t>
      </w:r>
      <w:r>
        <w:t>delays</w:t>
      </w:r>
      <w:r w:rsidR="00BF059B">
        <w:t xml:space="preserve"> </w:t>
      </w:r>
      <w:r>
        <w:t>freed</w:t>
      </w:r>
      <w:r w:rsidR="00BF059B">
        <w:t xml:space="preserve"> </w:t>
      </w:r>
      <w:r>
        <w:t>these</w:t>
      </w:r>
      <w:r w:rsidR="00BF059B">
        <w:t xml:space="preserve"> </w:t>
      </w:r>
      <w:r>
        <w:t>spaces</w:t>
      </w:r>
      <w:r w:rsidR="00BF059B">
        <w:t xml:space="preserve"> </w:t>
      </w:r>
      <w:r>
        <w:t>up</w:t>
      </w:r>
      <w:r w:rsidR="00BF059B">
        <w:t xml:space="preserve"> </w:t>
      </w:r>
      <w:r>
        <w:t>and</w:t>
      </w:r>
      <w:r w:rsidR="00BF059B">
        <w:t xml:space="preserve"> </w:t>
      </w:r>
      <w:r>
        <w:t>although</w:t>
      </w:r>
      <w:r w:rsidR="00BF059B">
        <w:t xml:space="preserve"> </w:t>
      </w:r>
      <w:r>
        <w:t>longer</w:t>
      </w:r>
      <w:r w:rsidR="00BF059B">
        <w:t xml:space="preserve"> </w:t>
      </w:r>
      <w:r>
        <w:t>lead</w:t>
      </w:r>
      <w:r w:rsidR="00BF059B">
        <w:t xml:space="preserve"> </w:t>
      </w:r>
      <w:r>
        <w:t>bookings</w:t>
      </w:r>
      <w:r w:rsidR="00BF059B">
        <w:t xml:space="preserve"> </w:t>
      </w:r>
      <w:r>
        <w:t>such</w:t>
      </w:r>
      <w:r w:rsidR="00BF059B">
        <w:t xml:space="preserve"> </w:t>
      </w:r>
      <w:r>
        <w:t>as</w:t>
      </w:r>
      <w:r w:rsidR="00BF059B">
        <w:t xml:space="preserve"> </w:t>
      </w:r>
      <w:r>
        <w:t>weddings</w:t>
      </w:r>
      <w:r w:rsidR="00BF059B">
        <w:t xml:space="preserve"> </w:t>
      </w:r>
      <w:r>
        <w:t>could</w:t>
      </w:r>
      <w:r w:rsidR="00BF059B">
        <w:t xml:space="preserve"> </w:t>
      </w:r>
      <w:r>
        <w:t>not</w:t>
      </w:r>
      <w:r w:rsidR="00BF059B">
        <w:t xml:space="preserve"> </w:t>
      </w:r>
      <w:r>
        <w:t>be</w:t>
      </w:r>
      <w:r w:rsidR="00BF059B">
        <w:t xml:space="preserve"> </w:t>
      </w:r>
      <w:r>
        <w:t>secured</w:t>
      </w:r>
      <w:r w:rsidR="00BF059B">
        <w:t xml:space="preserve"> </w:t>
      </w:r>
      <w:r>
        <w:t>in</w:t>
      </w:r>
      <w:r w:rsidR="00BF059B">
        <w:t xml:space="preserve"> </w:t>
      </w:r>
      <w:r>
        <w:t>the</w:t>
      </w:r>
      <w:r w:rsidR="00BF059B">
        <w:t xml:space="preserve"> </w:t>
      </w:r>
      <w:r>
        <w:t>timeframe,</w:t>
      </w:r>
      <w:r w:rsidR="00BF059B">
        <w:t xml:space="preserve"> </w:t>
      </w:r>
      <w:r>
        <w:t>new</w:t>
      </w:r>
      <w:r w:rsidR="00BF059B">
        <w:t xml:space="preserve"> </w:t>
      </w:r>
      <w:r>
        <w:t>income</w:t>
      </w:r>
      <w:r w:rsidR="00BF059B">
        <w:t xml:space="preserve"> </w:t>
      </w:r>
      <w:r>
        <w:t>streams</w:t>
      </w:r>
      <w:r w:rsidR="00BF059B">
        <w:t xml:space="preserve"> </w:t>
      </w:r>
      <w:r>
        <w:t>were</w:t>
      </w:r>
      <w:r w:rsidR="00BF059B">
        <w:t xml:space="preserve"> </w:t>
      </w:r>
      <w:r>
        <w:t>developed</w:t>
      </w:r>
      <w:r w:rsidR="00BF059B">
        <w:t xml:space="preserve"> </w:t>
      </w:r>
      <w:r>
        <w:t>including</w:t>
      </w:r>
      <w:r w:rsidR="00BF059B">
        <w:t xml:space="preserve"> </w:t>
      </w:r>
      <w:r>
        <w:t>the</w:t>
      </w:r>
      <w:r w:rsidR="00BF059B">
        <w:t xml:space="preserve"> </w:t>
      </w:r>
      <w:r>
        <w:t>introduction</w:t>
      </w:r>
      <w:r w:rsidR="00BF059B">
        <w:t xml:space="preserve"> </w:t>
      </w:r>
      <w:r>
        <w:t>of</w:t>
      </w:r>
      <w:r w:rsidR="00BF059B">
        <w:t xml:space="preserve"> </w:t>
      </w:r>
      <w:r>
        <w:t>funerals,</w:t>
      </w:r>
      <w:r w:rsidR="00BF059B">
        <w:t xml:space="preserve"> </w:t>
      </w:r>
      <w:r>
        <w:t>alongside</w:t>
      </w:r>
      <w:r w:rsidR="00BF059B">
        <w:t xml:space="preserve"> </w:t>
      </w:r>
      <w:r>
        <w:t>wakes.</w:t>
      </w:r>
      <w:r w:rsidR="00BF059B">
        <w:t xml:space="preserve"> </w:t>
      </w:r>
      <w:r>
        <w:t>Contracts</w:t>
      </w:r>
      <w:r w:rsidR="00BF059B">
        <w:t xml:space="preserve"> </w:t>
      </w:r>
      <w:r>
        <w:t>were</w:t>
      </w:r>
      <w:r w:rsidR="00BF059B">
        <w:t xml:space="preserve"> </w:t>
      </w:r>
      <w:r>
        <w:t>signed</w:t>
      </w:r>
      <w:r w:rsidR="00BF059B">
        <w:t xml:space="preserve"> </w:t>
      </w:r>
      <w:r>
        <w:t>with</w:t>
      </w:r>
      <w:r w:rsidR="00BF059B">
        <w:t xml:space="preserve"> </w:t>
      </w:r>
      <w:r>
        <w:t>two</w:t>
      </w:r>
      <w:r w:rsidR="00BF059B">
        <w:t xml:space="preserve"> </w:t>
      </w:r>
      <w:r>
        <w:t>additional</w:t>
      </w:r>
      <w:r w:rsidR="00BF059B">
        <w:t xml:space="preserve"> </w:t>
      </w:r>
      <w:r>
        <w:t>new</w:t>
      </w:r>
      <w:r w:rsidR="00BF059B">
        <w:t xml:space="preserve"> </w:t>
      </w:r>
      <w:r>
        <w:t>caterers</w:t>
      </w:r>
      <w:r w:rsidR="00BF059B">
        <w:t xml:space="preserve"> </w:t>
      </w:r>
      <w:r>
        <w:t>to</w:t>
      </w:r>
      <w:r w:rsidR="00BF059B">
        <w:t xml:space="preserve"> </w:t>
      </w:r>
      <w:r>
        <w:t>the</w:t>
      </w:r>
      <w:r w:rsidR="00BF059B">
        <w:t xml:space="preserve"> </w:t>
      </w:r>
      <w:r>
        <w:t>Horniman,</w:t>
      </w:r>
      <w:r w:rsidR="00BF059B">
        <w:t xml:space="preserve"> </w:t>
      </w:r>
      <w:r>
        <w:t>to</w:t>
      </w:r>
      <w:r w:rsidR="00BF059B">
        <w:t xml:space="preserve"> </w:t>
      </w:r>
      <w:r>
        <w:t>offer</w:t>
      </w:r>
      <w:r w:rsidR="00BF059B">
        <w:t xml:space="preserve"> </w:t>
      </w:r>
      <w:r>
        <w:t>greater</w:t>
      </w:r>
      <w:r w:rsidR="00BF059B">
        <w:t xml:space="preserve"> </w:t>
      </w:r>
      <w:r>
        <w:t>choice</w:t>
      </w:r>
      <w:r w:rsidR="00BF059B">
        <w:t xml:space="preserve"> </w:t>
      </w:r>
      <w:r>
        <w:t>and</w:t>
      </w:r>
      <w:r w:rsidR="00BF059B">
        <w:t xml:space="preserve"> </w:t>
      </w:r>
      <w:r>
        <w:t>variety.</w:t>
      </w:r>
      <w:r w:rsidR="00BF059B">
        <w:t xml:space="preserve"> </w:t>
      </w:r>
      <w:r>
        <w:t>The</w:t>
      </w:r>
      <w:r w:rsidR="00BF059B">
        <w:t xml:space="preserve"> </w:t>
      </w:r>
      <w:r>
        <w:t>Horniman</w:t>
      </w:r>
      <w:r w:rsidR="00BF059B">
        <w:t xml:space="preserve"> </w:t>
      </w:r>
      <w:r>
        <w:t>Market</w:t>
      </w:r>
      <w:r w:rsidR="00BF059B">
        <w:t xml:space="preserve"> </w:t>
      </w:r>
      <w:r>
        <w:t>continued</w:t>
      </w:r>
      <w:r w:rsidR="00BF059B">
        <w:t xml:space="preserve"> </w:t>
      </w:r>
      <w:r>
        <w:t>throughout</w:t>
      </w:r>
      <w:r w:rsidR="00BF059B">
        <w:t xml:space="preserve"> </w:t>
      </w:r>
      <w:r>
        <w:t>the</w:t>
      </w:r>
      <w:r w:rsidR="00BF059B">
        <w:t xml:space="preserve"> </w:t>
      </w:r>
      <w:r>
        <w:t>year</w:t>
      </w:r>
      <w:r w:rsidR="00BF059B">
        <w:t xml:space="preserve"> </w:t>
      </w:r>
      <w:r>
        <w:t>and</w:t>
      </w:r>
      <w:r w:rsidR="00BF059B">
        <w:t xml:space="preserve"> </w:t>
      </w:r>
      <w:r>
        <w:t>provided</w:t>
      </w:r>
      <w:r w:rsidR="00BF059B">
        <w:t xml:space="preserve"> </w:t>
      </w:r>
      <w:r>
        <w:t>a</w:t>
      </w:r>
      <w:r w:rsidR="00BF059B">
        <w:t xml:space="preserve"> </w:t>
      </w:r>
      <w:r>
        <w:t>robust,</w:t>
      </w:r>
      <w:r w:rsidR="00BF059B">
        <w:t xml:space="preserve"> </w:t>
      </w:r>
      <w:r>
        <w:t>year-round</w:t>
      </w:r>
      <w:r w:rsidR="00BF059B">
        <w:t xml:space="preserve"> </w:t>
      </w:r>
      <w:r>
        <w:t>baseline</w:t>
      </w:r>
      <w:r w:rsidR="00BF059B">
        <w:t xml:space="preserve"> </w:t>
      </w:r>
      <w:r>
        <w:t>income,</w:t>
      </w:r>
      <w:r w:rsidR="00BF059B">
        <w:t xml:space="preserve"> </w:t>
      </w:r>
      <w:r>
        <w:t>and</w:t>
      </w:r>
      <w:r w:rsidR="00BF059B">
        <w:t xml:space="preserve"> </w:t>
      </w:r>
      <w:r>
        <w:t>our</w:t>
      </w:r>
      <w:r w:rsidR="00BF059B">
        <w:t xml:space="preserve"> </w:t>
      </w:r>
      <w:r>
        <w:t>mini</w:t>
      </w:r>
      <w:r w:rsidR="00BF059B">
        <w:t xml:space="preserve"> </w:t>
      </w:r>
      <w:r>
        <w:t>golf</w:t>
      </w:r>
      <w:r w:rsidR="00BF059B">
        <w:t xml:space="preserve"> </w:t>
      </w:r>
      <w:r>
        <w:t>partnership</w:t>
      </w:r>
      <w:r w:rsidR="00BF059B">
        <w:t xml:space="preserve"> </w:t>
      </w:r>
      <w:r>
        <w:t>with</w:t>
      </w:r>
      <w:r w:rsidR="00BF059B">
        <w:t xml:space="preserve"> </w:t>
      </w:r>
      <w:proofErr w:type="spellStart"/>
      <w:r>
        <w:t>UrbanCrazy</w:t>
      </w:r>
      <w:proofErr w:type="spellEnd"/>
      <w:r w:rsidR="00BF059B">
        <w:t xml:space="preserve"> </w:t>
      </w:r>
      <w:r>
        <w:t>resulted</w:t>
      </w:r>
      <w:r w:rsidR="00BF059B">
        <w:t xml:space="preserve"> </w:t>
      </w:r>
      <w:r>
        <w:t>in</w:t>
      </w:r>
      <w:r w:rsidR="00BF059B">
        <w:t xml:space="preserve"> </w:t>
      </w:r>
      <w:r>
        <w:t>a</w:t>
      </w:r>
      <w:r w:rsidR="00BF059B">
        <w:t xml:space="preserve"> </w:t>
      </w:r>
      <w:r>
        <w:t>modest</w:t>
      </w:r>
      <w:r w:rsidR="00BF059B">
        <w:t xml:space="preserve"> </w:t>
      </w:r>
      <w:r>
        <w:t>profit.</w:t>
      </w:r>
      <w:r w:rsidR="00BF059B">
        <w:t xml:space="preserve">  </w:t>
      </w:r>
    </w:p>
    <w:p w14:paraId="4D330A73" w14:textId="77777777" w:rsidR="00BE13A8" w:rsidRDefault="00BE13A8">
      <w:pPr>
        <w:jc w:val="both"/>
        <w:rPr>
          <w:color w:val="FF0000"/>
        </w:rPr>
      </w:pPr>
    </w:p>
    <w:p w14:paraId="3A24CB2C" w14:textId="2D632FB9" w:rsidR="00BE13A8" w:rsidRDefault="00D70530" w:rsidP="008D4835">
      <w:pPr>
        <w:pStyle w:val="Heading5"/>
      </w:pPr>
      <w:r>
        <w:t>3.1.2</w:t>
      </w:r>
      <w:r w:rsidR="00BF059B">
        <w:t xml:space="preserve"> </w:t>
      </w:r>
      <w:r>
        <w:t>Charitable</w:t>
      </w:r>
      <w:r w:rsidR="00BF059B">
        <w:t xml:space="preserve"> </w:t>
      </w:r>
      <w:r>
        <w:t>activity</w:t>
      </w:r>
      <w:r w:rsidR="00BF059B">
        <w:t xml:space="preserve"> </w:t>
      </w:r>
    </w:p>
    <w:p w14:paraId="30933851" w14:textId="10600574" w:rsidR="00BE13A8" w:rsidRDefault="00D70530">
      <w:pPr>
        <w:jc w:val="both"/>
      </w:pPr>
      <w:r>
        <w:t>Charitable</w:t>
      </w:r>
      <w:r w:rsidR="00BF059B">
        <w:t xml:space="preserve"> </w:t>
      </w:r>
      <w:r>
        <w:t>activities</w:t>
      </w:r>
      <w:r w:rsidR="00BF059B">
        <w:t xml:space="preserve"> </w:t>
      </w:r>
      <w:r>
        <w:t>generated</w:t>
      </w:r>
      <w:r w:rsidR="00BF059B">
        <w:t xml:space="preserve"> </w:t>
      </w:r>
      <w:r>
        <w:t>income</w:t>
      </w:r>
      <w:r w:rsidR="00BF059B">
        <w:t xml:space="preserve"> </w:t>
      </w:r>
      <w:r>
        <w:t>of</w:t>
      </w:r>
      <w:r w:rsidR="00BF059B">
        <w:t xml:space="preserve"> </w:t>
      </w:r>
      <w:r>
        <w:t>£1.4M,</w:t>
      </w:r>
      <w:r w:rsidR="00BF059B">
        <w:t xml:space="preserve"> </w:t>
      </w:r>
      <w:r>
        <w:t>which</w:t>
      </w:r>
      <w:r w:rsidR="00BF059B">
        <w:t xml:space="preserve"> </w:t>
      </w:r>
      <w:r>
        <w:t>was</w:t>
      </w:r>
      <w:r w:rsidR="00BF059B">
        <w:t xml:space="preserve"> </w:t>
      </w:r>
      <w:r>
        <w:t>slight</w:t>
      </w:r>
      <w:r w:rsidR="00BF059B">
        <w:t xml:space="preserve"> </w:t>
      </w:r>
      <w:r>
        <w:t>below</w:t>
      </w:r>
      <w:r w:rsidR="00BF059B">
        <w:t xml:space="preserve"> </w:t>
      </w:r>
      <w:r>
        <w:t>target</w:t>
      </w:r>
      <w:r w:rsidR="00BF059B">
        <w:t xml:space="preserve"> </w:t>
      </w:r>
      <w:r>
        <w:t>and</w:t>
      </w:r>
      <w:r w:rsidR="00BF059B">
        <w:t xml:space="preserve"> </w:t>
      </w:r>
      <w:r>
        <w:t>last</w:t>
      </w:r>
      <w:r w:rsidR="00BF059B">
        <w:t xml:space="preserve"> </w:t>
      </w:r>
      <w:r>
        <w:t>year.</w:t>
      </w:r>
      <w:r w:rsidR="00BF059B">
        <w:t xml:space="preserve"> </w:t>
      </w:r>
      <w:r>
        <w:t>This</w:t>
      </w:r>
      <w:r w:rsidR="00BF059B">
        <w:t xml:space="preserve"> </w:t>
      </w:r>
      <w:r>
        <w:t>was</w:t>
      </w:r>
      <w:r w:rsidR="00BF059B">
        <w:t xml:space="preserve"> </w:t>
      </w:r>
      <w:r>
        <w:t>as</w:t>
      </w:r>
      <w:r w:rsidR="00BF059B">
        <w:t xml:space="preserve"> </w:t>
      </w:r>
      <w:r>
        <w:t>a</w:t>
      </w:r>
      <w:r w:rsidR="00BF059B">
        <w:t xml:space="preserve"> </w:t>
      </w:r>
      <w:r>
        <w:t>direct</w:t>
      </w:r>
      <w:r w:rsidR="00BF059B">
        <w:t xml:space="preserve"> </w:t>
      </w:r>
      <w:r>
        <w:t>result</w:t>
      </w:r>
      <w:r w:rsidR="00BF059B">
        <w:t xml:space="preserve"> </w:t>
      </w:r>
      <w:r>
        <w:t>of</w:t>
      </w:r>
      <w:r w:rsidR="00BF059B">
        <w:t xml:space="preserve"> </w:t>
      </w:r>
      <w:r>
        <w:t>lower</w:t>
      </w:r>
      <w:r w:rsidR="00BF059B">
        <w:t xml:space="preserve"> </w:t>
      </w:r>
      <w:r>
        <w:t>visitor</w:t>
      </w:r>
      <w:r w:rsidR="00BF059B">
        <w:t xml:space="preserve"> </w:t>
      </w:r>
      <w:r>
        <w:t>numbers</w:t>
      </w:r>
      <w:r w:rsidR="00BF059B">
        <w:t xml:space="preserve"> </w:t>
      </w:r>
      <w:r>
        <w:t>due</w:t>
      </w:r>
      <w:r w:rsidR="00BF059B">
        <w:t xml:space="preserve"> </w:t>
      </w:r>
      <w:r>
        <w:t>to</w:t>
      </w:r>
      <w:r w:rsidR="00BF059B">
        <w:t xml:space="preserve"> </w:t>
      </w:r>
      <w:r>
        <w:t>the</w:t>
      </w:r>
      <w:r w:rsidR="00BF059B">
        <w:t xml:space="preserve"> </w:t>
      </w:r>
      <w:r>
        <w:t>Nature</w:t>
      </w:r>
      <w:r w:rsidR="00BF059B">
        <w:t xml:space="preserve"> </w:t>
      </w:r>
      <w:r>
        <w:t>+</w:t>
      </w:r>
      <w:r w:rsidR="00BF059B">
        <w:t xml:space="preserve"> </w:t>
      </w:r>
      <w:r>
        <w:t>Love</w:t>
      </w:r>
      <w:r w:rsidR="00BF059B">
        <w:t xml:space="preserve"> </w:t>
      </w:r>
      <w:r>
        <w:t>construction</w:t>
      </w:r>
      <w:r w:rsidR="00BF059B">
        <w:t xml:space="preserve"> </w:t>
      </w:r>
      <w:r>
        <w:t>project.</w:t>
      </w:r>
      <w:r w:rsidR="00BF059B">
        <w:t xml:space="preserve"> </w:t>
      </w:r>
      <w:r>
        <w:t>Of</w:t>
      </w:r>
      <w:r w:rsidR="00BF059B">
        <w:t xml:space="preserve"> </w:t>
      </w:r>
      <w:r>
        <w:t>this</w:t>
      </w:r>
      <w:r w:rsidR="00BF059B">
        <w:t xml:space="preserve"> </w:t>
      </w:r>
      <w:r>
        <w:t>total</w:t>
      </w:r>
      <w:r w:rsidR="00BF059B">
        <w:t xml:space="preserve"> </w:t>
      </w:r>
      <w:r>
        <w:t>Admissions</w:t>
      </w:r>
      <w:r w:rsidR="00BF059B">
        <w:t xml:space="preserve"> </w:t>
      </w:r>
      <w:r>
        <w:t>and</w:t>
      </w:r>
      <w:r w:rsidR="00BF059B">
        <w:t xml:space="preserve"> </w:t>
      </w:r>
      <w:r>
        <w:t>Gift</w:t>
      </w:r>
      <w:r w:rsidR="00BF059B">
        <w:t xml:space="preserve"> </w:t>
      </w:r>
      <w:r>
        <w:t>Aid</w:t>
      </w:r>
      <w:r w:rsidR="00BF059B">
        <w:t xml:space="preserve"> </w:t>
      </w:r>
      <w:r>
        <w:t>income</w:t>
      </w:r>
      <w:r w:rsidR="00BF059B">
        <w:t xml:space="preserve"> </w:t>
      </w:r>
      <w:r>
        <w:t>was</w:t>
      </w:r>
      <w:r w:rsidR="00BF059B">
        <w:t xml:space="preserve"> </w:t>
      </w:r>
      <w:r>
        <w:t>£800K.</w:t>
      </w:r>
      <w:r w:rsidR="00BF059B">
        <w:t xml:space="preserve">  </w:t>
      </w:r>
    </w:p>
    <w:p w14:paraId="1AE45365" w14:textId="2C49EA94" w:rsidR="00BE13A8" w:rsidRDefault="00D70530">
      <w:pPr>
        <w:jc w:val="both"/>
      </w:pPr>
      <w:r>
        <w:t>By</w:t>
      </w:r>
      <w:r w:rsidR="00BF059B">
        <w:t xml:space="preserve"> </w:t>
      </w:r>
      <w:r>
        <w:t>the</w:t>
      </w:r>
      <w:r w:rsidR="00BF059B">
        <w:t xml:space="preserve"> </w:t>
      </w:r>
      <w:r>
        <w:t>end</w:t>
      </w:r>
      <w:r w:rsidR="00BF059B">
        <w:t xml:space="preserve"> </w:t>
      </w:r>
      <w:r>
        <w:t>of</w:t>
      </w:r>
      <w:r w:rsidR="00BF059B">
        <w:t xml:space="preserve"> </w:t>
      </w:r>
      <w:r>
        <w:t>March</w:t>
      </w:r>
      <w:r w:rsidR="00BF059B">
        <w:t xml:space="preserve"> </w:t>
      </w:r>
      <w:r>
        <w:t>2025,</w:t>
      </w:r>
      <w:r w:rsidR="00BF059B">
        <w:t xml:space="preserve"> </w:t>
      </w:r>
      <w:r>
        <w:t>we</w:t>
      </w:r>
      <w:r w:rsidR="00BF059B">
        <w:t xml:space="preserve"> </w:t>
      </w:r>
      <w:r>
        <w:t>had</w:t>
      </w:r>
      <w:r w:rsidR="00BF059B">
        <w:t xml:space="preserve"> </w:t>
      </w:r>
      <w:r>
        <w:t>a</w:t>
      </w:r>
      <w:r w:rsidR="00BF059B">
        <w:t xml:space="preserve"> </w:t>
      </w:r>
      <w:r>
        <w:t>total</w:t>
      </w:r>
      <w:r w:rsidR="00BF059B">
        <w:t xml:space="preserve"> </w:t>
      </w:r>
      <w:r>
        <w:t>of</w:t>
      </w:r>
      <w:r w:rsidR="00BF059B">
        <w:t xml:space="preserve"> </w:t>
      </w:r>
      <w:r>
        <w:t>6,041</w:t>
      </w:r>
      <w:r w:rsidR="00BF059B">
        <w:t xml:space="preserve"> </w:t>
      </w:r>
      <w:r>
        <w:t>members.</w:t>
      </w:r>
      <w:r w:rsidR="00BF059B">
        <w:t xml:space="preserve"> </w:t>
      </w:r>
      <w:r>
        <w:t>This</w:t>
      </w:r>
      <w:r w:rsidR="00BF059B">
        <w:t xml:space="preserve"> </w:t>
      </w:r>
      <w:r>
        <w:t>was</w:t>
      </w:r>
      <w:r w:rsidR="00BF059B">
        <w:t xml:space="preserve"> </w:t>
      </w:r>
      <w:r>
        <w:t>a</w:t>
      </w:r>
      <w:r w:rsidR="00BF059B">
        <w:t xml:space="preserve"> </w:t>
      </w:r>
      <w:r>
        <w:t>2%</w:t>
      </w:r>
      <w:r w:rsidR="00BF059B">
        <w:t xml:space="preserve"> </w:t>
      </w:r>
      <w:r>
        <w:t>increase</w:t>
      </w:r>
      <w:r w:rsidR="00BF059B">
        <w:t xml:space="preserve"> </w:t>
      </w:r>
      <w:r>
        <w:t>against</w:t>
      </w:r>
      <w:r w:rsidR="00BF059B">
        <w:t xml:space="preserve"> </w:t>
      </w:r>
      <w:r>
        <w:t>last</w:t>
      </w:r>
      <w:r w:rsidR="00BF059B">
        <w:t xml:space="preserve"> </w:t>
      </w:r>
      <w:r>
        <w:t>year</w:t>
      </w:r>
      <w:r w:rsidR="00BF059B">
        <w:t xml:space="preserve"> </w:t>
      </w:r>
      <w:r>
        <w:t>and,</w:t>
      </w:r>
      <w:r w:rsidR="00BF059B">
        <w:t xml:space="preserve"> </w:t>
      </w:r>
      <w:r>
        <w:t>a</w:t>
      </w:r>
      <w:r w:rsidR="00BF059B">
        <w:t xml:space="preserve"> </w:t>
      </w:r>
      <w:r>
        <w:t>considerable</w:t>
      </w:r>
      <w:r w:rsidR="00BF059B">
        <w:t xml:space="preserve"> </w:t>
      </w:r>
      <w:r>
        <w:t>achievement,</w:t>
      </w:r>
      <w:r w:rsidR="00BF059B">
        <w:t xml:space="preserve"> </w:t>
      </w:r>
      <w:r>
        <w:t>given</w:t>
      </w:r>
      <w:r w:rsidR="00BF059B">
        <w:t xml:space="preserve"> </w:t>
      </w:r>
      <w:r>
        <w:t>the</w:t>
      </w:r>
      <w:r w:rsidR="00BF059B">
        <w:t xml:space="preserve"> </w:t>
      </w:r>
      <w:r>
        <w:t>decrease</w:t>
      </w:r>
      <w:r w:rsidR="00BF059B">
        <w:t xml:space="preserve"> </w:t>
      </w:r>
      <w:r>
        <w:t>in</w:t>
      </w:r>
      <w:r w:rsidR="00BF059B">
        <w:t xml:space="preserve"> </w:t>
      </w:r>
      <w:r>
        <w:t>visitors</w:t>
      </w:r>
      <w:r w:rsidR="00BF059B">
        <w:t xml:space="preserve"> </w:t>
      </w:r>
      <w:r>
        <w:t>to</w:t>
      </w:r>
      <w:r w:rsidR="00BF059B">
        <w:t xml:space="preserve"> </w:t>
      </w:r>
      <w:r>
        <w:t>the</w:t>
      </w:r>
      <w:r w:rsidR="00BF059B">
        <w:t xml:space="preserve"> </w:t>
      </w:r>
      <w:r>
        <w:t>Horniman</w:t>
      </w:r>
      <w:r w:rsidR="00BF059B">
        <w:t xml:space="preserve"> </w:t>
      </w:r>
      <w:r>
        <w:t>overall.</w:t>
      </w:r>
      <w:r w:rsidR="00BF059B">
        <w:t xml:space="preserve"> </w:t>
      </w:r>
      <w:r>
        <w:t>2,363</w:t>
      </w:r>
      <w:r w:rsidR="00BF059B">
        <w:t xml:space="preserve"> </w:t>
      </w:r>
      <w:r>
        <w:t>new</w:t>
      </w:r>
      <w:r w:rsidR="00BF059B">
        <w:t xml:space="preserve"> </w:t>
      </w:r>
      <w:r>
        <w:t>members</w:t>
      </w:r>
      <w:r w:rsidR="00BF059B">
        <w:t xml:space="preserve"> </w:t>
      </w:r>
      <w:r>
        <w:t>were</w:t>
      </w:r>
      <w:r w:rsidR="00BF059B">
        <w:t xml:space="preserve"> </w:t>
      </w:r>
      <w:r>
        <w:t>registered</w:t>
      </w:r>
      <w:r w:rsidR="00BF059B">
        <w:t xml:space="preserve"> </w:t>
      </w:r>
      <w:r>
        <w:t>over</w:t>
      </w:r>
      <w:r w:rsidR="00BF059B">
        <w:t xml:space="preserve"> </w:t>
      </w:r>
      <w:r>
        <w:t>the</w:t>
      </w:r>
      <w:r w:rsidR="00BF059B">
        <w:t xml:space="preserve"> </w:t>
      </w:r>
      <w:r>
        <w:t>year,</w:t>
      </w:r>
      <w:r w:rsidR="00BF059B">
        <w:t xml:space="preserve"> </w:t>
      </w:r>
      <w:r>
        <w:t>and</w:t>
      </w:r>
      <w:r w:rsidR="00BF059B">
        <w:t xml:space="preserve"> </w:t>
      </w:r>
      <w:r>
        <w:t>the</w:t>
      </w:r>
      <w:r w:rsidR="00BF059B">
        <w:t xml:space="preserve"> </w:t>
      </w:r>
      <w:r>
        <w:t>retention</w:t>
      </w:r>
      <w:r w:rsidR="00BF059B">
        <w:t xml:space="preserve"> </w:t>
      </w:r>
      <w:r>
        <w:t>rate</w:t>
      </w:r>
      <w:r w:rsidR="00BF059B">
        <w:t xml:space="preserve"> </w:t>
      </w:r>
      <w:r>
        <w:t>was</w:t>
      </w:r>
      <w:r w:rsidR="00BF059B">
        <w:t xml:space="preserve"> </w:t>
      </w:r>
      <w:r>
        <w:t>62%</w:t>
      </w:r>
      <w:r w:rsidR="00BF059B">
        <w:t xml:space="preserve"> </w:t>
      </w:r>
      <w:r>
        <w:t>(up</w:t>
      </w:r>
      <w:r w:rsidR="00BF059B">
        <w:t xml:space="preserve"> </w:t>
      </w:r>
      <w:r>
        <w:t>from</w:t>
      </w:r>
      <w:r w:rsidR="00BF059B">
        <w:t xml:space="preserve"> </w:t>
      </w:r>
      <w:r>
        <w:t>56%).</w:t>
      </w:r>
      <w:r w:rsidR="00BF059B">
        <w:t xml:space="preserve">  </w:t>
      </w:r>
      <w:r>
        <w:t>In</w:t>
      </w:r>
      <w:r w:rsidR="00BF059B">
        <w:t xml:space="preserve"> </w:t>
      </w:r>
      <w:r>
        <w:t>January</w:t>
      </w:r>
      <w:r w:rsidR="00BF059B">
        <w:t xml:space="preserve"> </w:t>
      </w:r>
      <w:r>
        <w:t>2025</w:t>
      </w:r>
      <w:r w:rsidR="00BF059B">
        <w:t xml:space="preserve"> </w:t>
      </w:r>
      <w:r>
        <w:t>we</w:t>
      </w:r>
      <w:r w:rsidR="00BF059B">
        <w:t xml:space="preserve"> </w:t>
      </w:r>
      <w:r>
        <w:t>introduced</w:t>
      </w:r>
      <w:r w:rsidR="00BF059B">
        <w:t xml:space="preserve"> </w:t>
      </w:r>
      <w:r>
        <w:t>paperless</w:t>
      </w:r>
      <w:r w:rsidR="00BF059B">
        <w:t xml:space="preserve"> </w:t>
      </w:r>
      <w:r>
        <w:t>Direct</w:t>
      </w:r>
      <w:r w:rsidR="00BF059B">
        <w:t xml:space="preserve"> </w:t>
      </w:r>
      <w:r>
        <w:t>Debits.</w:t>
      </w:r>
      <w:r w:rsidR="00BF059B">
        <w:t xml:space="preserve"> </w:t>
      </w:r>
      <w:r>
        <w:t>The</w:t>
      </w:r>
      <w:r w:rsidR="00BF059B">
        <w:t xml:space="preserve"> </w:t>
      </w:r>
      <w:r>
        <w:t>total</w:t>
      </w:r>
      <w:r w:rsidR="00BF059B">
        <w:t xml:space="preserve"> </w:t>
      </w:r>
      <w:r>
        <w:t>income</w:t>
      </w:r>
      <w:r w:rsidR="00BF059B">
        <w:t xml:space="preserve"> </w:t>
      </w:r>
      <w:r>
        <w:t>generated</w:t>
      </w:r>
      <w:r w:rsidR="00BF059B">
        <w:t xml:space="preserve"> </w:t>
      </w:r>
      <w:r>
        <w:t>through</w:t>
      </w:r>
      <w:r w:rsidR="00BF059B">
        <w:t xml:space="preserve"> </w:t>
      </w:r>
      <w:r>
        <w:t>memberships</w:t>
      </w:r>
      <w:r w:rsidR="00BF059B">
        <w:t xml:space="preserve"> </w:t>
      </w:r>
      <w:r>
        <w:t>was</w:t>
      </w:r>
      <w:r w:rsidR="00BF059B">
        <w:t xml:space="preserve"> </w:t>
      </w:r>
      <w:r>
        <w:t>£436K.</w:t>
      </w:r>
      <w:r w:rsidR="00BF059B">
        <w:t xml:space="preserve"> </w:t>
      </w:r>
    </w:p>
    <w:p w14:paraId="4460069C" w14:textId="13B2FF06" w:rsidR="00BE13A8" w:rsidRDefault="00BF059B">
      <w:pPr>
        <w:jc w:val="both"/>
      </w:pPr>
      <w:r>
        <w:t xml:space="preserve"> </w:t>
      </w:r>
    </w:p>
    <w:p w14:paraId="32EA5C00" w14:textId="2CF3E5EF" w:rsidR="00BE13A8" w:rsidRDefault="00D70530">
      <w:pPr>
        <w:jc w:val="both"/>
      </w:pPr>
      <w:r>
        <w:t>Income</w:t>
      </w:r>
      <w:r w:rsidR="00BF059B">
        <w:t xml:space="preserve"> </w:t>
      </w:r>
      <w:r>
        <w:t>generated</w:t>
      </w:r>
      <w:r w:rsidR="00BF059B">
        <w:t xml:space="preserve"> </w:t>
      </w:r>
      <w:r>
        <w:t>from</w:t>
      </w:r>
      <w:r w:rsidR="00BF059B">
        <w:t xml:space="preserve"> </w:t>
      </w:r>
      <w:r>
        <w:t>Schools</w:t>
      </w:r>
      <w:r w:rsidR="00BF059B">
        <w:t xml:space="preserve"> </w:t>
      </w:r>
      <w:r>
        <w:t>programmes</w:t>
      </w:r>
      <w:r w:rsidR="00BF059B">
        <w:t xml:space="preserve"> </w:t>
      </w:r>
      <w:r>
        <w:t>was</w:t>
      </w:r>
      <w:r w:rsidR="00BF059B">
        <w:t xml:space="preserve"> </w:t>
      </w:r>
      <w:r>
        <w:t>£66K</w:t>
      </w:r>
      <w:r w:rsidR="00BF059B">
        <w:t xml:space="preserve"> </w:t>
      </w:r>
      <w:r>
        <w:t>and</w:t>
      </w:r>
      <w:r w:rsidR="00BF059B">
        <w:t xml:space="preserve"> </w:t>
      </w:r>
      <w:r>
        <w:t>Events</w:t>
      </w:r>
      <w:r w:rsidR="00BF059B">
        <w:t xml:space="preserve"> </w:t>
      </w:r>
      <w:r>
        <w:t>programmes</w:t>
      </w:r>
      <w:r w:rsidR="00BF059B">
        <w:t xml:space="preserve"> </w:t>
      </w:r>
      <w:r>
        <w:t>generated</w:t>
      </w:r>
      <w:r w:rsidR="00BF059B">
        <w:t xml:space="preserve"> </w:t>
      </w:r>
      <w:r>
        <w:t>c.</w:t>
      </w:r>
      <w:r w:rsidR="00BF059B">
        <w:t xml:space="preserve"> </w:t>
      </w:r>
      <w:r>
        <w:t>£92K</w:t>
      </w:r>
      <w:r w:rsidR="00BF059B">
        <w:t xml:space="preserve"> </w:t>
      </w:r>
      <w:r>
        <w:t>in</w:t>
      </w:r>
      <w:r w:rsidR="00BF059B">
        <w:t xml:space="preserve"> </w:t>
      </w:r>
      <w:r>
        <w:t>addition</w:t>
      </w:r>
      <w:r w:rsidR="00BF059B">
        <w:t xml:space="preserve"> </w:t>
      </w:r>
      <w:r>
        <w:t>to</w:t>
      </w:r>
      <w:r w:rsidR="00BF059B">
        <w:t xml:space="preserve"> </w:t>
      </w:r>
      <w:r>
        <w:t>encouraging</w:t>
      </w:r>
      <w:r w:rsidR="00BF059B">
        <w:t xml:space="preserve"> </w:t>
      </w:r>
      <w:r>
        <w:t>significant</w:t>
      </w:r>
      <w:r w:rsidR="00BF059B">
        <w:t xml:space="preserve"> </w:t>
      </w:r>
      <w:r>
        <w:t>secondary</w:t>
      </w:r>
      <w:r w:rsidR="00BF059B">
        <w:t xml:space="preserve"> </w:t>
      </w:r>
      <w:r>
        <w:t>spend</w:t>
      </w:r>
      <w:r w:rsidR="00BF059B">
        <w:t xml:space="preserve"> </w:t>
      </w:r>
      <w:r>
        <w:t>on</w:t>
      </w:r>
      <w:r w:rsidR="00BF059B">
        <w:t xml:space="preserve"> </w:t>
      </w:r>
      <w:r>
        <w:t>event</w:t>
      </w:r>
      <w:r w:rsidR="00BF059B">
        <w:t xml:space="preserve"> </w:t>
      </w:r>
      <w:r>
        <w:t>days.</w:t>
      </w:r>
      <w:r w:rsidR="00BF059B">
        <w:t xml:space="preserve"> </w:t>
      </w:r>
    </w:p>
    <w:p w14:paraId="63D830DB" w14:textId="77777777" w:rsidR="00BE13A8" w:rsidRDefault="00BE13A8">
      <w:pPr>
        <w:jc w:val="both"/>
        <w:rPr>
          <w:b/>
          <w:i/>
          <w:color w:val="FF0000"/>
        </w:rPr>
      </w:pPr>
    </w:p>
    <w:p w14:paraId="77D73EFC" w14:textId="68DF9A1D" w:rsidR="00BE13A8" w:rsidRDefault="00D70530" w:rsidP="008D4835">
      <w:pPr>
        <w:pStyle w:val="Heading5"/>
      </w:pPr>
      <w:r>
        <w:t>3.1.3</w:t>
      </w:r>
      <w:r w:rsidR="00BF059B">
        <w:t xml:space="preserve"> </w:t>
      </w:r>
      <w:r>
        <w:t>Fundraising</w:t>
      </w:r>
    </w:p>
    <w:p w14:paraId="17984C4D" w14:textId="6723AE77" w:rsidR="00BE13A8" w:rsidRDefault="00D70530" w:rsidP="00F563F6">
      <w:pPr>
        <w:pBdr>
          <w:top w:val="nil"/>
          <w:left w:val="nil"/>
          <w:bottom w:val="nil"/>
          <w:right w:val="nil"/>
          <w:between w:val="nil"/>
        </w:pBdr>
        <w:rPr>
          <w:color w:val="000000"/>
        </w:rPr>
      </w:pPr>
      <w:r>
        <w:rPr>
          <w:color w:val="000000"/>
        </w:rPr>
        <w:t>The</w:t>
      </w:r>
      <w:r w:rsidR="00BF059B">
        <w:rPr>
          <w:color w:val="000000"/>
        </w:rPr>
        <w:t xml:space="preserve"> </w:t>
      </w:r>
      <w:r>
        <w:rPr>
          <w:color w:val="000000"/>
        </w:rPr>
        <w:t>primary</w:t>
      </w:r>
      <w:r w:rsidR="00BF059B">
        <w:rPr>
          <w:color w:val="000000"/>
        </w:rPr>
        <w:t xml:space="preserve"> </w:t>
      </w:r>
      <w:r>
        <w:rPr>
          <w:color w:val="000000"/>
        </w:rPr>
        <w:t>focus</w:t>
      </w:r>
      <w:r w:rsidR="00BF059B">
        <w:rPr>
          <w:color w:val="000000"/>
        </w:rPr>
        <w:t xml:space="preserve"> </w:t>
      </w:r>
      <w:r>
        <w:rPr>
          <w:color w:val="000000"/>
        </w:rPr>
        <w:t>of</w:t>
      </w:r>
      <w:r w:rsidR="00BF059B">
        <w:rPr>
          <w:color w:val="000000"/>
        </w:rPr>
        <w:t xml:space="preserve"> </w:t>
      </w:r>
      <w:r>
        <w:rPr>
          <w:color w:val="000000"/>
        </w:rPr>
        <w:t>fundraising</w:t>
      </w:r>
      <w:r w:rsidR="00BF059B">
        <w:rPr>
          <w:color w:val="000000"/>
        </w:rPr>
        <w:t xml:space="preserve"> </w:t>
      </w:r>
      <w:r>
        <w:rPr>
          <w:color w:val="000000"/>
        </w:rPr>
        <w:t>activity</w:t>
      </w:r>
      <w:r w:rsidR="00BF059B">
        <w:rPr>
          <w:color w:val="000000"/>
        </w:rPr>
        <w:t xml:space="preserve"> </w:t>
      </w:r>
      <w:r>
        <w:rPr>
          <w:color w:val="000000"/>
        </w:rPr>
        <w:t>during</w:t>
      </w:r>
      <w:r w:rsidR="00BF059B">
        <w:rPr>
          <w:color w:val="000000"/>
        </w:rPr>
        <w:t xml:space="preserve"> </w:t>
      </w:r>
      <w:r>
        <w:rPr>
          <w:color w:val="000000"/>
        </w:rPr>
        <w:t>2024/25</w:t>
      </w:r>
      <w:r w:rsidR="00BF059B">
        <w:rPr>
          <w:color w:val="000000"/>
        </w:rPr>
        <w:t xml:space="preserve"> </w:t>
      </w:r>
      <w:r>
        <w:rPr>
          <w:color w:val="000000"/>
        </w:rPr>
        <w:t>was</w:t>
      </w:r>
      <w:r w:rsidR="00BF059B">
        <w:rPr>
          <w:color w:val="000000"/>
        </w:rPr>
        <w:t xml:space="preserve"> </w:t>
      </w:r>
      <w:r>
        <w:rPr>
          <w:color w:val="000000"/>
        </w:rPr>
        <w:t>on</w:t>
      </w:r>
      <w:r w:rsidR="00BF059B">
        <w:rPr>
          <w:color w:val="000000"/>
        </w:rPr>
        <w:t xml:space="preserve"> </w:t>
      </w:r>
      <w:r>
        <w:rPr>
          <w:color w:val="000000"/>
        </w:rPr>
        <w:t>raising</w:t>
      </w:r>
      <w:r w:rsidR="00BF059B">
        <w:rPr>
          <w:color w:val="000000"/>
        </w:rPr>
        <w:t xml:space="preserve"> </w:t>
      </w:r>
      <w:r>
        <w:rPr>
          <w:color w:val="000000"/>
        </w:rPr>
        <w:t>funds</w:t>
      </w:r>
      <w:r w:rsidR="00BF059B">
        <w:rPr>
          <w:color w:val="000000"/>
        </w:rPr>
        <w:t xml:space="preserve"> </w:t>
      </w:r>
      <w:r>
        <w:rPr>
          <w:color w:val="000000"/>
        </w:rPr>
        <w:t>for</w:t>
      </w:r>
      <w:r w:rsidR="00BF059B">
        <w:rPr>
          <w:color w:val="000000"/>
        </w:rPr>
        <w:t xml:space="preserve"> </w:t>
      </w:r>
      <w:r>
        <w:rPr>
          <w:color w:val="000000"/>
        </w:rPr>
        <w:t>the</w:t>
      </w:r>
      <w:r w:rsidR="00BF059B">
        <w:rPr>
          <w:color w:val="000000"/>
        </w:rPr>
        <w:t xml:space="preserve"> </w:t>
      </w:r>
      <w:r>
        <w:rPr>
          <w:color w:val="000000"/>
        </w:rPr>
        <w:t>Nature</w:t>
      </w:r>
      <w:r w:rsidR="00BF059B">
        <w:rPr>
          <w:color w:val="000000"/>
        </w:rPr>
        <w:t xml:space="preserve"> </w:t>
      </w:r>
      <w:r>
        <w:rPr>
          <w:color w:val="000000"/>
        </w:rPr>
        <w:t>+</w:t>
      </w:r>
      <w:r w:rsidR="00BF059B">
        <w:rPr>
          <w:color w:val="000000"/>
        </w:rPr>
        <w:t xml:space="preserve"> </w:t>
      </w:r>
      <w:r>
        <w:rPr>
          <w:color w:val="000000"/>
        </w:rPr>
        <w:t>Love</w:t>
      </w:r>
      <w:r w:rsidR="00BF059B">
        <w:rPr>
          <w:color w:val="000000"/>
        </w:rPr>
        <w:t xml:space="preserve"> </w:t>
      </w:r>
      <w:r>
        <w:rPr>
          <w:color w:val="000000"/>
        </w:rPr>
        <w:t>capital</w:t>
      </w:r>
      <w:r w:rsidR="00BF059B">
        <w:rPr>
          <w:color w:val="000000"/>
        </w:rPr>
        <w:t xml:space="preserve"> </w:t>
      </w:r>
      <w:r>
        <w:rPr>
          <w:color w:val="000000"/>
        </w:rPr>
        <w:t>project,</w:t>
      </w:r>
      <w:r w:rsidR="00BF059B">
        <w:rPr>
          <w:color w:val="000000"/>
        </w:rPr>
        <w:t xml:space="preserve"> </w:t>
      </w:r>
      <w:r>
        <w:rPr>
          <w:color w:val="000000"/>
        </w:rPr>
        <w:t>which</w:t>
      </w:r>
      <w:r w:rsidR="00BF059B">
        <w:rPr>
          <w:color w:val="000000"/>
        </w:rPr>
        <w:t xml:space="preserve"> </w:t>
      </w:r>
      <w:r>
        <w:rPr>
          <w:color w:val="000000"/>
        </w:rPr>
        <w:t>is</w:t>
      </w:r>
      <w:r w:rsidR="00BF059B">
        <w:rPr>
          <w:color w:val="000000"/>
        </w:rPr>
        <w:t xml:space="preserve"> </w:t>
      </w:r>
      <w:r>
        <w:rPr>
          <w:color w:val="000000"/>
        </w:rPr>
        <w:t>due</w:t>
      </w:r>
      <w:r w:rsidR="00BF059B">
        <w:rPr>
          <w:color w:val="000000"/>
        </w:rPr>
        <w:t xml:space="preserve"> </w:t>
      </w:r>
      <w:r>
        <w:rPr>
          <w:color w:val="000000"/>
        </w:rPr>
        <w:t>for</w:t>
      </w:r>
      <w:r w:rsidR="00BF059B">
        <w:rPr>
          <w:color w:val="000000"/>
        </w:rPr>
        <w:t xml:space="preserve"> </w:t>
      </w:r>
      <w:r>
        <w:rPr>
          <w:color w:val="000000"/>
        </w:rPr>
        <w:t>completion</w:t>
      </w:r>
      <w:r w:rsidR="00BF059B">
        <w:rPr>
          <w:color w:val="000000"/>
        </w:rPr>
        <w:t xml:space="preserve"> </w:t>
      </w:r>
      <w:r>
        <w:rPr>
          <w:color w:val="000000"/>
        </w:rPr>
        <w:t>in</w:t>
      </w:r>
      <w:r w:rsidR="00BF059B">
        <w:rPr>
          <w:color w:val="000000"/>
        </w:rPr>
        <w:t xml:space="preserve"> </w:t>
      </w:r>
      <w:r>
        <w:rPr>
          <w:color w:val="000000"/>
        </w:rPr>
        <w:t>2027.</w:t>
      </w:r>
      <w:r w:rsidR="00BF059B">
        <w:rPr>
          <w:color w:val="000000"/>
        </w:rPr>
        <w:t xml:space="preserve"> </w:t>
      </w:r>
      <w:r>
        <w:rPr>
          <w:color w:val="000000"/>
        </w:rPr>
        <w:t>With</w:t>
      </w:r>
      <w:r w:rsidR="00BF059B">
        <w:rPr>
          <w:color w:val="000000"/>
        </w:rPr>
        <w:t xml:space="preserve"> </w:t>
      </w:r>
      <w:r>
        <w:rPr>
          <w:color w:val="000000"/>
        </w:rPr>
        <w:t>the</w:t>
      </w:r>
      <w:r w:rsidR="00BF059B">
        <w:rPr>
          <w:color w:val="000000"/>
        </w:rPr>
        <w:t xml:space="preserve"> </w:t>
      </w:r>
      <w:r>
        <w:rPr>
          <w:color w:val="000000"/>
        </w:rPr>
        <w:t>lead</w:t>
      </w:r>
      <w:r w:rsidR="00BF059B">
        <w:rPr>
          <w:color w:val="000000"/>
        </w:rPr>
        <w:t xml:space="preserve"> </w:t>
      </w:r>
      <w:r>
        <w:rPr>
          <w:color w:val="000000"/>
        </w:rPr>
        <w:t>grant</w:t>
      </w:r>
      <w:r w:rsidR="00BF059B">
        <w:rPr>
          <w:color w:val="000000"/>
        </w:rPr>
        <w:t xml:space="preserve"> </w:t>
      </w:r>
      <w:r>
        <w:rPr>
          <w:color w:val="000000"/>
        </w:rPr>
        <w:t>award</w:t>
      </w:r>
      <w:r w:rsidR="00BF059B">
        <w:rPr>
          <w:color w:val="000000"/>
        </w:rPr>
        <w:t xml:space="preserve"> </w:t>
      </w:r>
      <w:r>
        <w:rPr>
          <w:color w:val="000000"/>
        </w:rPr>
        <w:t>from</w:t>
      </w:r>
      <w:r w:rsidR="00BF059B">
        <w:rPr>
          <w:color w:val="000000"/>
        </w:rPr>
        <w:t xml:space="preserve"> </w:t>
      </w:r>
      <w:r>
        <w:rPr>
          <w:color w:val="000000"/>
        </w:rPr>
        <w:t>the</w:t>
      </w:r>
      <w:r w:rsidR="00BF059B">
        <w:rPr>
          <w:color w:val="000000"/>
        </w:rPr>
        <w:t xml:space="preserve"> </w:t>
      </w:r>
      <w:r>
        <w:rPr>
          <w:color w:val="000000"/>
        </w:rPr>
        <w:t>National</w:t>
      </w:r>
      <w:r w:rsidR="00BF059B">
        <w:rPr>
          <w:color w:val="000000"/>
        </w:rPr>
        <w:t xml:space="preserve"> </w:t>
      </w:r>
      <w:r>
        <w:rPr>
          <w:color w:val="000000"/>
        </w:rPr>
        <w:t>Lottery</w:t>
      </w:r>
      <w:r w:rsidR="00BF059B">
        <w:rPr>
          <w:color w:val="000000"/>
        </w:rPr>
        <w:t xml:space="preserve"> </w:t>
      </w:r>
      <w:r>
        <w:rPr>
          <w:color w:val="000000"/>
        </w:rPr>
        <w:t>Heritage</w:t>
      </w:r>
      <w:r w:rsidR="00BF059B">
        <w:rPr>
          <w:color w:val="000000"/>
        </w:rPr>
        <w:t xml:space="preserve"> </w:t>
      </w:r>
      <w:r>
        <w:rPr>
          <w:color w:val="000000"/>
        </w:rPr>
        <w:t>Fund;</w:t>
      </w:r>
      <w:r w:rsidR="00BF059B">
        <w:rPr>
          <w:color w:val="000000"/>
        </w:rPr>
        <w:t xml:space="preserve"> </w:t>
      </w:r>
      <w:r>
        <w:rPr>
          <w:color w:val="000000"/>
        </w:rPr>
        <w:t>capital</w:t>
      </w:r>
      <w:r w:rsidR="00BF059B">
        <w:rPr>
          <w:color w:val="000000"/>
        </w:rPr>
        <w:t xml:space="preserve"> </w:t>
      </w:r>
      <w:r>
        <w:rPr>
          <w:color w:val="000000"/>
        </w:rPr>
        <w:t>support</w:t>
      </w:r>
      <w:r w:rsidR="00BF059B">
        <w:rPr>
          <w:color w:val="000000"/>
        </w:rPr>
        <w:t xml:space="preserve"> </w:t>
      </w:r>
      <w:r>
        <w:rPr>
          <w:color w:val="000000"/>
        </w:rPr>
        <w:t>from</w:t>
      </w:r>
      <w:r w:rsidR="00BF059B">
        <w:rPr>
          <w:color w:val="000000"/>
        </w:rPr>
        <w:t xml:space="preserve"> </w:t>
      </w:r>
      <w:r>
        <w:rPr>
          <w:color w:val="000000"/>
        </w:rPr>
        <w:t>DCMS,</w:t>
      </w:r>
      <w:r w:rsidR="00BF059B">
        <w:rPr>
          <w:color w:val="000000"/>
        </w:rPr>
        <w:t xml:space="preserve"> </w:t>
      </w:r>
      <w:r>
        <w:rPr>
          <w:color w:val="000000"/>
        </w:rPr>
        <w:t>support</w:t>
      </w:r>
      <w:r w:rsidR="00BF059B">
        <w:rPr>
          <w:color w:val="000000"/>
        </w:rPr>
        <w:t xml:space="preserve"> </w:t>
      </w:r>
      <w:r>
        <w:rPr>
          <w:color w:val="000000"/>
        </w:rPr>
        <w:t>from</w:t>
      </w:r>
      <w:r w:rsidR="00BF059B">
        <w:rPr>
          <w:color w:val="000000"/>
        </w:rPr>
        <w:t xml:space="preserve"> </w:t>
      </w:r>
      <w:r>
        <w:rPr>
          <w:color w:val="000000"/>
        </w:rPr>
        <w:t>generous</w:t>
      </w:r>
      <w:r w:rsidR="00BF059B">
        <w:rPr>
          <w:color w:val="000000"/>
        </w:rPr>
        <w:t xml:space="preserve"> </w:t>
      </w:r>
      <w:r>
        <w:rPr>
          <w:color w:val="000000"/>
        </w:rPr>
        <w:t>individuals</w:t>
      </w:r>
      <w:r w:rsidR="00BF059B">
        <w:rPr>
          <w:color w:val="000000"/>
        </w:rPr>
        <w:t xml:space="preserve"> </w:t>
      </w:r>
      <w:r>
        <w:rPr>
          <w:color w:val="000000"/>
        </w:rPr>
        <w:t>and</w:t>
      </w:r>
      <w:r w:rsidR="00BF059B">
        <w:rPr>
          <w:color w:val="000000"/>
        </w:rPr>
        <w:t xml:space="preserve"> </w:t>
      </w:r>
      <w:r>
        <w:rPr>
          <w:color w:val="000000"/>
        </w:rPr>
        <w:t>several</w:t>
      </w:r>
      <w:r w:rsidR="00BF059B">
        <w:rPr>
          <w:color w:val="000000"/>
        </w:rPr>
        <w:t xml:space="preserve"> </w:t>
      </w:r>
      <w:r>
        <w:rPr>
          <w:color w:val="000000"/>
        </w:rPr>
        <w:t>major</w:t>
      </w:r>
      <w:r w:rsidR="00BF059B">
        <w:rPr>
          <w:color w:val="000000"/>
        </w:rPr>
        <w:t xml:space="preserve"> </w:t>
      </w:r>
      <w:r>
        <w:rPr>
          <w:color w:val="000000"/>
        </w:rPr>
        <w:t>funders</w:t>
      </w:r>
      <w:r w:rsidR="00BF059B">
        <w:rPr>
          <w:color w:val="000000"/>
        </w:rPr>
        <w:t xml:space="preserve"> </w:t>
      </w:r>
      <w:r>
        <w:rPr>
          <w:color w:val="000000"/>
        </w:rPr>
        <w:t>and</w:t>
      </w:r>
      <w:r w:rsidR="00BF059B">
        <w:rPr>
          <w:color w:val="000000"/>
        </w:rPr>
        <w:t xml:space="preserve"> </w:t>
      </w:r>
      <w:r>
        <w:rPr>
          <w:color w:val="000000"/>
        </w:rPr>
        <w:t>donors,</w:t>
      </w:r>
      <w:r w:rsidR="00BF059B">
        <w:rPr>
          <w:color w:val="000000"/>
        </w:rPr>
        <w:t xml:space="preserve"> </w:t>
      </w:r>
      <w:r>
        <w:rPr>
          <w:color w:val="000000"/>
        </w:rPr>
        <w:t>the</w:t>
      </w:r>
      <w:r w:rsidR="00BF059B">
        <w:rPr>
          <w:color w:val="000000"/>
        </w:rPr>
        <w:t xml:space="preserve"> </w:t>
      </w:r>
      <w:r>
        <w:rPr>
          <w:color w:val="000000"/>
        </w:rPr>
        <w:t>total</w:t>
      </w:r>
      <w:r w:rsidR="00BF059B">
        <w:rPr>
          <w:color w:val="000000"/>
        </w:rPr>
        <w:t xml:space="preserve"> </w:t>
      </w:r>
      <w:r>
        <w:rPr>
          <w:color w:val="000000"/>
        </w:rPr>
        <w:t>received</w:t>
      </w:r>
      <w:r w:rsidR="00BF059B">
        <w:rPr>
          <w:color w:val="000000"/>
        </w:rPr>
        <w:t xml:space="preserve"> </w:t>
      </w:r>
      <w:r>
        <w:rPr>
          <w:color w:val="000000"/>
        </w:rPr>
        <w:t>by</w:t>
      </w:r>
      <w:r w:rsidR="00BF059B">
        <w:rPr>
          <w:color w:val="000000"/>
        </w:rPr>
        <w:t xml:space="preserve"> </w:t>
      </w:r>
      <w:r>
        <w:rPr>
          <w:color w:val="000000"/>
        </w:rPr>
        <w:t>the</w:t>
      </w:r>
      <w:r w:rsidR="00BF059B">
        <w:rPr>
          <w:color w:val="000000"/>
        </w:rPr>
        <w:t xml:space="preserve"> </w:t>
      </w:r>
      <w:r>
        <w:rPr>
          <w:color w:val="000000"/>
        </w:rPr>
        <w:t>end</w:t>
      </w:r>
      <w:r w:rsidR="00BF059B">
        <w:rPr>
          <w:color w:val="000000"/>
        </w:rPr>
        <w:t xml:space="preserve"> </w:t>
      </w:r>
      <w:r>
        <w:rPr>
          <w:color w:val="000000"/>
        </w:rPr>
        <w:t>of</w:t>
      </w:r>
      <w:r w:rsidR="00BF059B">
        <w:rPr>
          <w:color w:val="000000"/>
        </w:rPr>
        <w:t xml:space="preserve"> </w:t>
      </w:r>
      <w:r>
        <w:rPr>
          <w:color w:val="000000"/>
        </w:rPr>
        <w:t>2024/25</w:t>
      </w:r>
      <w:r w:rsidR="00BF059B">
        <w:rPr>
          <w:color w:val="000000"/>
        </w:rPr>
        <w:t xml:space="preserve"> </w:t>
      </w:r>
      <w:r>
        <w:rPr>
          <w:color w:val="000000"/>
        </w:rPr>
        <w:t>was</w:t>
      </w:r>
      <w:r w:rsidR="00BF059B">
        <w:rPr>
          <w:color w:val="000000"/>
        </w:rPr>
        <w:t xml:space="preserve"> </w:t>
      </w:r>
      <w:r>
        <w:rPr>
          <w:color w:val="000000"/>
        </w:rPr>
        <w:t>£2.6M.</w:t>
      </w:r>
      <w:r w:rsidR="00BF059B">
        <w:rPr>
          <w:color w:val="000000"/>
        </w:rPr>
        <w:t xml:space="preserve"> </w:t>
      </w:r>
      <w:r>
        <w:rPr>
          <w:color w:val="000000"/>
        </w:rPr>
        <w:t>Nature</w:t>
      </w:r>
      <w:r w:rsidR="00BF059B">
        <w:rPr>
          <w:color w:val="000000"/>
        </w:rPr>
        <w:t xml:space="preserve"> </w:t>
      </w:r>
      <w:r>
        <w:rPr>
          <w:color w:val="000000"/>
        </w:rPr>
        <w:t>+</w:t>
      </w:r>
      <w:r w:rsidR="00BF059B">
        <w:rPr>
          <w:color w:val="000000"/>
        </w:rPr>
        <w:t xml:space="preserve"> </w:t>
      </w:r>
      <w:r>
        <w:rPr>
          <w:color w:val="000000"/>
        </w:rPr>
        <w:t>Love</w:t>
      </w:r>
      <w:r w:rsidR="00BF059B">
        <w:rPr>
          <w:color w:val="000000"/>
        </w:rPr>
        <w:t xml:space="preserve"> </w:t>
      </w:r>
      <w:r>
        <w:rPr>
          <w:color w:val="000000"/>
        </w:rPr>
        <w:t>grants</w:t>
      </w:r>
      <w:r w:rsidR="00BF059B">
        <w:rPr>
          <w:color w:val="000000"/>
        </w:rPr>
        <w:t xml:space="preserve"> </w:t>
      </w:r>
      <w:r>
        <w:rPr>
          <w:color w:val="000000"/>
        </w:rPr>
        <w:t>and</w:t>
      </w:r>
      <w:r w:rsidR="00BF059B">
        <w:rPr>
          <w:color w:val="000000"/>
        </w:rPr>
        <w:t xml:space="preserve"> </w:t>
      </w:r>
      <w:r>
        <w:rPr>
          <w:color w:val="000000"/>
        </w:rPr>
        <w:t>awards</w:t>
      </w:r>
      <w:r w:rsidR="00BF059B">
        <w:rPr>
          <w:color w:val="000000"/>
        </w:rPr>
        <w:t xml:space="preserve"> </w:t>
      </w:r>
      <w:r>
        <w:rPr>
          <w:color w:val="000000"/>
        </w:rPr>
        <w:t>received</w:t>
      </w:r>
      <w:r w:rsidR="00BF059B">
        <w:rPr>
          <w:color w:val="000000"/>
        </w:rPr>
        <w:t xml:space="preserve"> </w:t>
      </w:r>
      <w:r>
        <w:rPr>
          <w:color w:val="000000"/>
        </w:rPr>
        <w:t>during</w:t>
      </w:r>
      <w:r w:rsidR="00BF059B">
        <w:rPr>
          <w:color w:val="000000"/>
        </w:rPr>
        <w:t xml:space="preserve"> </w:t>
      </w:r>
      <w:r>
        <w:rPr>
          <w:color w:val="000000"/>
        </w:rPr>
        <w:t>the</w:t>
      </w:r>
      <w:r w:rsidR="00BF059B">
        <w:rPr>
          <w:color w:val="000000"/>
        </w:rPr>
        <w:t xml:space="preserve"> </w:t>
      </w:r>
      <w:r>
        <w:rPr>
          <w:color w:val="000000"/>
        </w:rPr>
        <w:t>year</w:t>
      </w:r>
      <w:r w:rsidR="00BF059B">
        <w:rPr>
          <w:color w:val="000000"/>
        </w:rPr>
        <w:t xml:space="preserve"> </w:t>
      </w:r>
      <w:r>
        <w:rPr>
          <w:color w:val="000000"/>
        </w:rPr>
        <w:t>with</w:t>
      </w:r>
      <w:r w:rsidR="00BF059B">
        <w:rPr>
          <w:color w:val="000000"/>
        </w:rPr>
        <w:t xml:space="preserve"> </w:t>
      </w:r>
      <w:r>
        <w:rPr>
          <w:color w:val="000000"/>
        </w:rPr>
        <w:t>thanks</w:t>
      </w:r>
      <w:r w:rsidR="00BF059B">
        <w:rPr>
          <w:color w:val="000000"/>
        </w:rPr>
        <w:t xml:space="preserve"> </w:t>
      </w:r>
      <w:r>
        <w:rPr>
          <w:color w:val="000000"/>
        </w:rPr>
        <w:t>from</w:t>
      </w:r>
      <w:r w:rsidR="00BF059B">
        <w:rPr>
          <w:color w:val="000000"/>
        </w:rPr>
        <w:t xml:space="preserve"> </w:t>
      </w:r>
      <w:r>
        <w:rPr>
          <w:color w:val="000000"/>
        </w:rPr>
        <w:t>Bloomberg</w:t>
      </w:r>
      <w:r w:rsidR="00BF059B">
        <w:rPr>
          <w:color w:val="000000"/>
        </w:rPr>
        <w:t xml:space="preserve"> </w:t>
      </w:r>
      <w:r>
        <w:rPr>
          <w:color w:val="000000"/>
        </w:rPr>
        <w:t>Philanthropies,</w:t>
      </w:r>
      <w:r w:rsidR="00BF059B">
        <w:rPr>
          <w:color w:val="000000"/>
        </w:rPr>
        <w:t xml:space="preserve"> </w:t>
      </w:r>
      <w:r>
        <w:rPr>
          <w:color w:val="000000"/>
        </w:rPr>
        <w:t>Finnis</w:t>
      </w:r>
      <w:r w:rsidR="00BF059B">
        <w:rPr>
          <w:color w:val="000000"/>
        </w:rPr>
        <w:t xml:space="preserve"> </w:t>
      </w:r>
      <w:r>
        <w:rPr>
          <w:color w:val="000000"/>
        </w:rPr>
        <w:t>Scott</w:t>
      </w:r>
      <w:r w:rsidR="00BF059B">
        <w:rPr>
          <w:color w:val="000000"/>
        </w:rPr>
        <w:t xml:space="preserve"> </w:t>
      </w:r>
      <w:r>
        <w:rPr>
          <w:color w:val="000000"/>
        </w:rPr>
        <w:t>Foundation,</w:t>
      </w:r>
      <w:r w:rsidR="00BF059B">
        <w:rPr>
          <w:color w:val="000000"/>
        </w:rPr>
        <w:t xml:space="preserve"> </w:t>
      </w:r>
      <w:r>
        <w:rPr>
          <w:color w:val="000000"/>
        </w:rPr>
        <w:t>Foyle</w:t>
      </w:r>
      <w:r w:rsidR="00BF059B">
        <w:rPr>
          <w:color w:val="000000"/>
        </w:rPr>
        <w:t xml:space="preserve"> </w:t>
      </w:r>
      <w:r>
        <w:rPr>
          <w:color w:val="000000"/>
        </w:rPr>
        <w:t>Foundation;</w:t>
      </w:r>
      <w:r w:rsidR="00BF059B">
        <w:rPr>
          <w:color w:val="000000"/>
        </w:rPr>
        <w:t xml:space="preserve"> </w:t>
      </w:r>
      <w:r>
        <w:rPr>
          <w:color w:val="000000"/>
        </w:rPr>
        <w:t>Garfield</w:t>
      </w:r>
      <w:r w:rsidR="00BF059B">
        <w:rPr>
          <w:color w:val="000000"/>
        </w:rPr>
        <w:t xml:space="preserve"> </w:t>
      </w:r>
      <w:r>
        <w:rPr>
          <w:color w:val="000000"/>
        </w:rPr>
        <w:t>Weston</w:t>
      </w:r>
      <w:r w:rsidR="00BF059B">
        <w:rPr>
          <w:color w:val="000000"/>
        </w:rPr>
        <w:t xml:space="preserve"> </w:t>
      </w:r>
      <w:r>
        <w:rPr>
          <w:color w:val="000000"/>
        </w:rPr>
        <w:t>foundation,</w:t>
      </w:r>
      <w:r w:rsidR="00BF059B">
        <w:rPr>
          <w:color w:val="000000"/>
        </w:rPr>
        <w:t xml:space="preserve"> </w:t>
      </w:r>
      <w:r>
        <w:rPr>
          <w:color w:val="000000"/>
        </w:rPr>
        <w:t>National</w:t>
      </w:r>
      <w:r w:rsidR="00BF059B">
        <w:rPr>
          <w:color w:val="000000"/>
        </w:rPr>
        <w:t xml:space="preserve"> </w:t>
      </w:r>
      <w:r>
        <w:rPr>
          <w:color w:val="000000"/>
        </w:rPr>
        <w:t>Heritage</w:t>
      </w:r>
      <w:r w:rsidR="00BF059B">
        <w:rPr>
          <w:color w:val="000000"/>
        </w:rPr>
        <w:t xml:space="preserve"> </w:t>
      </w:r>
      <w:r>
        <w:rPr>
          <w:color w:val="000000"/>
        </w:rPr>
        <w:t>Memorial</w:t>
      </w:r>
      <w:r w:rsidR="00BF059B">
        <w:rPr>
          <w:color w:val="000000"/>
        </w:rPr>
        <w:t xml:space="preserve"> </w:t>
      </w:r>
      <w:r>
        <w:rPr>
          <w:color w:val="000000"/>
        </w:rPr>
        <w:t>Fund,</w:t>
      </w:r>
      <w:r w:rsidR="00BF059B">
        <w:rPr>
          <w:color w:val="000000"/>
        </w:rPr>
        <w:t xml:space="preserve"> </w:t>
      </w:r>
      <w:r>
        <w:rPr>
          <w:color w:val="000000"/>
        </w:rPr>
        <w:t>The</w:t>
      </w:r>
      <w:r w:rsidR="00BF059B">
        <w:rPr>
          <w:color w:val="000000"/>
        </w:rPr>
        <w:t xml:space="preserve"> </w:t>
      </w:r>
      <w:r>
        <w:rPr>
          <w:color w:val="000000"/>
        </w:rPr>
        <w:t>29th</w:t>
      </w:r>
      <w:r w:rsidR="00BF059B">
        <w:rPr>
          <w:color w:val="000000"/>
        </w:rPr>
        <w:t xml:space="preserve"> </w:t>
      </w:r>
      <w:r>
        <w:rPr>
          <w:color w:val="000000"/>
        </w:rPr>
        <w:t>May</w:t>
      </w:r>
      <w:r w:rsidR="00BF059B">
        <w:rPr>
          <w:color w:val="000000"/>
        </w:rPr>
        <w:t xml:space="preserve"> </w:t>
      </w:r>
      <w:r>
        <w:rPr>
          <w:color w:val="000000"/>
        </w:rPr>
        <w:t>1961</w:t>
      </w:r>
      <w:r w:rsidR="00BF059B">
        <w:rPr>
          <w:color w:val="000000"/>
        </w:rPr>
        <w:t xml:space="preserve"> </w:t>
      </w:r>
      <w:r>
        <w:rPr>
          <w:color w:val="000000"/>
        </w:rPr>
        <w:t>Charitable</w:t>
      </w:r>
      <w:r w:rsidR="00BF059B">
        <w:rPr>
          <w:color w:val="000000"/>
        </w:rPr>
        <w:t xml:space="preserve"> </w:t>
      </w:r>
      <w:r>
        <w:rPr>
          <w:color w:val="000000"/>
        </w:rPr>
        <w:t>Trust,</w:t>
      </w:r>
      <w:r w:rsidR="00BF059B">
        <w:rPr>
          <w:color w:val="000000"/>
        </w:rPr>
        <w:t xml:space="preserve"> </w:t>
      </w:r>
      <w:r>
        <w:rPr>
          <w:color w:val="000000"/>
        </w:rPr>
        <w:t>and</w:t>
      </w:r>
      <w:r w:rsidR="00BF059B">
        <w:rPr>
          <w:color w:val="000000"/>
        </w:rPr>
        <w:t xml:space="preserve"> </w:t>
      </w:r>
      <w:r>
        <w:rPr>
          <w:color w:val="000000"/>
        </w:rPr>
        <w:t>Veolia</w:t>
      </w:r>
      <w:r w:rsidR="00BF059B">
        <w:rPr>
          <w:color w:val="000000"/>
        </w:rPr>
        <w:t xml:space="preserve"> </w:t>
      </w:r>
      <w:r>
        <w:rPr>
          <w:color w:val="000000"/>
        </w:rPr>
        <w:t>Environmental</w:t>
      </w:r>
      <w:r w:rsidR="00BF059B">
        <w:rPr>
          <w:color w:val="000000"/>
        </w:rPr>
        <w:t xml:space="preserve"> </w:t>
      </w:r>
      <w:r>
        <w:rPr>
          <w:color w:val="000000"/>
        </w:rPr>
        <w:t>Trust.</w:t>
      </w:r>
    </w:p>
    <w:p w14:paraId="48B3D819" w14:textId="77777777" w:rsidR="00BE13A8" w:rsidRDefault="00BE13A8" w:rsidP="00F563F6">
      <w:pPr>
        <w:pBdr>
          <w:top w:val="nil"/>
          <w:left w:val="nil"/>
          <w:bottom w:val="nil"/>
          <w:right w:val="nil"/>
          <w:between w:val="nil"/>
        </w:pBdr>
        <w:rPr>
          <w:color w:val="000000"/>
        </w:rPr>
      </w:pPr>
    </w:p>
    <w:p w14:paraId="367624C7" w14:textId="1CE679C3" w:rsidR="00BE13A8" w:rsidRDefault="00D70530" w:rsidP="00F563F6">
      <w:pPr>
        <w:pBdr>
          <w:top w:val="nil"/>
          <w:left w:val="nil"/>
          <w:bottom w:val="nil"/>
          <w:right w:val="nil"/>
          <w:between w:val="nil"/>
        </w:pBdr>
        <w:rPr>
          <w:color w:val="000000"/>
        </w:rPr>
      </w:pPr>
      <w:r>
        <w:rPr>
          <w:color w:val="000000"/>
        </w:rPr>
        <w:t>The</w:t>
      </w:r>
      <w:r w:rsidR="00BF059B">
        <w:rPr>
          <w:color w:val="000000"/>
        </w:rPr>
        <w:t xml:space="preserve"> </w:t>
      </w:r>
      <w:r>
        <w:rPr>
          <w:color w:val="000000"/>
        </w:rPr>
        <w:t>initial</w:t>
      </w:r>
      <w:r w:rsidR="00BF059B">
        <w:rPr>
          <w:color w:val="000000"/>
        </w:rPr>
        <w:t xml:space="preserve"> </w:t>
      </w:r>
      <w:r>
        <w:rPr>
          <w:color w:val="000000"/>
        </w:rPr>
        <w:t>target</w:t>
      </w:r>
      <w:r w:rsidR="00BF059B">
        <w:rPr>
          <w:color w:val="000000"/>
        </w:rPr>
        <w:t xml:space="preserve"> </w:t>
      </w:r>
      <w:r>
        <w:rPr>
          <w:color w:val="000000"/>
        </w:rPr>
        <w:t>for</w:t>
      </w:r>
      <w:r w:rsidR="00BF059B">
        <w:rPr>
          <w:color w:val="000000"/>
        </w:rPr>
        <w:t xml:space="preserve"> </w:t>
      </w:r>
      <w:r>
        <w:rPr>
          <w:color w:val="000000"/>
        </w:rPr>
        <w:t>the</w:t>
      </w:r>
      <w:r w:rsidR="00BF059B">
        <w:rPr>
          <w:color w:val="000000"/>
        </w:rPr>
        <w:t xml:space="preserve"> </w:t>
      </w:r>
      <w:r>
        <w:rPr>
          <w:color w:val="000000"/>
        </w:rPr>
        <w:t>fundraising</w:t>
      </w:r>
      <w:r w:rsidR="00BF059B">
        <w:rPr>
          <w:color w:val="000000"/>
        </w:rPr>
        <w:t xml:space="preserve"> </w:t>
      </w:r>
      <w:r>
        <w:rPr>
          <w:color w:val="000000"/>
        </w:rPr>
        <w:t>campaign</w:t>
      </w:r>
      <w:r w:rsidR="00BF059B">
        <w:rPr>
          <w:color w:val="000000"/>
        </w:rPr>
        <w:t xml:space="preserve"> </w:t>
      </w:r>
      <w:r>
        <w:rPr>
          <w:color w:val="000000"/>
        </w:rPr>
        <w:t>was</w:t>
      </w:r>
      <w:r w:rsidR="00BF059B">
        <w:rPr>
          <w:color w:val="000000"/>
        </w:rPr>
        <w:t xml:space="preserve"> </w:t>
      </w:r>
      <w:r>
        <w:rPr>
          <w:color w:val="000000"/>
        </w:rPr>
        <w:t>to</w:t>
      </w:r>
      <w:r w:rsidR="00BF059B">
        <w:rPr>
          <w:color w:val="000000"/>
        </w:rPr>
        <w:t xml:space="preserve"> </w:t>
      </w:r>
      <w:r>
        <w:rPr>
          <w:color w:val="000000"/>
        </w:rPr>
        <w:t>raise</w:t>
      </w:r>
      <w:r w:rsidR="00BF059B">
        <w:rPr>
          <w:color w:val="000000"/>
        </w:rPr>
        <w:t xml:space="preserve"> </w:t>
      </w:r>
      <w:r>
        <w:rPr>
          <w:color w:val="000000"/>
        </w:rPr>
        <w:t>£1.6M</w:t>
      </w:r>
      <w:r w:rsidR="00BF059B">
        <w:rPr>
          <w:color w:val="000000"/>
        </w:rPr>
        <w:t xml:space="preserve"> </w:t>
      </w:r>
      <w:r>
        <w:rPr>
          <w:color w:val="000000"/>
        </w:rPr>
        <w:t>in</w:t>
      </w:r>
      <w:r w:rsidR="00BF059B">
        <w:rPr>
          <w:color w:val="000000"/>
        </w:rPr>
        <w:t xml:space="preserve"> </w:t>
      </w:r>
      <w:r>
        <w:rPr>
          <w:color w:val="000000"/>
        </w:rPr>
        <w:t>addition</w:t>
      </w:r>
      <w:r w:rsidR="00BF059B">
        <w:rPr>
          <w:color w:val="000000"/>
        </w:rPr>
        <w:t xml:space="preserve"> </w:t>
      </w:r>
      <w:r>
        <w:rPr>
          <w:color w:val="000000"/>
        </w:rPr>
        <w:t>to</w:t>
      </w:r>
      <w:r w:rsidR="00BF059B">
        <w:rPr>
          <w:color w:val="000000"/>
        </w:rPr>
        <w:t xml:space="preserve"> </w:t>
      </w:r>
      <w:r>
        <w:rPr>
          <w:color w:val="000000"/>
        </w:rPr>
        <w:t>the</w:t>
      </w:r>
      <w:r w:rsidR="00BF059B">
        <w:rPr>
          <w:color w:val="000000"/>
        </w:rPr>
        <w:t xml:space="preserve"> </w:t>
      </w:r>
      <w:r>
        <w:rPr>
          <w:color w:val="000000"/>
        </w:rPr>
        <w:t>Lottery</w:t>
      </w:r>
      <w:r w:rsidR="00BF059B">
        <w:rPr>
          <w:color w:val="000000"/>
        </w:rPr>
        <w:t xml:space="preserve"> </w:t>
      </w:r>
      <w:r>
        <w:rPr>
          <w:color w:val="000000"/>
        </w:rPr>
        <w:t>and</w:t>
      </w:r>
      <w:r w:rsidR="00BF059B">
        <w:rPr>
          <w:color w:val="000000"/>
        </w:rPr>
        <w:t xml:space="preserve"> </w:t>
      </w:r>
      <w:r>
        <w:rPr>
          <w:color w:val="000000"/>
        </w:rPr>
        <w:t>DCMS</w:t>
      </w:r>
      <w:r w:rsidR="00BF059B">
        <w:rPr>
          <w:color w:val="000000"/>
        </w:rPr>
        <w:t xml:space="preserve"> </w:t>
      </w:r>
      <w:r>
        <w:rPr>
          <w:color w:val="000000"/>
        </w:rPr>
        <w:t>funding.</w:t>
      </w:r>
      <w:r w:rsidR="00BF059B">
        <w:rPr>
          <w:color w:val="000000"/>
        </w:rPr>
        <w:t xml:space="preserve"> </w:t>
      </w:r>
      <w:r>
        <w:rPr>
          <w:color w:val="000000"/>
        </w:rPr>
        <w:t>This</w:t>
      </w:r>
      <w:r w:rsidR="00BF059B">
        <w:rPr>
          <w:color w:val="000000"/>
        </w:rPr>
        <w:t xml:space="preserve"> </w:t>
      </w:r>
      <w:r>
        <w:rPr>
          <w:color w:val="000000"/>
        </w:rPr>
        <w:t>has</w:t>
      </w:r>
      <w:r w:rsidR="00BF059B">
        <w:rPr>
          <w:color w:val="000000"/>
        </w:rPr>
        <w:t xml:space="preserve"> </w:t>
      </w:r>
      <w:r>
        <w:rPr>
          <w:color w:val="000000"/>
        </w:rPr>
        <w:t>been</w:t>
      </w:r>
      <w:r w:rsidR="00BF059B">
        <w:rPr>
          <w:color w:val="000000"/>
        </w:rPr>
        <w:t xml:space="preserve"> </w:t>
      </w:r>
      <w:r>
        <w:rPr>
          <w:color w:val="000000"/>
        </w:rPr>
        <w:t>exceeded</w:t>
      </w:r>
      <w:r w:rsidR="00BF059B">
        <w:rPr>
          <w:color w:val="000000"/>
        </w:rPr>
        <w:t xml:space="preserve"> </w:t>
      </w:r>
      <w:r>
        <w:rPr>
          <w:color w:val="000000"/>
        </w:rPr>
        <w:t>as</w:t>
      </w:r>
      <w:r w:rsidR="00BF059B">
        <w:rPr>
          <w:color w:val="000000"/>
        </w:rPr>
        <w:t xml:space="preserve"> </w:t>
      </w:r>
      <w:r>
        <w:rPr>
          <w:color w:val="000000"/>
        </w:rPr>
        <w:t>the</w:t>
      </w:r>
      <w:r w:rsidR="00BF059B">
        <w:rPr>
          <w:color w:val="000000"/>
        </w:rPr>
        <w:t xml:space="preserve"> </w:t>
      </w:r>
      <w:r>
        <w:rPr>
          <w:color w:val="000000"/>
        </w:rPr>
        <w:t>team</w:t>
      </w:r>
      <w:r w:rsidR="00BF059B">
        <w:rPr>
          <w:color w:val="000000"/>
        </w:rPr>
        <w:t xml:space="preserve"> </w:t>
      </w:r>
      <w:r>
        <w:rPr>
          <w:color w:val="000000"/>
        </w:rPr>
        <w:t>have</w:t>
      </w:r>
      <w:r w:rsidR="00BF059B">
        <w:rPr>
          <w:color w:val="000000"/>
        </w:rPr>
        <w:t xml:space="preserve"> </w:t>
      </w:r>
      <w:r>
        <w:rPr>
          <w:color w:val="000000"/>
        </w:rPr>
        <w:t>stepped</w:t>
      </w:r>
      <w:r w:rsidR="00BF059B">
        <w:rPr>
          <w:color w:val="000000"/>
        </w:rPr>
        <w:t xml:space="preserve"> </w:t>
      </w:r>
      <w:r>
        <w:rPr>
          <w:color w:val="000000"/>
        </w:rPr>
        <w:t>up</w:t>
      </w:r>
      <w:r w:rsidR="00BF059B">
        <w:rPr>
          <w:color w:val="000000"/>
        </w:rPr>
        <w:t xml:space="preserve"> </w:t>
      </w:r>
      <w:r>
        <w:rPr>
          <w:color w:val="000000"/>
        </w:rPr>
        <w:t>to</w:t>
      </w:r>
      <w:r w:rsidR="00BF059B">
        <w:rPr>
          <w:color w:val="000000"/>
        </w:rPr>
        <w:t xml:space="preserve"> </w:t>
      </w:r>
      <w:r>
        <w:rPr>
          <w:color w:val="000000"/>
        </w:rPr>
        <w:t>keep</w:t>
      </w:r>
      <w:r w:rsidR="00BF059B">
        <w:rPr>
          <w:color w:val="000000"/>
        </w:rPr>
        <w:t xml:space="preserve"> </w:t>
      </w:r>
      <w:r>
        <w:rPr>
          <w:color w:val="000000"/>
        </w:rPr>
        <w:t>pace</w:t>
      </w:r>
      <w:r w:rsidR="00BF059B">
        <w:rPr>
          <w:color w:val="000000"/>
        </w:rPr>
        <w:t xml:space="preserve"> </w:t>
      </w:r>
      <w:r>
        <w:rPr>
          <w:color w:val="000000"/>
        </w:rPr>
        <w:t>with</w:t>
      </w:r>
      <w:r w:rsidR="00BF059B">
        <w:rPr>
          <w:color w:val="000000"/>
        </w:rPr>
        <w:t xml:space="preserve"> </w:t>
      </w:r>
      <w:r>
        <w:rPr>
          <w:color w:val="000000"/>
        </w:rPr>
        <w:t>the</w:t>
      </w:r>
      <w:r w:rsidR="00BF059B">
        <w:rPr>
          <w:color w:val="000000"/>
        </w:rPr>
        <w:t xml:space="preserve"> </w:t>
      </w:r>
      <w:r>
        <w:rPr>
          <w:color w:val="000000"/>
        </w:rPr>
        <w:t>rising</w:t>
      </w:r>
      <w:r w:rsidR="00BF059B">
        <w:rPr>
          <w:color w:val="000000"/>
        </w:rPr>
        <w:t xml:space="preserve"> </w:t>
      </w:r>
      <w:r>
        <w:rPr>
          <w:color w:val="000000"/>
        </w:rPr>
        <w:t>project</w:t>
      </w:r>
      <w:r w:rsidR="00BF059B">
        <w:rPr>
          <w:color w:val="000000"/>
        </w:rPr>
        <w:t xml:space="preserve"> </w:t>
      </w:r>
      <w:r>
        <w:rPr>
          <w:color w:val="000000"/>
        </w:rPr>
        <w:t>costs</w:t>
      </w:r>
      <w:r w:rsidR="00BF059B">
        <w:rPr>
          <w:color w:val="000000"/>
        </w:rPr>
        <w:t xml:space="preserve"> </w:t>
      </w:r>
      <w:r>
        <w:rPr>
          <w:color w:val="000000"/>
        </w:rPr>
        <w:t>which</w:t>
      </w:r>
      <w:r w:rsidR="00BF059B">
        <w:rPr>
          <w:color w:val="000000"/>
        </w:rPr>
        <w:t xml:space="preserve"> </w:t>
      </w:r>
      <w:r>
        <w:rPr>
          <w:color w:val="000000"/>
        </w:rPr>
        <w:t>have</w:t>
      </w:r>
      <w:r w:rsidR="00BF059B">
        <w:rPr>
          <w:color w:val="000000"/>
        </w:rPr>
        <w:t xml:space="preserve"> </w:t>
      </w:r>
      <w:r>
        <w:rPr>
          <w:color w:val="000000"/>
        </w:rPr>
        <w:t>increased</w:t>
      </w:r>
      <w:r w:rsidR="00BF059B">
        <w:rPr>
          <w:color w:val="000000"/>
        </w:rPr>
        <w:t xml:space="preserve"> </w:t>
      </w:r>
      <w:r>
        <w:rPr>
          <w:color w:val="000000"/>
        </w:rPr>
        <w:t>by</w:t>
      </w:r>
      <w:r w:rsidR="00BF059B">
        <w:rPr>
          <w:color w:val="000000"/>
        </w:rPr>
        <w:t xml:space="preserve"> </w:t>
      </w:r>
      <w:r>
        <w:rPr>
          <w:color w:val="000000"/>
        </w:rPr>
        <w:t>over</w:t>
      </w:r>
      <w:r w:rsidR="00BF059B">
        <w:rPr>
          <w:color w:val="000000"/>
        </w:rPr>
        <w:t xml:space="preserve"> </w:t>
      </w:r>
      <w:r>
        <w:rPr>
          <w:color w:val="000000"/>
        </w:rPr>
        <w:t>£3M</w:t>
      </w:r>
      <w:r w:rsidR="00BF059B">
        <w:rPr>
          <w:color w:val="000000"/>
        </w:rPr>
        <w:t xml:space="preserve"> </w:t>
      </w:r>
      <w:r>
        <w:rPr>
          <w:color w:val="000000"/>
        </w:rPr>
        <w:t>since</w:t>
      </w:r>
      <w:r w:rsidR="00BF059B">
        <w:rPr>
          <w:color w:val="000000"/>
        </w:rPr>
        <w:t xml:space="preserve"> </w:t>
      </w:r>
      <w:r>
        <w:rPr>
          <w:color w:val="000000"/>
        </w:rPr>
        <w:t>the</w:t>
      </w:r>
      <w:r w:rsidR="00BF059B">
        <w:rPr>
          <w:color w:val="000000"/>
        </w:rPr>
        <w:t xml:space="preserve"> </w:t>
      </w:r>
      <w:r>
        <w:rPr>
          <w:color w:val="000000"/>
        </w:rPr>
        <w:t>outset.</w:t>
      </w:r>
      <w:r w:rsidR="00BF059B">
        <w:rPr>
          <w:color w:val="000000"/>
        </w:rPr>
        <w:t xml:space="preserve">  </w:t>
      </w:r>
    </w:p>
    <w:p w14:paraId="6D6DBD22" w14:textId="77777777" w:rsidR="00BE13A8" w:rsidRDefault="00BE13A8" w:rsidP="00F563F6">
      <w:pPr>
        <w:pBdr>
          <w:top w:val="nil"/>
          <w:left w:val="nil"/>
          <w:bottom w:val="nil"/>
          <w:right w:val="nil"/>
          <w:between w:val="nil"/>
        </w:pBdr>
        <w:rPr>
          <w:color w:val="FF0000"/>
        </w:rPr>
      </w:pPr>
    </w:p>
    <w:p w14:paraId="25FDAF33" w14:textId="16AB79DC" w:rsidR="00BE13A8" w:rsidRDefault="00D70530" w:rsidP="00F563F6">
      <w:r>
        <w:t>The</w:t>
      </w:r>
      <w:r w:rsidR="00BF059B">
        <w:t xml:space="preserve"> </w:t>
      </w:r>
      <w:r>
        <w:t>largest</w:t>
      </w:r>
      <w:r w:rsidR="00BF059B">
        <w:t xml:space="preserve"> </w:t>
      </w:r>
      <w:r>
        <w:t>income</w:t>
      </w:r>
      <w:r w:rsidR="00BF059B">
        <w:t xml:space="preserve"> </w:t>
      </w:r>
      <w:r>
        <w:t>stream</w:t>
      </w:r>
      <w:r w:rsidR="00BF059B">
        <w:t xml:space="preserve"> </w:t>
      </w:r>
      <w:r>
        <w:t>has</w:t>
      </w:r>
      <w:r w:rsidR="00BF059B">
        <w:t xml:space="preserve"> </w:t>
      </w:r>
      <w:r>
        <w:t>again</w:t>
      </w:r>
      <w:r w:rsidR="00BF059B">
        <w:t xml:space="preserve"> </w:t>
      </w:r>
      <w:r>
        <w:t>been</w:t>
      </w:r>
      <w:r w:rsidR="00BF059B">
        <w:t xml:space="preserve"> </w:t>
      </w:r>
      <w:r>
        <w:t>the</w:t>
      </w:r>
      <w:r w:rsidR="00BF059B">
        <w:t xml:space="preserve"> </w:t>
      </w:r>
      <w:r>
        <w:t>grants</w:t>
      </w:r>
      <w:r w:rsidR="00BF059B">
        <w:t xml:space="preserve"> </w:t>
      </w:r>
      <w:r>
        <w:t>income,</w:t>
      </w:r>
      <w:r w:rsidR="00BF059B">
        <w:t xml:space="preserve"> </w:t>
      </w:r>
      <w:r>
        <w:t>and</w:t>
      </w:r>
      <w:r w:rsidR="00BF059B">
        <w:t xml:space="preserve"> </w:t>
      </w:r>
      <w:r>
        <w:t>we</w:t>
      </w:r>
      <w:r w:rsidR="00BF059B">
        <w:t xml:space="preserve"> </w:t>
      </w:r>
      <w:r>
        <w:t>are</w:t>
      </w:r>
      <w:r w:rsidR="00BF059B">
        <w:t xml:space="preserve"> </w:t>
      </w:r>
      <w:r>
        <w:t>very</w:t>
      </w:r>
      <w:r w:rsidR="00BF059B">
        <w:t xml:space="preserve"> </w:t>
      </w:r>
      <w:r>
        <w:t>grateful</w:t>
      </w:r>
      <w:r w:rsidR="00BF059B">
        <w:t xml:space="preserve"> </w:t>
      </w:r>
      <w:r>
        <w:t>to</w:t>
      </w:r>
      <w:r w:rsidR="00BF059B">
        <w:t xml:space="preserve"> </w:t>
      </w:r>
      <w:r>
        <w:t>the</w:t>
      </w:r>
      <w:r w:rsidR="00BF059B">
        <w:t xml:space="preserve"> </w:t>
      </w:r>
      <w:r>
        <w:t>many</w:t>
      </w:r>
      <w:r w:rsidR="00BF059B">
        <w:t xml:space="preserve"> </w:t>
      </w:r>
      <w:r>
        <w:t>trusts</w:t>
      </w:r>
      <w:r w:rsidR="00BF059B">
        <w:t xml:space="preserve"> </w:t>
      </w:r>
      <w:r>
        <w:t>who</w:t>
      </w:r>
      <w:r w:rsidR="00BF059B">
        <w:t xml:space="preserve"> </w:t>
      </w:r>
      <w:r>
        <w:t>have</w:t>
      </w:r>
      <w:r w:rsidR="00BF059B">
        <w:t xml:space="preserve"> </w:t>
      </w:r>
      <w:r>
        <w:t>supported</w:t>
      </w:r>
      <w:r w:rsidR="00BF059B">
        <w:t xml:space="preserve"> </w:t>
      </w:r>
      <w:r>
        <w:t>our</w:t>
      </w:r>
      <w:r w:rsidR="00BF059B">
        <w:t xml:space="preserve"> </w:t>
      </w:r>
      <w:r>
        <w:t>projects</w:t>
      </w:r>
      <w:r w:rsidR="00BF059B">
        <w:t xml:space="preserve"> </w:t>
      </w:r>
      <w:r>
        <w:t>in</w:t>
      </w:r>
      <w:r w:rsidR="00BF059B">
        <w:t xml:space="preserve"> </w:t>
      </w:r>
      <w:r>
        <w:t>the</w:t>
      </w:r>
      <w:r w:rsidR="00BF059B">
        <w:t xml:space="preserve"> </w:t>
      </w:r>
      <w:r>
        <w:t>year.</w:t>
      </w:r>
      <w:r w:rsidR="00BF059B">
        <w:t xml:space="preserve"> </w:t>
      </w:r>
      <w:r>
        <w:t>Cash</w:t>
      </w:r>
      <w:r w:rsidR="00BF059B">
        <w:t xml:space="preserve"> </w:t>
      </w:r>
      <w:r>
        <w:t>income</w:t>
      </w:r>
      <w:r w:rsidR="00BF059B">
        <w:t xml:space="preserve"> </w:t>
      </w:r>
      <w:r>
        <w:t>from</w:t>
      </w:r>
      <w:r w:rsidR="00BF059B">
        <w:t xml:space="preserve"> </w:t>
      </w:r>
      <w:r>
        <w:t>multi-year</w:t>
      </w:r>
      <w:r w:rsidR="00BF059B">
        <w:t xml:space="preserve"> </w:t>
      </w:r>
      <w:r>
        <w:t>grants</w:t>
      </w:r>
      <w:r w:rsidR="00BF059B">
        <w:t xml:space="preserve"> </w:t>
      </w:r>
      <w:r>
        <w:t>to</w:t>
      </w:r>
      <w:r w:rsidR="00BF059B">
        <w:t xml:space="preserve"> </w:t>
      </w:r>
      <w:r>
        <w:t>the</w:t>
      </w:r>
      <w:r w:rsidR="00BF059B">
        <w:t xml:space="preserve"> </w:t>
      </w:r>
      <w:r>
        <w:t>value</w:t>
      </w:r>
      <w:r w:rsidR="00BF059B">
        <w:t xml:space="preserve"> </w:t>
      </w:r>
      <w:r>
        <w:t>of</w:t>
      </w:r>
      <w:r w:rsidR="00BF059B">
        <w:t xml:space="preserve"> </w:t>
      </w:r>
      <w:r>
        <w:t>circa</w:t>
      </w:r>
      <w:r w:rsidR="00BF059B">
        <w:t xml:space="preserve"> </w:t>
      </w:r>
      <w:r>
        <w:t>£200K</w:t>
      </w:r>
      <w:r w:rsidR="00BF059B">
        <w:t xml:space="preserve"> </w:t>
      </w:r>
      <w:r>
        <w:t>has</w:t>
      </w:r>
      <w:r w:rsidR="00BF059B">
        <w:t xml:space="preserve"> </w:t>
      </w:r>
      <w:r>
        <w:t>continued</w:t>
      </w:r>
      <w:r w:rsidR="00BF059B">
        <w:t xml:space="preserve"> </w:t>
      </w:r>
      <w:r>
        <w:t>to</w:t>
      </w:r>
      <w:r w:rsidR="00BF059B">
        <w:t xml:space="preserve"> </w:t>
      </w:r>
      <w:r>
        <w:t>be</w:t>
      </w:r>
      <w:r w:rsidR="00BF059B">
        <w:t xml:space="preserve"> </w:t>
      </w:r>
      <w:r>
        <w:t>received</w:t>
      </w:r>
      <w:r w:rsidR="00BF059B">
        <w:t xml:space="preserve"> </w:t>
      </w:r>
      <w:r>
        <w:t>and</w:t>
      </w:r>
      <w:r w:rsidR="00BF059B">
        <w:t xml:space="preserve"> </w:t>
      </w:r>
      <w:r>
        <w:t>accrued,</w:t>
      </w:r>
      <w:r w:rsidR="00BF059B">
        <w:t xml:space="preserve"> </w:t>
      </w:r>
      <w:r>
        <w:t>while</w:t>
      </w:r>
      <w:r w:rsidR="00BF059B">
        <w:t xml:space="preserve"> </w:t>
      </w:r>
      <w:r>
        <w:t>the</w:t>
      </w:r>
      <w:r w:rsidR="00BF059B">
        <w:t xml:space="preserve"> </w:t>
      </w:r>
      <w:r>
        <w:t>value</w:t>
      </w:r>
      <w:r w:rsidR="00BF059B">
        <w:t xml:space="preserve"> </w:t>
      </w:r>
      <w:r>
        <w:t>of</w:t>
      </w:r>
      <w:r w:rsidR="00BF059B">
        <w:t xml:space="preserve"> </w:t>
      </w:r>
      <w:r>
        <w:t>new</w:t>
      </w:r>
      <w:r w:rsidR="00BF059B">
        <w:t xml:space="preserve"> </w:t>
      </w:r>
      <w:r>
        <w:t>grants</w:t>
      </w:r>
      <w:r w:rsidR="00BF059B">
        <w:t xml:space="preserve"> </w:t>
      </w:r>
      <w:r>
        <w:t>secured</w:t>
      </w:r>
      <w:r w:rsidR="00BF059B">
        <w:t xml:space="preserve"> </w:t>
      </w:r>
      <w:r>
        <w:t>during</w:t>
      </w:r>
      <w:r w:rsidR="00BF059B">
        <w:t xml:space="preserve"> </w:t>
      </w:r>
      <w:r>
        <w:t>the</w:t>
      </w:r>
      <w:r w:rsidR="00BF059B">
        <w:t xml:space="preserve"> </w:t>
      </w:r>
      <w:r>
        <w:t>year</w:t>
      </w:r>
      <w:r w:rsidR="00BF059B">
        <w:t xml:space="preserve"> </w:t>
      </w:r>
      <w:r>
        <w:t>had</w:t>
      </w:r>
      <w:r w:rsidR="00BF059B">
        <w:t xml:space="preserve"> </w:t>
      </w:r>
      <w:r>
        <w:t>dropped</w:t>
      </w:r>
      <w:r w:rsidR="00BF059B">
        <w:t xml:space="preserve"> </w:t>
      </w:r>
      <w:r>
        <w:t>to</w:t>
      </w:r>
      <w:r w:rsidR="00BF059B">
        <w:t xml:space="preserve"> </w:t>
      </w:r>
      <w:r>
        <w:t>£62K.</w:t>
      </w:r>
      <w:r w:rsidR="00BF059B">
        <w:t xml:space="preserve"> </w:t>
      </w:r>
      <w:r>
        <w:t>A</w:t>
      </w:r>
      <w:r w:rsidR="00BF059B">
        <w:t xml:space="preserve"> </w:t>
      </w:r>
      <w:r>
        <w:t>Digital</w:t>
      </w:r>
      <w:r w:rsidR="00BF059B">
        <w:t xml:space="preserve"> </w:t>
      </w:r>
      <w:r>
        <w:t>Accelerator</w:t>
      </w:r>
      <w:r w:rsidR="00BF059B">
        <w:t xml:space="preserve"> </w:t>
      </w:r>
      <w:r>
        <w:t>grant</w:t>
      </w:r>
      <w:r w:rsidR="00BF059B">
        <w:t xml:space="preserve"> </w:t>
      </w:r>
      <w:r>
        <w:t>of</w:t>
      </w:r>
      <w:r w:rsidR="00BF059B">
        <w:t xml:space="preserve"> </w:t>
      </w:r>
      <w:r>
        <w:t>£150K</w:t>
      </w:r>
      <w:r w:rsidR="00BF059B">
        <w:t xml:space="preserve"> </w:t>
      </w:r>
      <w:r>
        <w:t>from</w:t>
      </w:r>
      <w:r w:rsidR="00BF059B">
        <w:t xml:space="preserve"> </w:t>
      </w:r>
      <w:r>
        <w:t>Bloomberg</w:t>
      </w:r>
      <w:r w:rsidR="00BF059B">
        <w:t xml:space="preserve"> </w:t>
      </w:r>
      <w:r>
        <w:t>Philanthropies</w:t>
      </w:r>
      <w:r w:rsidR="00BF059B">
        <w:t xml:space="preserve"> </w:t>
      </w:r>
      <w:r>
        <w:t>that</w:t>
      </w:r>
      <w:r w:rsidR="00BF059B">
        <w:t xml:space="preserve"> </w:t>
      </w:r>
      <w:r>
        <w:t>had</w:t>
      </w:r>
      <w:r w:rsidR="00BF059B">
        <w:t xml:space="preserve"> </w:t>
      </w:r>
      <w:r>
        <w:t>been</w:t>
      </w:r>
      <w:r w:rsidR="00BF059B">
        <w:t xml:space="preserve"> </w:t>
      </w:r>
      <w:r>
        <w:t>anticipated</w:t>
      </w:r>
      <w:r w:rsidR="00BF059B">
        <w:t xml:space="preserve"> </w:t>
      </w:r>
      <w:r>
        <w:t>for</w:t>
      </w:r>
      <w:r w:rsidR="00BF059B">
        <w:t xml:space="preserve"> </w:t>
      </w:r>
      <w:r>
        <w:t>the</w:t>
      </w:r>
      <w:r w:rsidR="00BF059B">
        <w:t xml:space="preserve"> </w:t>
      </w:r>
      <w:r>
        <w:t>annual</w:t>
      </w:r>
      <w:r w:rsidR="00BF059B">
        <w:t xml:space="preserve"> </w:t>
      </w:r>
      <w:r>
        <w:t>budget</w:t>
      </w:r>
      <w:r w:rsidR="00BF059B">
        <w:t xml:space="preserve"> </w:t>
      </w:r>
      <w:r>
        <w:t>has</w:t>
      </w:r>
      <w:r w:rsidR="00BF059B">
        <w:t xml:space="preserve"> </w:t>
      </w:r>
      <w:r>
        <w:t>been</w:t>
      </w:r>
      <w:r w:rsidR="00BF059B">
        <w:t xml:space="preserve"> </w:t>
      </w:r>
      <w:r>
        <w:t>allocated</w:t>
      </w:r>
      <w:r w:rsidR="00BF059B">
        <w:t xml:space="preserve"> </w:t>
      </w:r>
      <w:r>
        <w:t>with</w:t>
      </w:r>
      <w:r w:rsidR="00BF059B">
        <w:t xml:space="preserve"> </w:t>
      </w:r>
      <w:r>
        <w:t>their</w:t>
      </w:r>
      <w:r w:rsidR="00BF059B">
        <w:t xml:space="preserve"> </w:t>
      </w:r>
      <w:r>
        <w:t>agreement</w:t>
      </w:r>
      <w:r w:rsidR="00BF059B">
        <w:t xml:space="preserve"> </w:t>
      </w:r>
      <w:r>
        <w:t>to</w:t>
      </w:r>
      <w:r w:rsidR="00BF059B">
        <w:t xml:space="preserve"> </w:t>
      </w:r>
      <w:r>
        <w:t>Nature</w:t>
      </w:r>
      <w:r w:rsidR="00BF059B">
        <w:t xml:space="preserve"> </w:t>
      </w:r>
      <w:r>
        <w:t>+</w:t>
      </w:r>
      <w:r w:rsidR="00BF059B">
        <w:t xml:space="preserve"> </w:t>
      </w:r>
      <w:r>
        <w:t>Love.</w:t>
      </w:r>
      <w:r w:rsidR="00BF059B">
        <w:t xml:space="preserve">  </w:t>
      </w:r>
    </w:p>
    <w:p w14:paraId="1036F619" w14:textId="77777777" w:rsidR="00BE13A8" w:rsidRDefault="00BE13A8" w:rsidP="00F563F6"/>
    <w:p w14:paraId="278BC3E6" w14:textId="47345071" w:rsidR="00BE13A8" w:rsidRDefault="00D70530" w:rsidP="00F563F6">
      <w:r>
        <w:lastRenderedPageBreak/>
        <w:t>We</w:t>
      </w:r>
      <w:r w:rsidR="00BF059B">
        <w:t xml:space="preserve"> </w:t>
      </w:r>
      <w:r>
        <w:t>have</w:t>
      </w:r>
      <w:r w:rsidR="00BF059B">
        <w:t xml:space="preserve"> </w:t>
      </w:r>
      <w:r>
        <w:t>received</w:t>
      </w:r>
      <w:r w:rsidR="00BF059B">
        <w:t xml:space="preserve"> </w:t>
      </w:r>
      <w:r>
        <w:t>no</w:t>
      </w:r>
      <w:r w:rsidR="00BF059B">
        <w:t xml:space="preserve"> </w:t>
      </w:r>
      <w:r>
        <w:t>legacy</w:t>
      </w:r>
      <w:r w:rsidR="00BF059B">
        <w:t xml:space="preserve"> </w:t>
      </w:r>
      <w:r>
        <w:t>gifts</w:t>
      </w:r>
      <w:r w:rsidR="00BF059B">
        <w:t xml:space="preserve"> </w:t>
      </w:r>
      <w:r>
        <w:t>during</w:t>
      </w:r>
      <w:r w:rsidR="00BF059B">
        <w:t xml:space="preserve"> </w:t>
      </w:r>
      <w:r>
        <w:t>the</w:t>
      </w:r>
      <w:r w:rsidR="00BF059B">
        <w:t xml:space="preserve"> </w:t>
      </w:r>
      <w:r>
        <w:t>financial</w:t>
      </w:r>
      <w:r w:rsidR="00BF059B">
        <w:t xml:space="preserve"> </w:t>
      </w:r>
      <w:r>
        <w:t>year,</w:t>
      </w:r>
      <w:r w:rsidR="00BF059B">
        <w:t xml:space="preserve"> </w:t>
      </w:r>
      <w:r>
        <w:t>but</w:t>
      </w:r>
      <w:r w:rsidR="00BF059B">
        <w:t xml:space="preserve"> </w:t>
      </w:r>
      <w:r>
        <w:t>in</w:t>
      </w:r>
      <w:r w:rsidR="00BF059B">
        <w:t xml:space="preserve"> </w:t>
      </w:r>
      <w:r>
        <w:t>March</w:t>
      </w:r>
      <w:r w:rsidR="00BF059B">
        <w:t xml:space="preserve"> </w:t>
      </w:r>
      <w:r>
        <w:t>2025</w:t>
      </w:r>
      <w:r w:rsidR="00BF059B">
        <w:t xml:space="preserve"> </w:t>
      </w:r>
      <w:r>
        <w:t>we</w:t>
      </w:r>
      <w:r w:rsidR="00BF059B">
        <w:t xml:space="preserve"> </w:t>
      </w:r>
      <w:r>
        <w:t>soft</w:t>
      </w:r>
      <w:r w:rsidR="00BF059B">
        <w:t xml:space="preserve"> </w:t>
      </w:r>
      <w:r>
        <w:t>launched</w:t>
      </w:r>
      <w:r w:rsidR="00BF059B">
        <w:t xml:space="preserve"> </w:t>
      </w:r>
      <w:r>
        <w:t>a</w:t>
      </w:r>
      <w:r w:rsidR="00BF059B">
        <w:t xml:space="preserve"> </w:t>
      </w:r>
      <w:r>
        <w:t>legacy</w:t>
      </w:r>
      <w:r w:rsidR="00BF059B">
        <w:t xml:space="preserve"> </w:t>
      </w:r>
      <w:r>
        <w:t>giving</w:t>
      </w:r>
      <w:r w:rsidR="00BF059B">
        <w:t xml:space="preserve"> </w:t>
      </w:r>
      <w:r>
        <w:t>campaign</w:t>
      </w:r>
      <w:r w:rsidR="00BF059B">
        <w:t xml:space="preserve"> </w:t>
      </w:r>
      <w:r>
        <w:t>and</w:t>
      </w:r>
      <w:r w:rsidR="00BF059B">
        <w:t xml:space="preserve"> </w:t>
      </w:r>
      <w:r>
        <w:t>have</w:t>
      </w:r>
      <w:r w:rsidR="00BF059B">
        <w:t xml:space="preserve"> </w:t>
      </w:r>
      <w:r>
        <w:t>partnered</w:t>
      </w:r>
      <w:r w:rsidR="00BF059B">
        <w:t xml:space="preserve"> </w:t>
      </w:r>
      <w:r>
        <w:t>with</w:t>
      </w:r>
      <w:r w:rsidR="00BF059B">
        <w:t xml:space="preserve"> </w:t>
      </w:r>
      <w:r>
        <w:t>Octopus</w:t>
      </w:r>
      <w:r w:rsidR="00BF059B">
        <w:t xml:space="preserve"> </w:t>
      </w:r>
      <w:r>
        <w:t>Legacy</w:t>
      </w:r>
      <w:r w:rsidR="00BF059B">
        <w:t xml:space="preserve"> </w:t>
      </w:r>
      <w:r>
        <w:t>to</w:t>
      </w:r>
      <w:r w:rsidR="00BF059B">
        <w:t xml:space="preserve"> </w:t>
      </w:r>
      <w:r>
        <w:t>provide</w:t>
      </w:r>
      <w:r w:rsidR="00BF059B">
        <w:t xml:space="preserve"> </w:t>
      </w:r>
      <w:r>
        <w:t>a</w:t>
      </w:r>
      <w:r w:rsidR="00BF059B">
        <w:t xml:space="preserve"> </w:t>
      </w:r>
      <w:r>
        <w:t>free</w:t>
      </w:r>
      <w:r w:rsidR="00BF059B">
        <w:t xml:space="preserve"> </w:t>
      </w:r>
      <w:r>
        <w:t>will</w:t>
      </w:r>
      <w:r w:rsidR="00BF059B">
        <w:t xml:space="preserve"> </w:t>
      </w:r>
      <w:r>
        <w:t>writing</w:t>
      </w:r>
      <w:r w:rsidR="00BF059B">
        <w:t xml:space="preserve"> </w:t>
      </w:r>
      <w:r>
        <w:t>service,</w:t>
      </w:r>
      <w:r w:rsidR="00BF059B">
        <w:t xml:space="preserve"> </w:t>
      </w:r>
      <w:r>
        <w:t>which</w:t>
      </w:r>
      <w:r w:rsidR="00BF059B">
        <w:t xml:space="preserve"> </w:t>
      </w:r>
      <w:r>
        <w:t>encouraged</w:t>
      </w:r>
      <w:r w:rsidR="00BF059B">
        <w:t xml:space="preserve"> </w:t>
      </w:r>
      <w:r>
        <w:t>those</w:t>
      </w:r>
      <w:r w:rsidR="00BF059B">
        <w:t xml:space="preserve"> </w:t>
      </w:r>
      <w:r>
        <w:t>using</w:t>
      </w:r>
      <w:r w:rsidR="00BF059B">
        <w:t xml:space="preserve"> </w:t>
      </w:r>
      <w:r>
        <w:t>the</w:t>
      </w:r>
      <w:r w:rsidR="00BF059B">
        <w:t xml:space="preserve"> </w:t>
      </w:r>
      <w:r>
        <w:t>service</w:t>
      </w:r>
      <w:r w:rsidR="00BF059B">
        <w:t xml:space="preserve"> </w:t>
      </w:r>
      <w:r>
        <w:t>to</w:t>
      </w:r>
      <w:r w:rsidR="00BF059B">
        <w:t xml:space="preserve"> </w:t>
      </w:r>
      <w:r>
        <w:t>leave</w:t>
      </w:r>
      <w:r w:rsidR="00BF059B">
        <w:t xml:space="preserve"> </w:t>
      </w:r>
      <w:r>
        <w:t>a</w:t>
      </w:r>
      <w:r w:rsidR="00BF059B">
        <w:t xml:space="preserve"> </w:t>
      </w:r>
      <w:r>
        <w:t>gift</w:t>
      </w:r>
      <w:r w:rsidR="00BF059B">
        <w:t xml:space="preserve"> </w:t>
      </w:r>
      <w:r>
        <w:t>to</w:t>
      </w:r>
      <w:r w:rsidR="00BF059B">
        <w:t xml:space="preserve"> </w:t>
      </w:r>
      <w:r>
        <w:t>the</w:t>
      </w:r>
      <w:r w:rsidR="00BF059B">
        <w:t xml:space="preserve"> </w:t>
      </w:r>
      <w:r>
        <w:t>Horniman.</w:t>
      </w:r>
      <w:r w:rsidR="00BF059B">
        <w:t xml:space="preserve"> </w:t>
      </w:r>
      <w:r>
        <w:t>While</w:t>
      </w:r>
      <w:r w:rsidR="00BF059B">
        <w:t xml:space="preserve"> </w:t>
      </w:r>
      <w:r>
        <w:t>no</w:t>
      </w:r>
      <w:r w:rsidR="00BF059B">
        <w:t xml:space="preserve"> </w:t>
      </w:r>
      <w:r>
        <w:t>legacies</w:t>
      </w:r>
      <w:r w:rsidR="00BF059B">
        <w:t xml:space="preserve"> </w:t>
      </w:r>
      <w:r>
        <w:t>were</w:t>
      </w:r>
      <w:r w:rsidR="00BF059B">
        <w:t xml:space="preserve"> </w:t>
      </w:r>
      <w:r>
        <w:t>received</w:t>
      </w:r>
      <w:r w:rsidR="00BF059B">
        <w:t xml:space="preserve"> </w:t>
      </w:r>
      <w:r>
        <w:t>in</w:t>
      </w:r>
      <w:r w:rsidR="00BF059B">
        <w:t xml:space="preserve"> </w:t>
      </w:r>
      <w:r>
        <w:t>2024/25,</w:t>
      </w:r>
      <w:r w:rsidR="00BF059B">
        <w:t xml:space="preserve"> </w:t>
      </w:r>
      <w:r>
        <w:t>pledges</w:t>
      </w:r>
      <w:r w:rsidR="00BF059B">
        <w:t xml:space="preserve"> </w:t>
      </w:r>
      <w:r>
        <w:t>were</w:t>
      </w:r>
      <w:r w:rsidR="00BF059B">
        <w:t xml:space="preserve"> </w:t>
      </w:r>
      <w:r>
        <w:t>confirmed</w:t>
      </w:r>
      <w:r w:rsidR="00BF059B">
        <w:t xml:space="preserve"> </w:t>
      </w:r>
      <w:r>
        <w:t>by</w:t>
      </w:r>
      <w:r w:rsidR="00BF059B">
        <w:t xml:space="preserve"> </w:t>
      </w:r>
      <w:r>
        <w:t>eight</w:t>
      </w:r>
      <w:r w:rsidR="00BF059B">
        <w:t xml:space="preserve"> </w:t>
      </w:r>
      <w:r>
        <w:t>supporters</w:t>
      </w:r>
      <w:r w:rsidR="00BF059B">
        <w:t xml:space="preserve"> </w:t>
      </w:r>
      <w:r>
        <w:t>ahead</w:t>
      </w:r>
      <w:r w:rsidR="00BF059B">
        <w:t xml:space="preserve"> </w:t>
      </w:r>
      <w:r>
        <w:t>of</w:t>
      </w:r>
      <w:r w:rsidR="00BF059B">
        <w:t xml:space="preserve"> </w:t>
      </w:r>
      <w:r>
        <w:t>an</w:t>
      </w:r>
      <w:r w:rsidR="00BF059B">
        <w:t xml:space="preserve"> </w:t>
      </w:r>
      <w:r>
        <w:t>official</w:t>
      </w:r>
      <w:r w:rsidR="00BF059B">
        <w:t xml:space="preserve"> </w:t>
      </w:r>
      <w:r>
        <w:t>launch</w:t>
      </w:r>
      <w:r w:rsidR="00BF059B">
        <w:t xml:space="preserve"> </w:t>
      </w:r>
      <w:r>
        <w:t>event</w:t>
      </w:r>
      <w:r w:rsidR="00BF059B">
        <w:t xml:space="preserve"> </w:t>
      </w:r>
      <w:r>
        <w:t>of</w:t>
      </w:r>
      <w:r w:rsidR="00BF059B">
        <w:t xml:space="preserve"> </w:t>
      </w:r>
      <w:r>
        <w:t>the</w:t>
      </w:r>
      <w:r w:rsidR="00BF059B">
        <w:t xml:space="preserve"> </w:t>
      </w:r>
      <w:r>
        <w:t>Legacy</w:t>
      </w:r>
      <w:r w:rsidR="00BF059B">
        <w:t xml:space="preserve"> </w:t>
      </w:r>
      <w:r>
        <w:t>Giving</w:t>
      </w:r>
      <w:r w:rsidR="00BF059B">
        <w:t xml:space="preserve"> </w:t>
      </w:r>
      <w:r>
        <w:t>Campaign</w:t>
      </w:r>
      <w:r w:rsidR="00BF059B">
        <w:t xml:space="preserve"> </w:t>
      </w:r>
      <w:r>
        <w:t>in</w:t>
      </w:r>
      <w:r w:rsidR="00BF059B">
        <w:t xml:space="preserve"> </w:t>
      </w:r>
      <w:r>
        <w:t>April</w:t>
      </w:r>
      <w:r w:rsidR="00BF059B">
        <w:t xml:space="preserve"> </w:t>
      </w:r>
      <w:r>
        <w:t>2025,</w:t>
      </w:r>
      <w:r w:rsidR="00BF059B">
        <w:t xml:space="preserve"> </w:t>
      </w:r>
      <w:r>
        <w:t>hosted</w:t>
      </w:r>
      <w:r w:rsidR="00BF059B">
        <w:t xml:space="preserve"> </w:t>
      </w:r>
      <w:r>
        <w:t>by</w:t>
      </w:r>
      <w:r w:rsidR="00BF059B">
        <w:t xml:space="preserve"> </w:t>
      </w:r>
      <w:r>
        <w:t>Trustee:</w:t>
      </w:r>
      <w:r w:rsidR="00BF059B">
        <w:t xml:space="preserve"> </w:t>
      </w:r>
      <w:r>
        <w:t>Diana</w:t>
      </w:r>
      <w:r w:rsidR="00BF059B">
        <w:t xml:space="preserve"> </w:t>
      </w:r>
      <w:r>
        <w:t>Maine.</w:t>
      </w:r>
      <w:r w:rsidR="00BF059B">
        <w:t xml:space="preserve"> </w:t>
      </w:r>
    </w:p>
    <w:p w14:paraId="37E7057A" w14:textId="77777777" w:rsidR="00BE13A8" w:rsidRDefault="00BE13A8">
      <w:pPr>
        <w:pBdr>
          <w:top w:val="nil"/>
          <w:left w:val="nil"/>
          <w:bottom w:val="nil"/>
          <w:right w:val="nil"/>
          <w:between w:val="nil"/>
        </w:pBdr>
        <w:jc w:val="both"/>
        <w:rPr>
          <w:i/>
          <w:color w:val="FF0000"/>
        </w:rPr>
      </w:pPr>
    </w:p>
    <w:p w14:paraId="34C9F8A1" w14:textId="5A03A454" w:rsidR="00BE13A8" w:rsidRDefault="00F563F6" w:rsidP="00F563F6">
      <w:pPr>
        <w:pStyle w:val="Heading4"/>
      </w:pPr>
      <w:r>
        <w:t xml:space="preserve">3.2 </w:t>
      </w:r>
      <w:r w:rsidR="00D70530">
        <w:t>Climate</w:t>
      </w:r>
      <w:r w:rsidR="00BF059B">
        <w:t xml:space="preserve"> </w:t>
      </w:r>
      <w:r w:rsidR="00D70530">
        <w:t>and</w:t>
      </w:r>
      <w:r w:rsidR="00BF059B">
        <w:t xml:space="preserve"> </w:t>
      </w:r>
      <w:r w:rsidR="00D70530">
        <w:t>Ecology</w:t>
      </w:r>
      <w:r w:rsidR="00BF059B">
        <w:t xml:space="preserve"> </w:t>
      </w:r>
      <w:r w:rsidR="00D70530">
        <w:t>Action</w:t>
      </w:r>
    </w:p>
    <w:p w14:paraId="43541420" w14:textId="72D57B46" w:rsidR="00BE13A8" w:rsidRDefault="00D70530" w:rsidP="00F563F6">
      <w:r>
        <w:t>We</w:t>
      </w:r>
      <w:r w:rsidR="00BF059B">
        <w:t xml:space="preserve"> </w:t>
      </w:r>
      <w:r>
        <w:t>continued</w:t>
      </w:r>
      <w:r w:rsidR="00BF059B">
        <w:t xml:space="preserve"> </w:t>
      </w:r>
      <w:r>
        <w:t>to</w:t>
      </w:r>
      <w:r w:rsidR="00BF059B">
        <w:t xml:space="preserve"> </w:t>
      </w:r>
      <w:r>
        <w:t>deliver</w:t>
      </w:r>
      <w:r w:rsidR="00BF059B">
        <w:t xml:space="preserve"> </w:t>
      </w:r>
      <w:r>
        <w:t>on</w:t>
      </w:r>
      <w:r w:rsidR="00BF059B">
        <w:t xml:space="preserve"> </w:t>
      </w:r>
      <w:r>
        <w:t>our</w:t>
      </w:r>
      <w:r w:rsidR="00BF059B">
        <w:t xml:space="preserve"> </w:t>
      </w:r>
      <w:r>
        <w:t>Climate</w:t>
      </w:r>
      <w:r w:rsidR="00BF059B">
        <w:t xml:space="preserve"> </w:t>
      </w:r>
      <w:r>
        <w:t>and</w:t>
      </w:r>
      <w:r w:rsidR="00BF059B">
        <w:t xml:space="preserve"> </w:t>
      </w:r>
      <w:r>
        <w:t>Ecology</w:t>
      </w:r>
      <w:r w:rsidR="00BF059B">
        <w:t xml:space="preserve"> </w:t>
      </w:r>
      <w:r>
        <w:t>Action</w:t>
      </w:r>
      <w:r w:rsidR="00BF059B">
        <w:t xml:space="preserve"> </w:t>
      </w:r>
      <w:r>
        <w:t>Plan</w:t>
      </w:r>
      <w:r w:rsidR="00BF059B">
        <w:t xml:space="preserve"> </w:t>
      </w:r>
      <w:r>
        <w:t>to</w:t>
      </w:r>
      <w:r w:rsidR="00BF059B">
        <w:t xml:space="preserve"> </w:t>
      </w:r>
      <w:r>
        <w:t>support</w:t>
      </w:r>
      <w:r w:rsidR="00BF059B">
        <w:t xml:space="preserve"> </w:t>
      </w:r>
      <w:r>
        <w:t>the</w:t>
      </w:r>
      <w:r w:rsidR="00BF059B">
        <w:t xml:space="preserve"> </w:t>
      </w:r>
      <w:r>
        <w:t>delivery</w:t>
      </w:r>
      <w:r w:rsidR="00BF059B">
        <w:t xml:space="preserve"> </w:t>
      </w:r>
      <w:r>
        <w:t>of</w:t>
      </w:r>
      <w:r w:rsidR="00BF059B">
        <w:t xml:space="preserve"> </w:t>
      </w:r>
      <w:r>
        <w:t>our</w:t>
      </w:r>
      <w:r w:rsidR="00BF059B">
        <w:t xml:space="preserve"> </w:t>
      </w:r>
      <w:r>
        <w:t>Climate</w:t>
      </w:r>
      <w:r w:rsidR="00BF059B">
        <w:t xml:space="preserve"> </w:t>
      </w:r>
      <w:r>
        <w:t>and</w:t>
      </w:r>
      <w:r w:rsidR="00BF059B">
        <w:t xml:space="preserve"> </w:t>
      </w:r>
      <w:r>
        <w:t>Ecology</w:t>
      </w:r>
      <w:r w:rsidR="00BF059B">
        <w:t xml:space="preserve"> </w:t>
      </w:r>
      <w:r>
        <w:t>Manifesto.</w:t>
      </w:r>
      <w:r w:rsidR="00BF059B">
        <w:t xml:space="preserve"> </w:t>
      </w:r>
      <w:r>
        <w:t>Highlights</w:t>
      </w:r>
      <w:r w:rsidR="00BF059B">
        <w:t xml:space="preserve"> </w:t>
      </w:r>
      <w:r>
        <w:t>this</w:t>
      </w:r>
      <w:r w:rsidR="00BF059B">
        <w:t xml:space="preserve"> </w:t>
      </w:r>
      <w:r>
        <w:t>year</w:t>
      </w:r>
      <w:r w:rsidR="00BF059B">
        <w:t xml:space="preserve"> </w:t>
      </w:r>
      <w:r>
        <w:t>have</w:t>
      </w:r>
      <w:r w:rsidR="00BF059B">
        <w:t xml:space="preserve"> </w:t>
      </w:r>
      <w:r>
        <w:t>included</w:t>
      </w:r>
      <w:r w:rsidR="00BF059B">
        <w:t xml:space="preserve"> </w:t>
      </w:r>
      <w:r>
        <w:t>a</w:t>
      </w:r>
      <w:r w:rsidR="00BF059B">
        <w:t xml:space="preserve"> </w:t>
      </w:r>
      <w:r>
        <w:t>successful</w:t>
      </w:r>
      <w:r w:rsidR="00BF059B">
        <w:t xml:space="preserve"> </w:t>
      </w:r>
      <w:r>
        <w:t>application</w:t>
      </w:r>
      <w:r w:rsidR="00BF059B">
        <w:t xml:space="preserve"> </w:t>
      </w:r>
      <w:r>
        <w:t>to</w:t>
      </w:r>
      <w:r w:rsidR="00BF059B">
        <w:t xml:space="preserve"> </w:t>
      </w:r>
      <w:r>
        <w:t>the</w:t>
      </w:r>
      <w:r w:rsidR="00BF059B">
        <w:t xml:space="preserve"> </w:t>
      </w:r>
      <w:r>
        <w:t>Public</w:t>
      </w:r>
      <w:r w:rsidR="00BF059B">
        <w:t xml:space="preserve"> </w:t>
      </w:r>
      <w:r>
        <w:t>Sector</w:t>
      </w:r>
      <w:r w:rsidR="00BF059B">
        <w:t xml:space="preserve"> </w:t>
      </w:r>
      <w:r>
        <w:t>Decarbonisation</w:t>
      </w:r>
      <w:r w:rsidR="00BF059B">
        <w:t xml:space="preserve"> </w:t>
      </w:r>
      <w:r>
        <w:t>Scheme</w:t>
      </w:r>
      <w:r w:rsidR="00BF059B">
        <w:t xml:space="preserve"> </w:t>
      </w:r>
      <w:r>
        <w:t>Phase</w:t>
      </w:r>
      <w:r w:rsidR="00BF059B">
        <w:t xml:space="preserve"> </w:t>
      </w:r>
      <w:r>
        <w:t>4,</w:t>
      </w:r>
      <w:r w:rsidR="00BF059B">
        <w:t xml:space="preserve"> </w:t>
      </w:r>
      <w:r>
        <w:t>to</w:t>
      </w:r>
      <w:r w:rsidR="00BF059B">
        <w:t xml:space="preserve"> </w:t>
      </w:r>
      <w:r>
        <w:t>decarbonise</w:t>
      </w:r>
      <w:r w:rsidR="00BF059B">
        <w:t xml:space="preserve"> </w:t>
      </w:r>
      <w:r>
        <w:t>our</w:t>
      </w:r>
      <w:r w:rsidR="00BF059B">
        <w:t xml:space="preserve"> </w:t>
      </w:r>
      <w:r>
        <w:t>Butterfly</w:t>
      </w:r>
      <w:r w:rsidR="00BF059B">
        <w:t xml:space="preserve"> </w:t>
      </w:r>
      <w:r>
        <w:t>House</w:t>
      </w:r>
      <w:r w:rsidR="00BF059B">
        <w:t xml:space="preserve"> </w:t>
      </w:r>
      <w:r>
        <w:t>and</w:t>
      </w:r>
      <w:r w:rsidR="00BF059B">
        <w:t xml:space="preserve"> </w:t>
      </w:r>
      <w:r>
        <w:t>the</w:t>
      </w:r>
      <w:r w:rsidR="00BF059B">
        <w:t xml:space="preserve"> </w:t>
      </w:r>
      <w:r>
        <w:t>CUE</w:t>
      </w:r>
      <w:r w:rsidR="00BF059B">
        <w:t xml:space="preserve"> </w:t>
      </w:r>
      <w:r>
        <w:t>building</w:t>
      </w:r>
      <w:r w:rsidR="00BF059B">
        <w:t xml:space="preserve"> </w:t>
      </w:r>
      <w:r>
        <w:t>over</w:t>
      </w:r>
      <w:r w:rsidR="00BF059B">
        <w:t xml:space="preserve"> </w:t>
      </w:r>
      <w:r>
        <w:t>the</w:t>
      </w:r>
      <w:r w:rsidR="00BF059B">
        <w:t xml:space="preserve"> </w:t>
      </w:r>
      <w:r>
        <w:t>next</w:t>
      </w:r>
      <w:r w:rsidR="00BF059B">
        <w:t xml:space="preserve"> </w:t>
      </w:r>
      <w:r>
        <w:t>three</w:t>
      </w:r>
      <w:r w:rsidR="00BF059B">
        <w:t xml:space="preserve"> </w:t>
      </w:r>
      <w:r>
        <w:t>years.</w:t>
      </w:r>
    </w:p>
    <w:p w14:paraId="0B94EF16" w14:textId="77777777" w:rsidR="00BE13A8" w:rsidRDefault="00BE13A8" w:rsidP="00F563F6"/>
    <w:p w14:paraId="6BA4E233" w14:textId="210D5D7C" w:rsidR="00BE13A8" w:rsidRDefault="00D70530" w:rsidP="00F563F6">
      <w:pPr>
        <w:rPr>
          <w:color w:val="FF0000"/>
        </w:rPr>
      </w:pPr>
      <w:r>
        <w:t>A</w:t>
      </w:r>
      <w:r w:rsidR="00BF059B">
        <w:t xml:space="preserve"> </w:t>
      </w:r>
      <w:r>
        <w:t>new</w:t>
      </w:r>
      <w:r w:rsidR="00BF059B">
        <w:t xml:space="preserve"> </w:t>
      </w:r>
      <w:r>
        <w:t>Climate</w:t>
      </w:r>
      <w:r w:rsidR="00BF059B">
        <w:t xml:space="preserve"> </w:t>
      </w:r>
      <w:r>
        <w:t>Resilience</w:t>
      </w:r>
      <w:r w:rsidR="00BF059B">
        <w:t xml:space="preserve"> </w:t>
      </w:r>
      <w:r>
        <w:t>Officer</w:t>
      </w:r>
      <w:r w:rsidR="00BF059B">
        <w:t xml:space="preserve"> </w:t>
      </w:r>
      <w:r>
        <w:t>was</w:t>
      </w:r>
      <w:r w:rsidR="00BF059B">
        <w:t xml:space="preserve"> </w:t>
      </w:r>
      <w:r>
        <w:t>appointed</w:t>
      </w:r>
      <w:r w:rsidR="00BF059B">
        <w:t xml:space="preserve"> </w:t>
      </w:r>
      <w:r>
        <w:t>in</w:t>
      </w:r>
      <w:r w:rsidR="00BF059B">
        <w:t xml:space="preserve"> </w:t>
      </w:r>
      <w:r>
        <w:t>March</w:t>
      </w:r>
      <w:r w:rsidR="00BF059B">
        <w:t xml:space="preserve"> </w:t>
      </w:r>
      <w:r>
        <w:t>2025,</w:t>
      </w:r>
      <w:r w:rsidR="00BF059B">
        <w:t xml:space="preserve"> </w:t>
      </w:r>
      <w:r>
        <w:t>and</w:t>
      </w:r>
      <w:r w:rsidR="00BF059B">
        <w:t xml:space="preserve"> </w:t>
      </w:r>
      <w:r>
        <w:t>they</w:t>
      </w:r>
      <w:r w:rsidR="00BF059B">
        <w:t xml:space="preserve"> </w:t>
      </w:r>
      <w:r>
        <w:t>have</w:t>
      </w:r>
      <w:r w:rsidR="00BF059B">
        <w:t xml:space="preserve"> </w:t>
      </w:r>
      <w:r>
        <w:t>already</w:t>
      </w:r>
      <w:r w:rsidR="00BF059B">
        <w:t xml:space="preserve"> </w:t>
      </w:r>
      <w:r>
        <w:t>carried</w:t>
      </w:r>
      <w:r w:rsidR="00BF059B">
        <w:t xml:space="preserve"> </w:t>
      </w:r>
      <w:r>
        <w:t>out</w:t>
      </w:r>
      <w:r w:rsidR="00BF059B">
        <w:t xml:space="preserve"> </w:t>
      </w:r>
      <w:r>
        <w:t>an</w:t>
      </w:r>
      <w:r w:rsidR="00BF059B">
        <w:t xml:space="preserve"> </w:t>
      </w:r>
      <w:r>
        <w:t>overview</w:t>
      </w:r>
      <w:r w:rsidR="00BF059B">
        <w:t xml:space="preserve"> </w:t>
      </w:r>
      <w:r>
        <w:t>of</w:t>
      </w:r>
      <w:r w:rsidR="00BF059B">
        <w:t xml:space="preserve"> </w:t>
      </w:r>
      <w:r>
        <w:t>our</w:t>
      </w:r>
      <w:r w:rsidR="00BF059B">
        <w:t xml:space="preserve"> </w:t>
      </w:r>
      <w:r>
        <w:t>energy</w:t>
      </w:r>
      <w:r w:rsidR="00BF059B">
        <w:t xml:space="preserve"> </w:t>
      </w:r>
      <w:r>
        <w:t>usage</w:t>
      </w:r>
      <w:r w:rsidR="00BF059B">
        <w:t xml:space="preserve"> </w:t>
      </w:r>
      <w:r>
        <w:t>across</w:t>
      </w:r>
      <w:r w:rsidR="00BF059B">
        <w:t xml:space="preserve"> </w:t>
      </w:r>
      <w:r>
        <w:t>the</w:t>
      </w:r>
      <w:r w:rsidR="00BF059B">
        <w:t xml:space="preserve"> </w:t>
      </w:r>
      <w:r>
        <w:t>site,</w:t>
      </w:r>
      <w:r w:rsidR="00BF059B">
        <w:t xml:space="preserve"> </w:t>
      </w:r>
      <w:r>
        <w:t>developed</w:t>
      </w:r>
      <w:r w:rsidR="00BF059B">
        <w:t xml:space="preserve"> </w:t>
      </w:r>
      <w:r>
        <w:t>a</w:t>
      </w:r>
      <w:r w:rsidR="00BF059B">
        <w:t xml:space="preserve"> </w:t>
      </w:r>
      <w:r>
        <w:t>focused</w:t>
      </w:r>
      <w:r w:rsidR="00BF059B">
        <w:t xml:space="preserve"> </w:t>
      </w:r>
      <w:r>
        <w:t>set</w:t>
      </w:r>
      <w:r w:rsidR="00BF059B">
        <w:t xml:space="preserve"> </w:t>
      </w:r>
      <w:r>
        <w:t>of</w:t>
      </w:r>
      <w:r w:rsidR="00BF059B">
        <w:t xml:space="preserve"> </w:t>
      </w:r>
      <w:r>
        <w:t>actions</w:t>
      </w:r>
      <w:r w:rsidR="00BF059B">
        <w:t xml:space="preserve"> </w:t>
      </w:r>
      <w:r>
        <w:t>to</w:t>
      </w:r>
      <w:r w:rsidR="00BF059B">
        <w:t xml:space="preserve"> </w:t>
      </w:r>
      <w:r>
        <w:t>reduce</w:t>
      </w:r>
      <w:r w:rsidR="00BF059B">
        <w:t xml:space="preserve"> </w:t>
      </w:r>
      <w:r>
        <w:t>energy</w:t>
      </w:r>
      <w:r w:rsidR="00BF059B">
        <w:t xml:space="preserve"> </w:t>
      </w:r>
      <w:r>
        <w:t>consumption</w:t>
      </w:r>
      <w:r w:rsidR="00BF059B">
        <w:t xml:space="preserve"> </w:t>
      </w:r>
      <w:r>
        <w:t>and</w:t>
      </w:r>
      <w:r w:rsidR="00BF059B">
        <w:t xml:space="preserve"> </w:t>
      </w:r>
      <w:r>
        <w:t>a</w:t>
      </w:r>
      <w:r w:rsidR="00BF059B">
        <w:t xml:space="preserve"> </w:t>
      </w:r>
      <w:r>
        <w:t>set</w:t>
      </w:r>
      <w:r w:rsidR="00BF059B">
        <w:t xml:space="preserve"> </w:t>
      </w:r>
      <w:r>
        <w:t>of</w:t>
      </w:r>
      <w:r w:rsidR="00BF059B">
        <w:t xml:space="preserve"> </w:t>
      </w:r>
      <w:r>
        <w:t>strategy</w:t>
      </w:r>
      <w:r w:rsidR="00BF059B">
        <w:t xml:space="preserve"> </w:t>
      </w:r>
      <w:r>
        <w:t>documents</w:t>
      </w:r>
      <w:r w:rsidR="00BF059B">
        <w:t xml:space="preserve"> </w:t>
      </w:r>
      <w:r>
        <w:t>to</w:t>
      </w:r>
      <w:r w:rsidR="00BF059B">
        <w:t xml:space="preserve"> </w:t>
      </w:r>
      <w:r>
        <w:t>inform</w:t>
      </w:r>
      <w:r w:rsidR="00BF059B">
        <w:t xml:space="preserve"> </w:t>
      </w:r>
      <w:r>
        <w:t>areas</w:t>
      </w:r>
      <w:r w:rsidR="00BF059B">
        <w:t xml:space="preserve"> </w:t>
      </w:r>
      <w:r>
        <w:t>of</w:t>
      </w:r>
      <w:r w:rsidR="00BF059B">
        <w:t xml:space="preserve"> </w:t>
      </w:r>
      <w:r>
        <w:t>our</w:t>
      </w:r>
      <w:r w:rsidR="00BF059B">
        <w:t xml:space="preserve"> </w:t>
      </w:r>
      <w:r>
        <w:t>operations</w:t>
      </w:r>
      <w:r w:rsidR="00BF059B">
        <w:t xml:space="preserve"> </w:t>
      </w:r>
      <w:r>
        <w:t>such</w:t>
      </w:r>
      <w:r w:rsidR="00BF059B">
        <w:t xml:space="preserve"> </w:t>
      </w:r>
      <w:r>
        <w:t>as</w:t>
      </w:r>
      <w:r w:rsidR="00BF059B">
        <w:t xml:space="preserve"> </w:t>
      </w:r>
      <w:r>
        <w:t>procurement,</w:t>
      </w:r>
      <w:r w:rsidR="00BF059B">
        <w:t xml:space="preserve"> </w:t>
      </w:r>
      <w:r>
        <w:t>travel</w:t>
      </w:r>
      <w:r w:rsidR="00BF059B">
        <w:t xml:space="preserve"> </w:t>
      </w:r>
      <w:r>
        <w:t>and</w:t>
      </w:r>
      <w:r w:rsidR="00BF059B">
        <w:t xml:space="preserve"> </w:t>
      </w:r>
      <w:r>
        <w:t>climate</w:t>
      </w:r>
      <w:r w:rsidR="00BF059B">
        <w:t xml:space="preserve"> </w:t>
      </w:r>
      <w:r>
        <w:t>adaptation.</w:t>
      </w:r>
      <w:r w:rsidR="00BF059B">
        <w:t xml:space="preserve"> </w:t>
      </w:r>
    </w:p>
    <w:p w14:paraId="2F86BC1C" w14:textId="77777777" w:rsidR="00BE13A8" w:rsidRDefault="00BE13A8" w:rsidP="00F563F6">
      <w:pPr>
        <w:rPr>
          <w:color w:val="FF0000"/>
        </w:rPr>
      </w:pPr>
    </w:p>
    <w:p w14:paraId="5EEB4221" w14:textId="7848EDDA" w:rsidR="00BE13A8" w:rsidRDefault="00D70530" w:rsidP="00F563F6">
      <w:pPr>
        <w:rPr>
          <w:color w:val="000000"/>
          <w:sz w:val="22"/>
          <w:szCs w:val="22"/>
        </w:rPr>
      </w:pPr>
      <w:bookmarkStart w:id="6" w:name="_heading=h.7gbe2xh6fucg" w:colFirst="0" w:colLast="0"/>
      <w:bookmarkEnd w:id="6"/>
      <w:r>
        <w:t>We</w:t>
      </w:r>
      <w:r w:rsidR="00BF059B">
        <w:t xml:space="preserve"> </w:t>
      </w:r>
      <w:r>
        <w:t>continued</w:t>
      </w:r>
      <w:r w:rsidR="00BF059B">
        <w:t xml:space="preserve"> </w:t>
      </w:r>
      <w:r>
        <w:t>to</w:t>
      </w:r>
      <w:r w:rsidR="00BF059B">
        <w:t xml:space="preserve"> </w:t>
      </w:r>
      <w:r>
        <w:t>deliver</w:t>
      </w:r>
      <w:r w:rsidR="00BF059B">
        <w:t xml:space="preserve"> </w:t>
      </w:r>
      <w:r>
        <w:t>to</w:t>
      </w:r>
      <w:r w:rsidR="00BF059B">
        <w:t xml:space="preserve"> </w:t>
      </w:r>
      <w:r>
        <w:t>our</w:t>
      </w:r>
      <w:r w:rsidR="00BF059B">
        <w:t xml:space="preserve"> </w:t>
      </w:r>
      <w:r>
        <w:t>Environment</w:t>
      </w:r>
      <w:r w:rsidR="00BF059B">
        <w:t xml:space="preserve"> </w:t>
      </w:r>
      <w:r>
        <w:t>Champions</w:t>
      </w:r>
      <w:r w:rsidR="00BF059B">
        <w:t xml:space="preserve"> </w:t>
      </w:r>
      <w:r>
        <w:t>Community</w:t>
      </w:r>
      <w:r w:rsidR="00BF059B">
        <w:t xml:space="preserve"> </w:t>
      </w:r>
      <w:r>
        <w:t>a</w:t>
      </w:r>
      <w:r w:rsidR="00BF059B">
        <w:t xml:space="preserve"> </w:t>
      </w:r>
      <w:r>
        <w:t>quarterly</w:t>
      </w:r>
      <w:r w:rsidR="00BF059B">
        <w:t xml:space="preserve"> </w:t>
      </w:r>
      <w:r>
        <w:t>newsletter,</w:t>
      </w:r>
      <w:r w:rsidR="00BF059B">
        <w:t xml:space="preserve"> </w:t>
      </w:r>
      <w:r>
        <w:t>to</w:t>
      </w:r>
      <w:r w:rsidR="00BF059B">
        <w:t xml:space="preserve"> </w:t>
      </w:r>
      <w:r>
        <w:t>over</w:t>
      </w:r>
      <w:r w:rsidR="00BF059B">
        <w:t xml:space="preserve"> </w:t>
      </w:r>
      <w:r>
        <w:t>3,674</w:t>
      </w:r>
      <w:r w:rsidR="00BF059B">
        <w:t xml:space="preserve"> </w:t>
      </w:r>
      <w:r>
        <w:t>subscribers.</w:t>
      </w:r>
      <w:r w:rsidR="00BF059B">
        <w:rPr>
          <w:i/>
        </w:rPr>
        <w:t xml:space="preserve"> </w:t>
      </w:r>
      <w:r>
        <w:t>We</w:t>
      </w:r>
      <w:r w:rsidR="00BF059B">
        <w:t xml:space="preserve"> </w:t>
      </w:r>
      <w:r>
        <w:t>organised</w:t>
      </w:r>
      <w:r w:rsidR="00BF059B">
        <w:t xml:space="preserve"> </w:t>
      </w:r>
      <w:r>
        <w:t>two</w:t>
      </w:r>
      <w:r w:rsidR="00BF059B">
        <w:t xml:space="preserve"> </w:t>
      </w:r>
      <w:r>
        <w:t>Climate</w:t>
      </w:r>
      <w:r w:rsidR="00BF059B">
        <w:t xml:space="preserve"> </w:t>
      </w:r>
      <w:r>
        <w:t>and</w:t>
      </w:r>
      <w:r w:rsidR="00BF059B">
        <w:t xml:space="preserve"> </w:t>
      </w:r>
      <w:r>
        <w:t>Ecology</w:t>
      </w:r>
      <w:r w:rsidR="00BF059B">
        <w:t xml:space="preserve"> </w:t>
      </w:r>
      <w:r>
        <w:t>outreach</w:t>
      </w:r>
      <w:r w:rsidR="00BF059B">
        <w:t xml:space="preserve"> </w:t>
      </w:r>
      <w:r>
        <w:t>projects</w:t>
      </w:r>
      <w:r w:rsidR="00BF059B">
        <w:t xml:space="preserve"> </w:t>
      </w:r>
      <w:r>
        <w:t>on</w:t>
      </w:r>
      <w:r w:rsidR="00BF059B">
        <w:t xml:space="preserve"> </w:t>
      </w:r>
      <w:r>
        <w:t>council</w:t>
      </w:r>
      <w:r w:rsidR="00BF059B">
        <w:t xml:space="preserve"> </w:t>
      </w:r>
      <w:r>
        <w:t>estates,</w:t>
      </w:r>
      <w:r w:rsidR="00BF059B">
        <w:t xml:space="preserve"> </w:t>
      </w:r>
      <w:r>
        <w:t>in</w:t>
      </w:r>
      <w:r w:rsidR="00BF059B">
        <w:t xml:space="preserve"> </w:t>
      </w:r>
      <w:r>
        <w:t>partnership</w:t>
      </w:r>
      <w:r w:rsidR="00BF059B">
        <w:t xml:space="preserve"> </w:t>
      </w:r>
      <w:r>
        <w:t>with</w:t>
      </w:r>
      <w:r w:rsidR="00BF059B">
        <w:t xml:space="preserve"> </w:t>
      </w:r>
      <w:r>
        <w:t>the</w:t>
      </w:r>
      <w:r w:rsidR="00BF059B">
        <w:t xml:space="preserve"> </w:t>
      </w:r>
      <w:r>
        <w:t>National</w:t>
      </w:r>
      <w:r w:rsidR="00BF059B">
        <w:t xml:space="preserve"> </w:t>
      </w:r>
      <w:r>
        <w:t>Trust,</w:t>
      </w:r>
      <w:r w:rsidR="00BF059B">
        <w:t xml:space="preserve"> </w:t>
      </w:r>
      <w:r>
        <w:t>and</w:t>
      </w:r>
      <w:r w:rsidR="00BF059B">
        <w:t xml:space="preserve"> </w:t>
      </w:r>
      <w:r>
        <w:t>delivered</w:t>
      </w:r>
      <w:r w:rsidR="00BF059B">
        <w:t xml:space="preserve"> </w:t>
      </w:r>
      <w:r>
        <w:t>outdoor</w:t>
      </w:r>
      <w:r w:rsidR="00BF059B">
        <w:t xml:space="preserve"> </w:t>
      </w:r>
      <w:r>
        <w:t>nature</w:t>
      </w:r>
      <w:r w:rsidR="00BF059B">
        <w:t xml:space="preserve"> </w:t>
      </w:r>
      <w:r>
        <w:t>activities</w:t>
      </w:r>
      <w:r w:rsidR="00BF059B">
        <w:t xml:space="preserve"> </w:t>
      </w:r>
      <w:r>
        <w:t>to</w:t>
      </w:r>
      <w:r w:rsidR="00BF059B">
        <w:t xml:space="preserve"> </w:t>
      </w:r>
      <w:r>
        <w:t>increase</w:t>
      </w:r>
      <w:r w:rsidR="00BF059B">
        <w:t xml:space="preserve"> </w:t>
      </w:r>
      <w:r>
        <w:t>awareness</w:t>
      </w:r>
      <w:r w:rsidR="00BF059B">
        <w:t xml:space="preserve"> </w:t>
      </w:r>
      <w:r>
        <w:t>of</w:t>
      </w:r>
      <w:r w:rsidR="00BF059B">
        <w:t xml:space="preserve"> </w:t>
      </w:r>
      <w:r>
        <w:t>local</w:t>
      </w:r>
      <w:r w:rsidR="00BF059B">
        <w:t xml:space="preserve"> </w:t>
      </w:r>
      <w:r>
        <w:t>biodiversity</w:t>
      </w:r>
      <w:r w:rsidR="00BF059B">
        <w:t xml:space="preserve"> </w:t>
      </w:r>
      <w:r>
        <w:t>and</w:t>
      </w:r>
      <w:r w:rsidR="00BF059B">
        <w:t xml:space="preserve"> </w:t>
      </w:r>
      <w:r>
        <w:t>link</w:t>
      </w:r>
      <w:r w:rsidR="00BF059B">
        <w:t xml:space="preserve"> </w:t>
      </w:r>
      <w:r>
        <w:t>up</w:t>
      </w:r>
      <w:r w:rsidR="00BF059B">
        <w:t xml:space="preserve"> </w:t>
      </w:r>
      <w:r>
        <w:t>with</w:t>
      </w:r>
      <w:r w:rsidR="00BF059B">
        <w:t xml:space="preserve"> </w:t>
      </w:r>
      <w:r>
        <w:t>food</w:t>
      </w:r>
      <w:r w:rsidR="00BF059B">
        <w:t xml:space="preserve"> </w:t>
      </w:r>
      <w:r>
        <w:t>growing</w:t>
      </w:r>
      <w:r w:rsidR="00BF059B">
        <w:t xml:space="preserve"> </w:t>
      </w:r>
      <w:r>
        <w:t>activities</w:t>
      </w:r>
      <w:r w:rsidR="00BF059B">
        <w:t xml:space="preserve"> </w:t>
      </w:r>
      <w:r>
        <w:t>in</w:t>
      </w:r>
      <w:r w:rsidR="00BF059B">
        <w:t xml:space="preserve"> </w:t>
      </w:r>
      <w:r>
        <w:t>the</w:t>
      </w:r>
      <w:r w:rsidR="00BF059B">
        <w:t xml:space="preserve"> </w:t>
      </w:r>
      <w:r>
        <w:t>Lewisham</w:t>
      </w:r>
      <w:r w:rsidR="00BF059B">
        <w:t xml:space="preserve"> </w:t>
      </w:r>
      <w:r>
        <w:t>Refugee</w:t>
      </w:r>
      <w:r w:rsidR="00BF059B">
        <w:t xml:space="preserve"> </w:t>
      </w:r>
      <w:r>
        <w:t>and</w:t>
      </w:r>
      <w:r w:rsidR="00BF059B">
        <w:t xml:space="preserve"> </w:t>
      </w:r>
      <w:r>
        <w:t>Migrant</w:t>
      </w:r>
      <w:r w:rsidR="00BF059B">
        <w:t xml:space="preserve"> </w:t>
      </w:r>
      <w:r>
        <w:t>Network</w:t>
      </w:r>
      <w:r w:rsidR="00BF059B">
        <w:t xml:space="preserve"> </w:t>
      </w:r>
      <w:r>
        <w:t>(LRMN)</w:t>
      </w:r>
      <w:r w:rsidR="00BF059B">
        <w:t xml:space="preserve"> </w:t>
      </w:r>
      <w:r>
        <w:t>garden.</w:t>
      </w:r>
      <w:r w:rsidR="00BF059B">
        <w:t xml:space="preserve"> </w:t>
      </w:r>
      <w:r>
        <w:t>In</w:t>
      </w:r>
      <w:r w:rsidR="00BF059B">
        <w:t xml:space="preserve"> </w:t>
      </w:r>
      <w:r>
        <w:t>addition,</w:t>
      </w:r>
      <w:r w:rsidR="00BF059B">
        <w:t xml:space="preserve"> </w:t>
      </w:r>
      <w:r>
        <w:t>photography</w:t>
      </w:r>
      <w:r w:rsidR="00BF059B">
        <w:t xml:space="preserve"> </w:t>
      </w:r>
      <w:r>
        <w:t>and</w:t>
      </w:r>
      <w:r w:rsidR="00BF059B">
        <w:t xml:space="preserve"> </w:t>
      </w:r>
      <w:r>
        <w:t>bird</w:t>
      </w:r>
      <w:r w:rsidR="00BF059B">
        <w:t xml:space="preserve"> </w:t>
      </w:r>
      <w:r>
        <w:t>box</w:t>
      </w:r>
      <w:r w:rsidR="00BF059B">
        <w:t xml:space="preserve"> </w:t>
      </w:r>
      <w:r>
        <w:t>building</w:t>
      </w:r>
      <w:r w:rsidR="00BF059B">
        <w:t xml:space="preserve"> </w:t>
      </w:r>
      <w:r>
        <w:t>projects</w:t>
      </w:r>
      <w:r w:rsidR="00BF059B">
        <w:t xml:space="preserve"> </w:t>
      </w:r>
      <w:r>
        <w:t>were</w:t>
      </w:r>
      <w:r w:rsidR="00BF059B">
        <w:t xml:space="preserve"> </w:t>
      </w:r>
      <w:r>
        <w:t>delivered</w:t>
      </w:r>
      <w:r w:rsidR="00BF059B">
        <w:t xml:space="preserve"> </w:t>
      </w:r>
      <w:r>
        <w:t>at</w:t>
      </w:r>
      <w:r w:rsidR="00BF059B">
        <w:t xml:space="preserve"> </w:t>
      </w:r>
      <w:r>
        <w:t>a</w:t>
      </w:r>
      <w:r w:rsidR="00BF059B">
        <w:t xml:space="preserve"> </w:t>
      </w:r>
      <w:r>
        <w:t>youth</w:t>
      </w:r>
      <w:r w:rsidR="00BF059B">
        <w:t xml:space="preserve"> </w:t>
      </w:r>
      <w:r>
        <w:t>club</w:t>
      </w:r>
      <w:r w:rsidR="00BF059B">
        <w:t xml:space="preserve"> </w:t>
      </w:r>
      <w:r>
        <w:t>on</w:t>
      </w:r>
      <w:r w:rsidR="00BF059B">
        <w:t xml:space="preserve"> </w:t>
      </w:r>
      <w:r>
        <w:t>the</w:t>
      </w:r>
      <w:r w:rsidR="00BF059B">
        <w:t xml:space="preserve"> </w:t>
      </w:r>
      <w:r>
        <w:t>estate</w:t>
      </w:r>
      <w:r w:rsidR="00BF059B">
        <w:t xml:space="preserve"> </w:t>
      </w:r>
      <w:r>
        <w:t>in</w:t>
      </w:r>
      <w:r w:rsidR="00BF059B">
        <w:t xml:space="preserve"> </w:t>
      </w:r>
      <w:r>
        <w:t>the</w:t>
      </w:r>
      <w:r w:rsidR="00BF059B">
        <w:t xml:space="preserve"> </w:t>
      </w:r>
      <w:r>
        <w:t>winter.</w:t>
      </w:r>
      <w:r w:rsidR="00BF059B">
        <w:t xml:space="preserve"> </w:t>
      </w:r>
      <w:r>
        <w:t>We</w:t>
      </w:r>
      <w:r w:rsidR="00BF059B">
        <w:t xml:space="preserve"> </w:t>
      </w:r>
      <w:r>
        <w:t>continued</w:t>
      </w:r>
      <w:r w:rsidR="00BF059B">
        <w:t xml:space="preserve"> </w:t>
      </w:r>
      <w:r>
        <w:t>to</w:t>
      </w:r>
      <w:r w:rsidR="00BF059B">
        <w:t xml:space="preserve"> </w:t>
      </w:r>
      <w:r>
        <w:t>deliver</w:t>
      </w:r>
      <w:r w:rsidR="00BF059B">
        <w:t xml:space="preserve"> </w:t>
      </w:r>
      <w:r>
        <w:t>carbon</w:t>
      </w:r>
      <w:r w:rsidR="00BF059B">
        <w:t xml:space="preserve"> </w:t>
      </w:r>
      <w:r>
        <w:t>literacy</w:t>
      </w:r>
      <w:r w:rsidR="00BF059B">
        <w:t xml:space="preserve"> </w:t>
      </w:r>
      <w:r>
        <w:t>training</w:t>
      </w:r>
      <w:r w:rsidR="00BF059B">
        <w:t xml:space="preserve"> </w:t>
      </w:r>
      <w:r>
        <w:t>to</w:t>
      </w:r>
      <w:r w:rsidR="00BF059B">
        <w:t xml:space="preserve"> </w:t>
      </w:r>
      <w:r>
        <w:t>our</w:t>
      </w:r>
      <w:r w:rsidR="00BF059B">
        <w:t xml:space="preserve"> </w:t>
      </w:r>
      <w:r>
        <w:t>staff</w:t>
      </w:r>
      <w:r w:rsidR="00BF059B">
        <w:t xml:space="preserve"> </w:t>
      </w:r>
      <w:r>
        <w:t>and</w:t>
      </w:r>
      <w:r w:rsidR="00BF059B">
        <w:t xml:space="preserve"> </w:t>
      </w:r>
      <w:r>
        <w:t>volunteers</w:t>
      </w:r>
      <w:r w:rsidR="00BF059B">
        <w:t xml:space="preserve"> </w:t>
      </w:r>
      <w:r>
        <w:t>and</w:t>
      </w:r>
      <w:r w:rsidR="00BF059B">
        <w:t xml:space="preserve"> </w:t>
      </w:r>
      <w:r>
        <w:t>have</w:t>
      </w:r>
      <w:r w:rsidR="00BF059B">
        <w:t xml:space="preserve"> </w:t>
      </w:r>
      <w:r>
        <w:t>now</w:t>
      </w:r>
      <w:r w:rsidR="00BF059B">
        <w:t xml:space="preserve"> </w:t>
      </w:r>
      <w:r>
        <w:t>trained</w:t>
      </w:r>
      <w:r w:rsidR="00BF059B">
        <w:t xml:space="preserve"> </w:t>
      </w:r>
      <w:r>
        <w:t>over</w:t>
      </w:r>
      <w:r w:rsidR="00BF059B">
        <w:t xml:space="preserve"> </w:t>
      </w:r>
      <w:r>
        <w:t>200</w:t>
      </w:r>
      <w:r w:rsidR="00BF059B">
        <w:t xml:space="preserve"> </w:t>
      </w:r>
      <w:r>
        <w:t>people.</w:t>
      </w:r>
      <w:r w:rsidR="00BF059B">
        <w:t xml:space="preserve"> </w:t>
      </w:r>
    </w:p>
    <w:p w14:paraId="0254E287" w14:textId="77777777" w:rsidR="00BE13A8" w:rsidRDefault="00BE13A8">
      <w:pPr>
        <w:rPr>
          <w:i/>
          <w:color w:val="FF0000"/>
        </w:rPr>
      </w:pPr>
    </w:p>
    <w:tbl>
      <w:tblPr>
        <w:tblStyle w:val="1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nergy and waste tracking by year"/>
        <w:tblDescription w:val="Annual outputs for our utilities, waste and recycling levels"/>
      </w:tblPr>
      <w:tblGrid>
        <w:gridCol w:w="2972"/>
        <w:gridCol w:w="1985"/>
        <w:gridCol w:w="1417"/>
        <w:gridCol w:w="1559"/>
        <w:gridCol w:w="1701"/>
      </w:tblGrid>
      <w:tr w:rsidR="00BE13A8" w:rsidRPr="00F563F6" w14:paraId="57DF7008" w14:textId="77777777" w:rsidTr="00F563F6">
        <w:trPr>
          <w:tblHeader/>
        </w:trPr>
        <w:tc>
          <w:tcPr>
            <w:tcW w:w="2972" w:type="dxa"/>
          </w:tcPr>
          <w:p w14:paraId="0D831629" w14:textId="77777777" w:rsidR="00BE13A8" w:rsidRPr="00F563F6" w:rsidRDefault="00BE13A8">
            <w:pPr>
              <w:rPr>
                <w:rFonts w:ascii="Arial" w:hAnsi="Arial" w:cs="Arial"/>
                <w:sz w:val="24"/>
                <w:szCs w:val="24"/>
              </w:rPr>
            </w:pPr>
          </w:p>
          <w:p w14:paraId="78F5D073" w14:textId="77777777" w:rsidR="00BE13A8" w:rsidRPr="00F563F6" w:rsidRDefault="00BE13A8">
            <w:pPr>
              <w:rPr>
                <w:rFonts w:ascii="Arial" w:hAnsi="Arial" w:cs="Arial"/>
                <w:sz w:val="24"/>
                <w:szCs w:val="24"/>
              </w:rPr>
            </w:pPr>
          </w:p>
        </w:tc>
        <w:tc>
          <w:tcPr>
            <w:tcW w:w="1985" w:type="dxa"/>
          </w:tcPr>
          <w:p w14:paraId="094ACD68" w14:textId="77777777" w:rsidR="00BE13A8" w:rsidRPr="00F563F6" w:rsidRDefault="00D70530">
            <w:pPr>
              <w:jc w:val="right"/>
              <w:rPr>
                <w:rFonts w:ascii="Arial" w:hAnsi="Arial" w:cs="Arial"/>
                <w:sz w:val="24"/>
                <w:szCs w:val="24"/>
              </w:rPr>
            </w:pPr>
            <w:r w:rsidRPr="00F563F6">
              <w:rPr>
                <w:rFonts w:ascii="Arial" w:hAnsi="Arial" w:cs="Arial"/>
                <w:sz w:val="24"/>
                <w:szCs w:val="24"/>
              </w:rPr>
              <w:t>2024/25</w:t>
            </w:r>
          </w:p>
        </w:tc>
        <w:tc>
          <w:tcPr>
            <w:tcW w:w="1417" w:type="dxa"/>
          </w:tcPr>
          <w:p w14:paraId="15B6CB8D" w14:textId="77777777" w:rsidR="00BE13A8" w:rsidRPr="00F563F6" w:rsidRDefault="00D70530">
            <w:pPr>
              <w:jc w:val="right"/>
              <w:rPr>
                <w:rFonts w:ascii="Arial" w:hAnsi="Arial" w:cs="Arial"/>
                <w:sz w:val="24"/>
                <w:szCs w:val="24"/>
              </w:rPr>
            </w:pPr>
            <w:r w:rsidRPr="00F563F6">
              <w:rPr>
                <w:rFonts w:ascii="Arial" w:hAnsi="Arial" w:cs="Arial"/>
                <w:sz w:val="24"/>
                <w:szCs w:val="24"/>
              </w:rPr>
              <w:t>2023/24</w:t>
            </w:r>
          </w:p>
        </w:tc>
        <w:tc>
          <w:tcPr>
            <w:tcW w:w="1559" w:type="dxa"/>
          </w:tcPr>
          <w:p w14:paraId="20AB9F9D" w14:textId="77777777" w:rsidR="00BE13A8" w:rsidRPr="00F563F6" w:rsidRDefault="00D70530">
            <w:pPr>
              <w:jc w:val="right"/>
              <w:rPr>
                <w:rFonts w:ascii="Arial" w:hAnsi="Arial" w:cs="Arial"/>
                <w:sz w:val="24"/>
                <w:szCs w:val="24"/>
              </w:rPr>
            </w:pPr>
            <w:r w:rsidRPr="00F563F6">
              <w:rPr>
                <w:rFonts w:ascii="Arial" w:hAnsi="Arial" w:cs="Arial"/>
                <w:sz w:val="24"/>
                <w:szCs w:val="24"/>
              </w:rPr>
              <w:t>2022/23</w:t>
            </w:r>
          </w:p>
        </w:tc>
        <w:tc>
          <w:tcPr>
            <w:tcW w:w="1701" w:type="dxa"/>
          </w:tcPr>
          <w:p w14:paraId="73171722" w14:textId="77777777" w:rsidR="00BE13A8" w:rsidRPr="00F563F6" w:rsidRDefault="00D70530">
            <w:pPr>
              <w:jc w:val="right"/>
              <w:rPr>
                <w:rFonts w:ascii="Arial" w:hAnsi="Arial" w:cs="Arial"/>
                <w:sz w:val="24"/>
                <w:szCs w:val="24"/>
              </w:rPr>
            </w:pPr>
            <w:r w:rsidRPr="00F563F6">
              <w:rPr>
                <w:rFonts w:ascii="Arial" w:hAnsi="Arial" w:cs="Arial"/>
                <w:sz w:val="24"/>
                <w:szCs w:val="24"/>
              </w:rPr>
              <w:t>2021/22</w:t>
            </w:r>
          </w:p>
        </w:tc>
      </w:tr>
      <w:tr w:rsidR="00BE13A8" w:rsidRPr="00F563F6" w14:paraId="410CBAAB" w14:textId="77777777" w:rsidTr="00F563F6">
        <w:trPr>
          <w:tblHeader/>
        </w:trPr>
        <w:tc>
          <w:tcPr>
            <w:tcW w:w="2972" w:type="dxa"/>
          </w:tcPr>
          <w:p w14:paraId="31D9C656" w14:textId="59B2B871" w:rsidR="00BE13A8" w:rsidRPr="00F563F6" w:rsidRDefault="00D70530">
            <w:pPr>
              <w:rPr>
                <w:rFonts w:ascii="Arial" w:hAnsi="Arial" w:cs="Arial"/>
                <w:sz w:val="24"/>
                <w:szCs w:val="24"/>
              </w:rPr>
            </w:pPr>
            <w:r w:rsidRPr="00F563F6">
              <w:rPr>
                <w:rFonts w:ascii="Arial" w:hAnsi="Arial" w:cs="Arial"/>
                <w:sz w:val="24"/>
                <w:szCs w:val="24"/>
              </w:rPr>
              <w:t>Electricity</w:t>
            </w:r>
            <w:r w:rsidR="00BF059B" w:rsidRPr="00F563F6">
              <w:rPr>
                <w:rFonts w:ascii="Arial" w:hAnsi="Arial" w:cs="Arial"/>
                <w:sz w:val="24"/>
                <w:szCs w:val="24"/>
              </w:rPr>
              <w:t xml:space="preserve"> </w:t>
            </w:r>
            <w:proofErr w:type="spellStart"/>
            <w:r w:rsidRPr="00F563F6">
              <w:rPr>
                <w:rFonts w:ascii="Arial" w:hAnsi="Arial" w:cs="Arial"/>
                <w:sz w:val="24"/>
                <w:szCs w:val="24"/>
              </w:rPr>
              <w:t>Kwh</w:t>
            </w:r>
            <w:proofErr w:type="spellEnd"/>
          </w:p>
          <w:p w14:paraId="0A9AAC82" w14:textId="77777777" w:rsidR="00BE13A8" w:rsidRPr="00F563F6" w:rsidRDefault="00BE13A8">
            <w:pPr>
              <w:rPr>
                <w:rFonts w:ascii="Arial" w:hAnsi="Arial" w:cs="Arial"/>
                <w:sz w:val="24"/>
                <w:szCs w:val="24"/>
              </w:rPr>
            </w:pPr>
          </w:p>
        </w:tc>
        <w:tc>
          <w:tcPr>
            <w:tcW w:w="1985" w:type="dxa"/>
            <w:tcBorders>
              <w:top w:val="nil"/>
              <w:left w:val="nil"/>
              <w:bottom w:val="single" w:sz="8" w:space="0" w:color="000000"/>
              <w:right w:val="single" w:sz="8" w:space="0" w:color="000000"/>
            </w:tcBorders>
            <w:vAlign w:val="center"/>
          </w:tcPr>
          <w:p w14:paraId="6AD8B3D7" w14:textId="77777777" w:rsidR="00BE13A8" w:rsidRPr="00F563F6" w:rsidRDefault="00D70530">
            <w:pPr>
              <w:jc w:val="right"/>
              <w:rPr>
                <w:rFonts w:ascii="Arial" w:hAnsi="Arial" w:cs="Arial"/>
                <w:sz w:val="24"/>
                <w:szCs w:val="24"/>
              </w:rPr>
            </w:pPr>
            <w:r w:rsidRPr="00F563F6">
              <w:rPr>
                <w:rFonts w:ascii="Arial" w:hAnsi="Arial" w:cs="Arial"/>
                <w:sz w:val="24"/>
                <w:szCs w:val="24"/>
              </w:rPr>
              <w:t>1,193,195</w:t>
            </w:r>
          </w:p>
        </w:tc>
        <w:tc>
          <w:tcPr>
            <w:tcW w:w="1417" w:type="dxa"/>
            <w:tcBorders>
              <w:top w:val="single" w:sz="8" w:space="0" w:color="000000"/>
              <w:left w:val="single" w:sz="8" w:space="0" w:color="000000"/>
              <w:bottom w:val="single" w:sz="8" w:space="0" w:color="000000"/>
              <w:right w:val="single" w:sz="8" w:space="0" w:color="000000"/>
            </w:tcBorders>
            <w:vAlign w:val="center"/>
          </w:tcPr>
          <w:p w14:paraId="16783D4A" w14:textId="77777777" w:rsidR="00BE13A8" w:rsidRPr="00F563F6" w:rsidRDefault="00D70530">
            <w:pPr>
              <w:jc w:val="right"/>
              <w:rPr>
                <w:rFonts w:ascii="Arial" w:hAnsi="Arial" w:cs="Arial"/>
                <w:sz w:val="24"/>
                <w:szCs w:val="24"/>
              </w:rPr>
            </w:pPr>
            <w:r w:rsidRPr="00F563F6">
              <w:rPr>
                <w:rFonts w:ascii="Arial" w:hAnsi="Arial" w:cs="Arial"/>
                <w:sz w:val="24"/>
                <w:szCs w:val="24"/>
              </w:rPr>
              <w:t>1,304,201</w:t>
            </w:r>
          </w:p>
        </w:tc>
        <w:tc>
          <w:tcPr>
            <w:tcW w:w="1559" w:type="dxa"/>
            <w:tcBorders>
              <w:top w:val="nil"/>
              <w:left w:val="nil"/>
              <w:bottom w:val="single" w:sz="8" w:space="0" w:color="000000"/>
              <w:right w:val="single" w:sz="8" w:space="0" w:color="000000"/>
            </w:tcBorders>
            <w:vAlign w:val="center"/>
          </w:tcPr>
          <w:p w14:paraId="1DD3EEDE" w14:textId="77777777" w:rsidR="00BE13A8" w:rsidRPr="00F563F6" w:rsidRDefault="00D70530">
            <w:pPr>
              <w:jc w:val="right"/>
              <w:rPr>
                <w:rFonts w:ascii="Arial" w:hAnsi="Arial" w:cs="Arial"/>
                <w:sz w:val="24"/>
                <w:szCs w:val="24"/>
              </w:rPr>
            </w:pPr>
            <w:r w:rsidRPr="00F563F6">
              <w:rPr>
                <w:rFonts w:ascii="Arial" w:hAnsi="Arial" w:cs="Arial"/>
                <w:sz w:val="24"/>
                <w:szCs w:val="24"/>
              </w:rPr>
              <w:t>1,219,102</w:t>
            </w:r>
          </w:p>
        </w:tc>
        <w:tc>
          <w:tcPr>
            <w:tcW w:w="1701" w:type="dxa"/>
            <w:tcBorders>
              <w:top w:val="nil"/>
              <w:left w:val="nil"/>
              <w:bottom w:val="single" w:sz="8" w:space="0" w:color="000000"/>
              <w:right w:val="single" w:sz="8" w:space="0" w:color="000000"/>
            </w:tcBorders>
            <w:vAlign w:val="center"/>
          </w:tcPr>
          <w:p w14:paraId="667F69DA" w14:textId="77777777" w:rsidR="00BE13A8" w:rsidRPr="00F563F6" w:rsidRDefault="00D70530">
            <w:pPr>
              <w:jc w:val="right"/>
              <w:rPr>
                <w:rFonts w:ascii="Arial" w:hAnsi="Arial" w:cs="Arial"/>
                <w:sz w:val="24"/>
                <w:szCs w:val="24"/>
              </w:rPr>
            </w:pPr>
            <w:r w:rsidRPr="00F563F6">
              <w:rPr>
                <w:rFonts w:ascii="Arial" w:hAnsi="Arial" w:cs="Arial"/>
                <w:sz w:val="24"/>
                <w:szCs w:val="24"/>
              </w:rPr>
              <w:t>1,187,472</w:t>
            </w:r>
          </w:p>
        </w:tc>
      </w:tr>
      <w:tr w:rsidR="00BE13A8" w:rsidRPr="00F563F6" w14:paraId="1A69E65F" w14:textId="77777777" w:rsidTr="00F563F6">
        <w:trPr>
          <w:tblHeader/>
        </w:trPr>
        <w:tc>
          <w:tcPr>
            <w:tcW w:w="2972" w:type="dxa"/>
          </w:tcPr>
          <w:p w14:paraId="2062103C" w14:textId="0C394A32" w:rsidR="00BE13A8" w:rsidRPr="00F563F6" w:rsidRDefault="00D70530">
            <w:pPr>
              <w:rPr>
                <w:rFonts w:ascii="Arial" w:hAnsi="Arial" w:cs="Arial"/>
                <w:sz w:val="24"/>
                <w:szCs w:val="24"/>
              </w:rPr>
            </w:pPr>
            <w:r w:rsidRPr="00F563F6">
              <w:rPr>
                <w:rFonts w:ascii="Arial" w:hAnsi="Arial" w:cs="Arial"/>
                <w:sz w:val="24"/>
                <w:szCs w:val="24"/>
              </w:rPr>
              <w:t>Gas</w:t>
            </w:r>
            <w:r w:rsidR="00BF059B" w:rsidRPr="00F563F6">
              <w:rPr>
                <w:rFonts w:ascii="Arial" w:hAnsi="Arial" w:cs="Arial"/>
                <w:sz w:val="24"/>
                <w:szCs w:val="24"/>
              </w:rPr>
              <w:t xml:space="preserve"> </w:t>
            </w:r>
            <w:proofErr w:type="spellStart"/>
            <w:r w:rsidRPr="00F563F6">
              <w:rPr>
                <w:rFonts w:ascii="Arial" w:hAnsi="Arial" w:cs="Arial"/>
                <w:sz w:val="24"/>
                <w:szCs w:val="24"/>
              </w:rPr>
              <w:t>Kwh</w:t>
            </w:r>
            <w:proofErr w:type="spellEnd"/>
          </w:p>
          <w:p w14:paraId="6D1586AA" w14:textId="77777777" w:rsidR="00BE13A8" w:rsidRPr="00F563F6" w:rsidRDefault="00BE13A8">
            <w:pPr>
              <w:rPr>
                <w:rFonts w:ascii="Arial" w:hAnsi="Arial" w:cs="Arial"/>
                <w:sz w:val="24"/>
                <w:szCs w:val="24"/>
              </w:rPr>
            </w:pPr>
          </w:p>
        </w:tc>
        <w:tc>
          <w:tcPr>
            <w:tcW w:w="1985" w:type="dxa"/>
            <w:tcBorders>
              <w:top w:val="nil"/>
              <w:left w:val="nil"/>
              <w:bottom w:val="single" w:sz="8" w:space="0" w:color="000000"/>
              <w:right w:val="single" w:sz="8" w:space="0" w:color="000000"/>
            </w:tcBorders>
            <w:vAlign w:val="center"/>
          </w:tcPr>
          <w:p w14:paraId="6DDC22CA" w14:textId="77777777" w:rsidR="00BE13A8" w:rsidRPr="00F563F6" w:rsidRDefault="00D70530">
            <w:pPr>
              <w:jc w:val="right"/>
              <w:rPr>
                <w:rFonts w:ascii="Arial" w:hAnsi="Arial" w:cs="Arial"/>
                <w:sz w:val="24"/>
                <w:szCs w:val="24"/>
              </w:rPr>
            </w:pPr>
            <w:r w:rsidRPr="00F563F6">
              <w:rPr>
                <w:rFonts w:ascii="Arial" w:hAnsi="Arial" w:cs="Arial"/>
                <w:sz w:val="24"/>
                <w:szCs w:val="24"/>
              </w:rPr>
              <w:t>1,303,468</w:t>
            </w:r>
          </w:p>
        </w:tc>
        <w:tc>
          <w:tcPr>
            <w:tcW w:w="1417" w:type="dxa"/>
            <w:tcBorders>
              <w:top w:val="nil"/>
              <w:left w:val="single" w:sz="8" w:space="0" w:color="000000"/>
              <w:bottom w:val="single" w:sz="8" w:space="0" w:color="000000"/>
              <w:right w:val="single" w:sz="8" w:space="0" w:color="000000"/>
            </w:tcBorders>
            <w:vAlign w:val="center"/>
          </w:tcPr>
          <w:p w14:paraId="312F831D" w14:textId="77777777" w:rsidR="00BE13A8" w:rsidRPr="00F563F6" w:rsidRDefault="00D70530">
            <w:pPr>
              <w:jc w:val="right"/>
              <w:rPr>
                <w:rFonts w:ascii="Arial" w:hAnsi="Arial" w:cs="Arial"/>
                <w:sz w:val="24"/>
                <w:szCs w:val="24"/>
              </w:rPr>
            </w:pPr>
            <w:r w:rsidRPr="00F563F6">
              <w:rPr>
                <w:rFonts w:ascii="Arial" w:hAnsi="Arial" w:cs="Arial"/>
                <w:sz w:val="24"/>
                <w:szCs w:val="24"/>
              </w:rPr>
              <w:t>1,224,275</w:t>
            </w:r>
          </w:p>
        </w:tc>
        <w:tc>
          <w:tcPr>
            <w:tcW w:w="1559" w:type="dxa"/>
            <w:tcBorders>
              <w:top w:val="nil"/>
              <w:left w:val="nil"/>
              <w:bottom w:val="single" w:sz="8" w:space="0" w:color="000000"/>
              <w:right w:val="single" w:sz="8" w:space="0" w:color="000000"/>
            </w:tcBorders>
            <w:vAlign w:val="center"/>
          </w:tcPr>
          <w:p w14:paraId="06C5C063" w14:textId="77777777" w:rsidR="00BE13A8" w:rsidRPr="00F563F6" w:rsidRDefault="00D70530">
            <w:pPr>
              <w:jc w:val="right"/>
              <w:rPr>
                <w:rFonts w:ascii="Arial" w:hAnsi="Arial" w:cs="Arial"/>
                <w:sz w:val="24"/>
                <w:szCs w:val="24"/>
              </w:rPr>
            </w:pPr>
            <w:r w:rsidRPr="00F563F6">
              <w:rPr>
                <w:rFonts w:ascii="Arial" w:hAnsi="Arial" w:cs="Arial"/>
                <w:sz w:val="24"/>
                <w:szCs w:val="24"/>
              </w:rPr>
              <w:t>1,297,378</w:t>
            </w:r>
          </w:p>
        </w:tc>
        <w:tc>
          <w:tcPr>
            <w:tcW w:w="1701" w:type="dxa"/>
            <w:tcBorders>
              <w:top w:val="nil"/>
              <w:left w:val="nil"/>
              <w:bottom w:val="single" w:sz="8" w:space="0" w:color="000000"/>
              <w:right w:val="single" w:sz="8" w:space="0" w:color="000000"/>
            </w:tcBorders>
            <w:vAlign w:val="center"/>
          </w:tcPr>
          <w:p w14:paraId="6B724910" w14:textId="77777777" w:rsidR="00BE13A8" w:rsidRPr="00F563F6" w:rsidRDefault="00D70530">
            <w:pPr>
              <w:jc w:val="right"/>
              <w:rPr>
                <w:rFonts w:ascii="Arial" w:hAnsi="Arial" w:cs="Arial"/>
                <w:sz w:val="24"/>
                <w:szCs w:val="24"/>
              </w:rPr>
            </w:pPr>
            <w:r w:rsidRPr="00F563F6">
              <w:rPr>
                <w:rFonts w:ascii="Arial" w:hAnsi="Arial" w:cs="Arial"/>
                <w:sz w:val="24"/>
                <w:szCs w:val="24"/>
              </w:rPr>
              <w:t>1,080,059</w:t>
            </w:r>
          </w:p>
        </w:tc>
      </w:tr>
      <w:tr w:rsidR="00BE13A8" w:rsidRPr="00F563F6" w14:paraId="2AC19F9A" w14:textId="77777777" w:rsidTr="00F563F6">
        <w:trPr>
          <w:trHeight w:val="578"/>
          <w:tblHeader/>
        </w:trPr>
        <w:tc>
          <w:tcPr>
            <w:tcW w:w="2972" w:type="dxa"/>
          </w:tcPr>
          <w:p w14:paraId="6BB79237" w14:textId="77777777" w:rsidR="00BE13A8" w:rsidRPr="00F563F6" w:rsidRDefault="00D70530">
            <w:pPr>
              <w:rPr>
                <w:rFonts w:ascii="Arial" w:hAnsi="Arial" w:cs="Arial"/>
                <w:sz w:val="24"/>
                <w:szCs w:val="24"/>
              </w:rPr>
            </w:pPr>
            <w:r w:rsidRPr="00F563F6">
              <w:rPr>
                <w:rFonts w:ascii="Arial" w:hAnsi="Arial" w:cs="Arial"/>
                <w:sz w:val="24"/>
                <w:szCs w:val="24"/>
              </w:rPr>
              <w:t>Water**</w:t>
            </w:r>
          </w:p>
          <w:p w14:paraId="7C7141A9" w14:textId="0C865EEF" w:rsidR="00BE13A8" w:rsidRPr="00F563F6" w:rsidRDefault="00D70530">
            <w:pPr>
              <w:rPr>
                <w:rFonts w:ascii="Arial" w:hAnsi="Arial" w:cs="Arial"/>
                <w:sz w:val="24"/>
                <w:szCs w:val="24"/>
              </w:rPr>
            </w:pPr>
            <w:r w:rsidRPr="00F563F6">
              <w:rPr>
                <w:rFonts w:ascii="Arial" w:hAnsi="Arial" w:cs="Arial"/>
                <w:sz w:val="24"/>
                <w:szCs w:val="24"/>
              </w:rPr>
              <w:t>(cubic</w:t>
            </w:r>
            <w:r w:rsidR="00BF059B" w:rsidRPr="00F563F6">
              <w:rPr>
                <w:rFonts w:ascii="Arial" w:hAnsi="Arial" w:cs="Arial"/>
                <w:sz w:val="24"/>
                <w:szCs w:val="24"/>
              </w:rPr>
              <w:t xml:space="preserve"> </w:t>
            </w:r>
            <w:r w:rsidRPr="00F563F6">
              <w:rPr>
                <w:rFonts w:ascii="Arial" w:hAnsi="Arial" w:cs="Arial"/>
                <w:sz w:val="24"/>
                <w:szCs w:val="24"/>
              </w:rPr>
              <w:t>meters)</w:t>
            </w:r>
          </w:p>
        </w:tc>
        <w:tc>
          <w:tcPr>
            <w:tcW w:w="1985" w:type="dxa"/>
            <w:tcBorders>
              <w:top w:val="nil"/>
              <w:left w:val="nil"/>
              <w:bottom w:val="single" w:sz="8" w:space="0" w:color="000000"/>
              <w:right w:val="single" w:sz="8" w:space="0" w:color="000000"/>
            </w:tcBorders>
            <w:vAlign w:val="center"/>
          </w:tcPr>
          <w:p w14:paraId="1FF0F000" w14:textId="77777777" w:rsidR="00BE13A8" w:rsidRPr="00F563F6" w:rsidRDefault="00D70530">
            <w:pPr>
              <w:jc w:val="right"/>
              <w:rPr>
                <w:rFonts w:ascii="Arial" w:hAnsi="Arial" w:cs="Arial"/>
                <w:sz w:val="24"/>
                <w:szCs w:val="24"/>
              </w:rPr>
            </w:pPr>
            <w:r w:rsidRPr="00F563F6">
              <w:rPr>
                <w:rFonts w:ascii="Arial" w:hAnsi="Arial" w:cs="Arial"/>
                <w:sz w:val="24"/>
                <w:szCs w:val="24"/>
              </w:rPr>
              <w:t>9,622</w:t>
            </w:r>
          </w:p>
        </w:tc>
        <w:tc>
          <w:tcPr>
            <w:tcW w:w="1417" w:type="dxa"/>
            <w:tcBorders>
              <w:top w:val="nil"/>
              <w:left w:val="nil"/>
              <w:bottom w:val="single" w:sz="8" w:space="0" w:color="000000"/>
              <w:right w:val="single" w:sz="8" w:space="0" w:color="000000"/>
            </w:tcBorders>
            <w:vAlign w:val="center"/>
          </w:tcPr>
          <w:p w14:paraId="7933F05C" w14:textId="77777777" w:rsidR="00BE13A8" w:rsidRPr="00F563F6" w:rsidRDefault="00D70530">
            <w:pPr>
              <w:jc w:val="right"/>
              <w:rPr>
                <w:rFonts w:ascii="Arial" w:hAnsi="Arial" w:cs="Arial"/>
                <w:sz w:val="24"/>
                <w:szCs w:val="24"/>
              </w:rPr>
            </w:pPr>
            <w:r w:rsidRPr="00F563F6">
              <w:rPr>
                <w:rFonts w:ascii="Arial" w:hAnsi="Arial" w:cs="Arial"/>
                <w:sz w:val="24"/>
                <w:szCs w:val="24"/>
              </w:rPr>
              <w:t>8,305</w:t>
            </w:r>
          </w:p>
        </w:tc>
        <w:tc>
          <w:tcPr>
            <w:tcW w:w="1559" w:type="dxa"/>
            <w:tcBorders>
              <w:top w:val="nil"/>
              <w:left w:val="nil"/>
              <w:bottom w:val="single" w:sz="8" w:space="0" w:color="000000"/>
              <w:right w:val="single" w:sz="8" w:space="0" w:color="000000"/>
            </w:tcBorders>
            <w:vAlign w:val="center"/>
          </w:tcPr>
          <w:p w14:paraId="5898FABF" w14:textId="77777777" w:rsidR="00BE13A8" w:rsidRPr="00F563F6" w:rsidRDefault="00D70530">
            <w:pPr>
              <w:jc w:val="right"/>
              <w:rPr>
                <w:rFonts w:ascii="Arial" w:hAnsi="Arial" w:cs="Arial"/>
                <w:sz w:val="24"/>
                <w:szCs w:val="24"/>
              </w:rPr>
            </w:pPr>
            <w:r w:rsidRPr="00F563F6">
              <w:rPr>
                <w:rFonts w:ascii="Arial" w:hAnsi="Arial" w:cs="Arial"/>
                <w:sz w:val="24"/>
                <w:szCs w:val="24"/>
              </w:rPr>
              <w:t>9,418</w:t>
            </w:r>
          </w:p>
        </w:tc>
        <w:tc>
          <w:tcPr>
            <w:tcW w:w="1701" w:type="dxa"/>
            <w:tcBorders>
              <w:top w:val="nil"/>
              <w:left w:val="nil"/>
              <w:bottom w:val="single" w:sz="8" w:space="0" w:color="000000"/>
              <w:right w:val="single" w:sz="8" w:space="0" w:color="000000"/>
            </w:tcBorders>
            <w:vAlign w:val="center"/>
          </w:tcPr>
          <w:p w14:paraId="7FD85F01" w14:textId="77777777" w:rsidR="00BE13A8" w:rsidRPr="00F563F6" w:rsidRDefault="00D70530">
            <w:pPr>
              <w:jc w:val="right"/>
              <w:rPr>
                <w:rFonts w:ascii="Arial" w:hAnsi="Arial" w:cs="Arial"/>
                <w:sz w:val="24"/>
                <w:szCs w:val="24"/>
              </w:rPr>
            </w:pPr>
            <w:r w:rsidRPr="00F563F6">
              <w:rPr>
                <w:rFonts w:ascii="Arial" w:hAnsi="Arial" w:cs="Arial"/>
                <w:sz w:val="24"/>
                <w:szCs w:val="24"/>
              </w:rPr>
              <w:t>6,373</w:t>
            </w:r>
          </w:p>
        </w:tc>
      </w:tr>
      <w:tr w:rsidR="00BE13A8" w:rsidRPr="00F563F6" w14:paraId="1AF7CF0B" w14:textId="77777777" w:rsidTr="00F563F6">
        <w:trPr>
          <w:tblHeader/>
        </w:trPr>
        <w:tc>
          <w:tcPr>
            <w:tcW w:w="2972" w:type="dxa"/>
          </w:tcPr>
          <w:p w14:paraId="6114A2B2" w14:textId="75D77F31" w:rsidR="00BE13A8" w:rsidRPr="00F563F6" w:rsidRDefault="00D70530">
            <w:pPr>
              <w:rPr>
                <w:rFonts w:ascii="Arial" w:hAnsi="Arial" w:cs="Arial"/>
                <w:sz w:val="24"/>
                <w:szCs w:val="24"/>
              </w:rPr>
            </w:pPr>
            <w:r w:rsidRPr="00F563F6">
              <w:rPr>
                <w:rFonts w:ascii="Arial" w:hAnsi="Arial" w:cs="Arial"/>
                <w:sz w:val="24"/>
                <w:szCs w:val="24"/>
              </w:rPr>
              <w:t>Total</w:t>
            </w:r>
            <w:r w:rsidR="00BF059B" w:rsidRPr="00F563F6">
              <w:rPr>
                <w:rFonts w:ascii="Arial" w:hAnsi="Arial" w:cs="Arial"/>
                <w:sz w:val="24"/>
                <w:szCs w:val="24"/>
              </w:rPr>
              <w:t xml:space="preserve"> </w:t>
            </w:r>
            <w:r w:rsidRPr="00F563F6">
              <w:rPr>
                <w:rFonts w:ascii="Arial" w:hAnsi="Arial" w:cs="Arial"/>
                <w:sz w:val="24"/>
                <w:szCs w:val="24"/>
              </w:rPr>
              <w:t>waste</w:t>
            </w:r>
            <w:r w:rsidR="00BF059B" w:rsidRPr="00F563F6">
              <w:rPr>
                <w:rFonts w:ascii="Arial" w:hAnsi="Arial" w:cs="Arial"/>
                <w:sz w:val="24"/>
                <w:szCs w:val="24"/>
              </w:rPr>
              <w:t xml:space="preserve"> </w:t>
            </w:r>
            <w:r w:rsidRPr="00F563F6">
              <w:rPr>
                <w:rFonts w:ascii="Arial" w:hAnsi="Arial" w:cs="Arial"/>
                <w:sz w:val="24"/>
                <w:szCs w:val="24"/>
              </w:rPr>
              <w:t>Tonnes</w:t>
            </w:r>
          </w:p>
          <w:p w14:paraId="6FB27901" w14:textId="77777777" w:rsidR="00BE13A8" w:rsidRPr="00F563F6" w:rsidRDefault="00BE13A8">
            <w:pPr>
              <w:rPr>
                <w:rFonts w:ascii="Arial" w:hAnsi="Arial" w:cs="Arial"/>
                <w:sz w:val="24"/>
                <w:szCs w:val="24"/>
              </w:rPr>
            </w:pPr>
          </w:p>
        </w:tc>
        <w:tc>
          <w:tcPr>
            <w:tcW w:w="1985" w:type="dxa"/>
            <w:tcBorders>
              <w:top w:val="nil"/>
              <w:left w:val="nil"/>
              <w:bottom w:val="single" w:sz="8" w:space="0" w:color="000000"/>
              <w:right w:val="single" w:sz="8" w:space="0" w:color="000000"/>
            </w:tcBorders>
            <w:vAlign w:val="center"/>
          </w:tcPr>
          <w:p w14:paraId="2CD8FC3F" w14:textId="77777777" w:rsidR="00BE13A8" w:rsidRPr="00F563F6" w:rsidRDefault="00D70530">
            <w:pPr>
              <w:jc w:val="right"/>
              <w:rPr>
                <w:rFonts w:ascii="Arial" w:hAnsi="Arial" w:cs="Arial"/>
                <w:sz w:val="24"/>
                <w:szCs w:val="24"/>
              </w:rPr>
            </w:pPr>
            <w:r w:rsidRPr="00F563F6">
              <w:rPr>
                <w:rFonts w:ascii="Arial" w:hAnsi="Arial" w:cs="Arial"/>
                <w:sz w:val="24"/>
                <w:szCs w:val="24"/>
              </w:rPr>
              <w:t>67.9</w:t>
            </w:r>
          </w:p>
        </w:tc>
        <w:tc>
          <w:tcPr>
            <w:tcW w:w="1417" w:type="dxa"/>
            <w:tcBorders>
              <w:top w:val="nil"/>
              <w:left w:val="nil"/>
              <w:bottom w:val="single" w:sz="8" w:space="0" w:color="000000"/>
              <w:right w:val="single" w:sz="8" w:space="0" w:color="000000"/>
            </w:tcBorders>
            <w:vAlign w:val="center"/>
          </w:tcPr>
          <w:p w14:paraId="1B51D17C" w14:textId="77777777" w:rsidR="00BE13A8" w:rsidRPr="00F563F6" w:rsidRDefault="00D70530">
            <w:pPr>
              <w:jc w:val="right"/>
              <w:rPr>
                <w:rFonts w:ascii="Arial" w:hAnsi="Arial" w:cs="Arial"/>
                <w:sz w:val="24"/>
                <w:szCs w:val="24"/>
              </w:rPr>
            </w:pPr>
            <w:r w:rsidRPr="00F563F6">
              <w:rPr>
                <w:rFonts w:ascii="Arial" w:hAnsi="Arial" w:cs="Arial"/>
                <w:sz w:val="24"/>
                <w:szCs w:val="24"/>
              </w:rPr>
              <w:t>80.0</w:t>
            </w:r>
          </w:p>
        </w:tc>
        <w:tc>
          <w:tcPr>
            <w:tcW w:w="1559" w:type="dxa"/>
            <w:tcBorders>
              <w:top w:val="nil"/>
              <w:left w:val="nil"/>
              <w:bottom w:val="single" w:sz="8" w:space="0" w:color="000000"/>
              <w:right w:val="single" w:sz="8" w:space="0" w:color="000000"/>
            </w:tcBorders>
            <w:vAlign w:val="center"/>
          </w:tcPr>
          <w:p w14:paraId="2CDE384C" w14:textId="77777777" w:rsidR="00BE13A8" w:rsidRPr="00F563F6" w:rsidRDefault="00D70530">
            <w:pPr>
              <w:jc w:val="right"/>
              <w:rPr>
                <w:rFonts w:ascii="Arial" w:hAnsi="Arial" w:cs="Arial"/>
                <w:sz w:val="24"/>
                <w:szCs w:val="24"/>
              </w:rPr>
            </w:pPr>
            <w:r w:rsidRPr="00F563F6">
              <w:rPr>
                <w:rFonts w:ascii="Arial" w:hAnsi="Arial" w:cs="Arial"/>
                <w:sz w:val="24"/>
                <w:szCs w:val="24"/>
              </w:rPr>
              <w:t>73.0</w:t>
            </w:r>
          </w:p>
        </w:tc>
        <w:tc>
          <w:tcPr>
            <w:tcW w:w="1701" w:type="dxa"/>
            <w:tcBorders>
              <w:top w:val="nil"/>
              <w:left w:val="nil"/>
              <w:bottom w:val="single" w:sz="8" w:space="0" w:color="000000"/>
              <w:right w:val="single" w:sz="8" w:space="0" w:color="000000"/>
            </w:tcBorders>
            <w:vAlign w:val="center"/>
          </w:tcPr>
          <w:p w14:paraId="64228291" w14:textId="77777777" w:rsidR="00BE13A8" w:rsidRPr="00F563F6" w:rsidRDefault="00D70530">
            <w:pPr>
              <w:jc w:val="right"/>
              <w:rPr>
                <w:rFonts w:ascii="Arial" w:hAnsi="Arial" w:cs="Arial"/>
                <w:sz w:val="24"/>
                <w:szCs w:val="24"/>
              </w:rPr>
            </w:pPr>
            <w:r w:rsidRPr="00F563F6">
              <w:rPr>
                <w:rFonts w:ascii="Arial" w:hAnsi="Arial" w:cs="Arial"/>
                <w:sz w:val="24"/>
                <w:szCs w:val="24"/>
              </w:rPr>
              <w:t>100.2</w:t>
            </w:r>
          </w:p>
        </w:tc>
      </w:tr>
      <w:tr w:rsidR="00BE13A8" w:rsidRPr="00F563F6" w14:paraId="58FC4859" w14:textId="77777777" w:rsidTr="00F563F6">
        <w:trPr>
          <w:tblHeader/>
        </w:trPr>
        <w:tc>
          <w:tcPr>
            <w:tcW w:w="2972" w:type="dxa"/>
            <w:tcBorders>
              <w:bottom w:val="single" w:sz="4" w:space="0" w:color="000000"/>
            </w:tcBorders>
          </w:tcPr>
          <w:p w14:paraId="2FCE8EB9" w14:textId="07AC90BA" w:rsidR="00BE13A8" w:rsidRPr="00F563F6" w:rsidRDefault="00D70530">
            <w:pPr>
              <w:rPr>
                <w:rFonts w:ascii="Arial" w:hAnsi="Arial" w:cs="Arial"/>
                <w:sz w:val="24"/>
                <w:szCs w:val="24"/>
              </w:rPr>
            </w:pPr>
            <w:r w:rsidRPr="00F563F6">
              <w:rPr>
                <w:rFonts w:ascii="Arial" w:hAnsi="Arial" w:cs="Arial"/>
                <w:sz w:val="24"/>
                <w:szCs w:val="24"/>
              </w:rPr>
              <w:t>Recycled</w:t>
            </w:r>
            <w:r w:rsidR="00BF059B" w:rsidRPr="00F563F6">
              <w:rPr>
                <w:rFonts w:ascii="Arial" w:hAnsi="Arial" w:cs="Arial"/>
                <w:sz w:val="24"/>
                <w:szCs w:val="24"/>
              </w:rPr>
              <w:t xml:space="preserve"> </w:t>
            </w:r>
            <w:r w:rsidRPr="00F563F6">
              <w:rPr>
                <w:rFonts w:ascii="Arial" w:hAnsi="Arial" w:cs="Arial"/>
                <w:sz w:val="24"/>
                <w:szCs w:val="24"/>
              </w:rPr>
              <w:t>waste</w:t>
            </w:r>
            <w:r w:rsidR="00BF059B" w:rsidRPr="00F563F6">
              <w:rPr>
                <w:rFonts w:ascii="Arial" w:hAnsi="Arial" w:cs="Arial"/>
                <w:sz w:val="24"/>
                <w:szCs w:val="24"/>
              </w:rPr>
              <w:t xml:space="preserve"> </w:t>
            </w:r>
            <w:r w:rsidRPr="00F563F6">
              <w:rPr>
                <w:rFonts w:ascii="Arial" w:hAnsi="Arial" w:cs="Arial"/>
                <w:sz w:val="24"/>
                <w:szCs w:val="24"/>
              </w:rPr>
              <w:t>Tonnes</w:t>
            </w:r>
          </w:p>
          <w:p w14:paraId="22460BC0" w14:textId="77777777" w:rsidR="00BE13A8" w:rsidRPr="00F563F6" w:rsidRDefault="00BE13A8">
            <w:pPr>
              <w:rPr>
                <w:rFonts w:ascii="Arial" w:hAnsi="Arial" w:cs="Arial"/>
                <w:sz w:val="24"/>
                <w:szCs w:val="24"/>
              </w:rPr>
            </w:pPr>
          </w:p>
        </w:tc>
        <w:tc>
          <w:tcPr>
            <w:tcW w:w="1985" w:type="dxa"/>
            <w:tcBorders>
              <w:top w:val="nil"/>
              <w:left w:val="nil"/>
              <w:bottom w:val="single" w:sz="8" w:space="0" w:color="000000"/>
              <w:right w:val="single" w:sz="8" w:space="0" w:color="000000"/>
            </w:tcBorders>
            <w:vAlign w:val="center"/>
          </w:tcPr>
          <w:p w14:paraId="743D9598" w14:textId="77777777" w:rsidR="00BE13A8" w:rsidRPr="00F563F6" w:rsidRDefault="00D70530">
            <w:pPr>
              <w:jc w:val="right"/>
              <w:rPr>
                <w:rFonts w:ascii="Arial" w:hAnsi="Arial" w:cs="Arial"/>
                <w:sz w:val="24"/>
                <w:szCs w:val="24"/>
              </w:rPr>
            </w:pPr>
            <w:r w:rsidRPr="00F563F6">
              <w:rPr>
                <w:rFonts w:ascii="Arial" w:hAnsi="Arial" w:cs="Arial"/>
                <w:sz w:val="24"/>
                <w:szCs w:val="24"/>
              </w:rPr>
              <w:t>31.9</w:t>
            </w:r>
          </w:p>
        </w:tc>
        <w:tc>
          <w:tcPr>
            <w:tcW w:w="1417" w:type="dxa"/>
            <w:tcBorders>
              <w:top w:val="nil"/>
              <w:left w:val="nil"/>
              <w:bottom w:val="single" w:sz="4" w:space="0" w:color="000000"/>
              <w:right w:val="single" w:sz="8" w:space="0" w:color="000000"/>
            </w:tcBorders>
            <w:vAlign w:val="center"/>
          </w:tcPr>
          <w:p w14:paraId="79A0E80B" w14:textId="77777777" w:rsidR="00BE13A8" w:rsidRPr="00F563F6" w:rsidRDefault="00D70530">
            <w:pPr>
              <w:jc w:val="right"/>
              <w:rPr>
                <w:rFonts w:ascii="Arial" w:hAnsi="Arial" w:cs="Arial"/>
                <w:sz w:val="24"/>
                <w:szCs w:val="24"/>
              </w:rPr>
            </w:pPr>
            <w:r w:rsidRPr="00F563F6">
              <w:rPr>
                <w:rFonts w:ascii="Arial" w:hAnsi="Arial" w:cs="Arial"/>
                <w:sz w:val="24"/>
                <w:szCs w:val="24"/>
              </w:rPr>
              <w:t>33.0</w:t>
            </w:r>
          </w:p>
        </w:tc>
        <w:tc>
          <w:tcPr>
            <w:tcW w:w="1559" w:type="dxa"/>
            <w:tcBorders>
              <w:top w:val="nil"/>
              <w:left w:val="nil"/>
              <w:bottom w:val="single" w:sz="4" w:space="0" w:color="000000"/>
              <w:right w:val="single" w:sz="8" w:space="0" w:color="000000"/>
            </w:tcBorders>
            <w:vAlign w:val="center"/>
          </w:tcPr>
          <w:p w14:paraId="2CF2E9B4" w14:textId="77777777" w:rsidR="00BE13A8" w:rsidRPr="00F563F6" w:rsidRDefault="00D70530">
            <w:pPr>
              <w:jc w:val="right"/>
              <w:rPr>
                <w:rFonts w:ascii="Arial" w:hAnsi="Arial" w:cs="Arial"/>
                <w:sz w:val="24"/>
                <w:szCs w:val="24"/>
              </w:rPr>
            </w:pPr>
            <w:r w:rsidRPr="00F563F6">
              <w:rPr>
                <w:rFonts w:ascii="Arial" w:hAnsi="Arial" w:cs="Arial"/>
                <w:sz w:val="24"/>
                <w:szCs w:val="24"/>
              </w:rPr>
              <w:t>23.3</w:t>
            </w:r>
          </w:p>
        </w:tc>
        <w:tc>
          <w:tcPr>
            <w:tcW w:w="1701" w:type="dxa"/>
            <w:tcBorders>
              <w:top w:val="nil"/>
              <w:left w:val="nil"/>
              <w:bottom w:val="single" w:sz="4" w:space="0" w:color="000000"/>
              <w:right w:val="single" w:sz="8" w:space="0" w:color="000000"/>
            </w:tcBorders>
            <w:vAlign w:val="center"/>
          </w:tcPr>
          <w:p w14:paraId="7DFC7408" w14:textId="77777777" w:rsidR="00BE13A8" w:rsidRPr="00F563F6" w:rsidRDefault="00D70530">
            <w:pPr>
              <w:jc w:val="right"/>
              <w:rPr>
                <w:rFonts w:ascii="Arial" w:hAnsi="Arial" w:cs="Arial"/>
                <w:sz w:val="24"/>
                <w:szCs w:val="24"/>
              </w:rPr>
            </w:pPr>
            <w:r w:rsidRPr="00F563F6">
              <w:rPr>
                <w:rFonts w:ascii="Arial" w:hAnsi="Arial" w:cs="Arial"/>
                <w:sz w:val="24"/>
                <w:szCs w:val="24"/>
              </w:rPr>
              <w:t>33.0</w:t>
            </w:r>
          </w:p>
        </w:tc>
      </w:tr>
      <w:tr w:rsidR="00BE13A8" w:rsidRPr="00F563F6" w14:paraId="429E6529" w14:textId="77777777" w:rsidTr="00F563F6">
        <w:trPr>
          <w:tblHeader/>
        </w:trPr>
        <w:tc>
          <w:tcPr>
            <w:tcW w:w="2972" w:type="dxa"/>
            <w:tcBorders>
              <w:top w:val="single" w:sz="4" w:space="0" w:color="000000"/>
              <w:bottom w:val="single" w:sz="4" w:space="0" w:color="000000"/>
            </w:tcBorders>
          </w:tcPr>
          <w:p w14:paraId="61705878" w14:textId="4B10086B" w:rsidR="00BE13A8" w:rsidRPr="00F563F6" w:rsidRDefault="00D70530">
            <w:pPr>
              <w:rPr>
                <w:rFonts w:ascii="Arial" w:hAnsi="Arial" w:cs="Arial"/>
                <w:sz w:val="24"/>
                <w:szCs w:val="24"/>
              </w:rPr>
            </w:pPr>
            <w:r w:rsidRPr="00F563F6">
              <w:rPr>
                <w:rFonts w:ascii="Arial" w:hAnsi="Arial" w:cs="Arial"/>
                <w:sz w:val="24"/>
                <w:szCs w:val="24"/>
              </w:rPr>
              <w:t>Average</w:t>
            </w:r>
            <w:r w:rsidR="00BF059B" w:rsidRPr="00F563F6">
              <w:rPr>
                <w:rFonts w:ascii="Arial" w:hAnsi="Arial" w:cs="Arial"/>
                <w:sz w:val="24"/>
                <w:szCs w:val="24"/>
              </w:rPr>
              <w:t xml:space="preserve"> </w:t>
            </w:r>
            <w:r w:rsidRPr="00F563F6">
              <w:rPr>
                <w:rFonts w:ascii="Arial" w:hAnsi="Arial" w:cs="Arial"/>
                <w:sz w:val="24"/>
                <w:szCs w:val="24"/>
              </w:rPr>
              <w:t>%</w:t>
            </w:r>
            <w:r w:rsidR="00BF059B" w:rsidRPr="00F563F6">
              <w:rPr>
                <w:rFonts w:ascii="Arial" w:hAnsi="Arial" w:cs="Arial"/>
                <w:sz w:val="24"/>
                <w:szCs w:val="24"/>
              </w:rPr>
              <w:t xml:space="preserve"> </w:t>
            </w:r>
            <w:r w:rsidRPr="00F563F6">
              <w:rPr>
                <w:rFonts w:ascii="Arial" w:hAnsi="Arial" w:cs="Arial"/>
                <w:sz w:val="24"/>
                <w:szCs w:val="24"/>
              </w:rPr>
              <w:t>recycled</w:t>
            </w:r>
            <w:r w:rsidR="00BF059B" w:rsidRPr="00F563F6">
              <w:rPr>
                <w:rFonts w:ascii="Arial" w:hAnsi="Arial" w:cs="Arial"/>
                <w:sz w:val="24"/>
                <w:szCs w:val="24"/>
              </w:rPr>
              <w:t xml:space="preserve"> </w:t>
            </w:r>
            <w:r w:rsidRPr="00F563F6">
              <w:rPr>
                <w:rFonts w:ascii="Arial" w:hAnsi="Arial" w:cs="Arial"/>
                <w:sz w:val="24"/>
                <w:szCs w:val="24"/>
              </w:rPr>
              <w:t>waste</w:t>
            </w:r>
          </w:p>
          <w:p w14:paraId="2DFEE124" w14:textId="77777777" w:rsidR="00BE13A8" w:rsidRPr="00F563F6" w:rsidRDefault="00BE13A8">
            <w:pPr>
              <w:rPr>
                <w:rFonts w:ascii="Arial" w:hAnsi="Arial" w:cs="Arial"/>
                <w:sz w:val="24"/>
                <w:szCs w:val="24"/>
              </w:rPr>
            </w:pPr>
          </w:p>
        </w:tc>
        <w:tc>
          <w:tcPr>
            <w:tcW w:w="1985" w:type="dxa"/>
            <w:tcBorders>
              <w:top w:val="nil"/>
              <w:left w:val="nil"/>
              <w:bottom w:val="single" w:sz="8" w:space="0" w:color="000000"/>
              <w:right w:val="single" w:sz="8" w:space="0" w:color="000000"/>
            </w:tcBorders>
            <w:vAlign w:val="center"/>
          </w:tcPr>
          <w:p w14:paraId="260FEAFC" w14:textId="77777777" w:rsidR="00BE13A8" w:rsidRPr="00F563F6" w:rsidRDefault="00D70530">
            <w:pPr>
              <w:jc w:val="right"/>
              <w:rPr>
                <w:rFonts w:ascii="Arial" w:hAnsi="Arial" w:cs="Arial"/>
                <w:sz w:val="24"/>
                <w:szCs w:val="24"/>
              </w:rPr>
            </w:pPr>
            <w:r w:rsidRPr="00F563F6">
              <w:rPr>
                <w:rFonts w:ascii="Arial" w:hAnsi="Arial" w:cs="Arial"/>
                <w:sz w:val="24"/>
                <w:szCs w:val="24"/>
              </w:rPr>
              <w:t>47%</w:t>
            </w:r>
          </w:p>
        </w:tc>
        <w:tc>
          <w:tcPr>
            <w:tcW w:w="1417" w:type="dxa"/>
            <w:tcBorders>
              <w:top w:val="single" w:sz="4" w:space="0" w:color="000000"/>
              <w:left w:val="nil"/>
              <w:bottom w:val="single" w:sz="4" w:space="0" w:color="000000"/>
              <w:right w:val="single" w:sz="8" w:space="0" w:color="000000"/>
            </w:tcBorders>
            <w:vAlign w:val="center"/>
          </w:tcPr>
          <w:p w14:paraId="4BB69545" w14:textId="77777777" w:rsidR="00BE13A8" w:rsidRPr="00F563F6" w:rsidRDefault="00D70530">
            <w:pPr>
              <w:jc w:val="right"/>
              <w:rPr>
                <w:rFonts w:ascii="Arial" w:hAnsi="Arial" w:cs="Arial"/>
                <w:sz w:val="24"/>
                <w:szCs w:val="24"/>
              </w:rPr>
            </w:pPr>
            <w:r w:rsidRPr="00F563F6">
              <w:rPr>
                <w:rFonts w:ascii="Arial" w:hAnsi="Arial" w:cs="Arial"/>
                <w:sz w:val="24"/>
                <w:szCs w:val="24"/>
              </w:rPr>
              <w:t>42%</w:t>
            </w:r>
          </w:p>
        </w:tc>
        <w:tc>
          <w:tcPr>
            <w:tcW w:w="1559" w:type="dxa"/>
            <w:tcBorders>
              <w:top w:val="single" w:sz="4" w:space="0" w:color="000000"/>
              <w:left w:val="nil"/>
              <w:bottom w:val="single" w:sz="4" w:space="0" w:color="000000"/>
              <w:right w:val="single" w:sz="8" w:space="0" w:color="000000"/>
            </w:tcBorders>
            <w:vAlign w:val="center"/>
          </w:tcPr>
          <w:p w14:paraId="36895C19" w14:textId="77777777" w:rsidR="00BE13A8" w:rsidRPr="00F563F6" w:rsidRDefault="00D70530">
            <w:pPr>
              <w:jc w:val="right"/>
              <w:rPr>
                <w:rFonts w:ascii="Arial" w:hAnsi="Arial" w:cs="Arial"/>
                <w:sz w:val="24"/>
                <w:szCs w:val="24"/>
              </w:rPr>
            </w:pPr>
            <w:r w:rsidRPr="00F563F6">
              <w:rPr>
                <w:rFonts w:ascii="Arial" w:hAnsi="Arial" w:cs="Arial"/>
                <w:sz w:val="24"/>
                <w:szCs w:val="24"/>
              </w:rPr>
              <w:t>32.6%</w:t>
            </w:r>
          </w:p>
        </w:tc>
        <w:tc>
          <w:tcPr>
            <w:tcW w:w="1701" w:type="dxa"/>
            <w:tcBorders>
              <w:top w:val="single" w:sz="4" w:space="0" w:color="000000"/>
              <w:left w:val="nil"/>
              <w:bottom w:val="single" w:sz="4" w:space="0" w:color="000000"/>
              <w:right w:val="single" w:sz="8" w:space="0" w:color="000000"/>
            </w:tcBorders>
            <w:vAlign w:val="center"/>
          </w:tcPr>
          <w:p w14:paraId="4E9EF15D" w14:textId="77777777" w:rsidR="00BE13A8" w:rsidRPr="00F563F6" w:rsidRDefault="00D70530">
            <w:pPr>
              <w:jc w:val="right"/>
              <w:rPr>
                <w:rFonts w:ascii="Arial" w:hAnsi="Arial" w:cs="Arial"/>
                <w:sz w:val="24"/>
                <w:szCs w:val="24"/>
              </w:rPr>
            </w:pPr>
            <w:r w:rsidRPr="00F563F6">
              <w:rPr>
                <w:rFonts w:ascii="Arial" w:hAnsi="Arial" w:cs="Arial"/>
                <w:sz w:val="24"/>
                <w:szCs w:val="24"/>
              </w:rPr>
              <w:t>27.5%</w:t>
            </w:r>
          </w:p>
        </w:tc>
      </w:tr>
      <w:tr w:rsidR="00BE13A8" w:rsidRPr="00F563F6" w14:paraId="714F1EEC" w14:textId="77777777" w:rsidTr="00F563F6">
        <w:trPr>
          <w:tblHeader/>
        </w:trPr>
        <w:tc>
          <w:tcPr>
            <w:tcW w:w="2972" w:type="dxa"/>
            <w:tcBorders>
              <w:top w:val="single" w:sz="4" w:space="0" w:color="000000"/>
              <w:bottom w:val="single" w:sz="4" w:space="0" w:color="000000"/>
            </w:tcBorders>
          </w:tcPr>
          <w:p w14:paraId="519BB0B5" w14:textId="18969622" w:rsidR="00BE13A8" w:rsidRPr="00F563F6" w:rsidRDefault="00D70530">
            <w:pPr>
              <w:rPr>
                <w:rFonts w:ascii="Arial" w:hAnsi="Arial" w:cs="Arial"/>
                <w:sz w:val="24"/>
                <w:szCs w:val="24"/>
              </w:rPr>
            </w:pPr>
            <w:r w:rsidRPr="00F563F6">
              <w:rPr>
                <w:rFonts w:ascii="Arial" w:hAnsi="Arial" w:cs="Arial"/>
                <w:sz w:val="24"/>
                <w:szCs w:val="24"/>
              </w:rPr>
              <w:t>Green</w:t>
            </w:r>
            <w:r w:rsidR="00BF059B" w:rsidRPr="00F563F6">
              <w:rPr>
                <w:rFonts w:ascii="Arial" w:hAnsi="Arial" w:cs="Arial"/>
                <w:sz w:val="24"/>
                <w:szCs w:val="24"/>
              </w:rPr>
              <w:t xml:space="preserve"> </w:t>
            </w:r>
            <w:r w:rsidRPr="00F563F6">
              <w:rPr>
                <w:rFonts w:ascii="Arial" w:hAnsi="Arial" w:cs="Arial"/>
                <w:sz w:val="24"/>
                <w:szCs w:val="24"/>
              </w:rPr>
              <w:t>waste</w:t>
            </w:r>
            <w:r w:rsidR="00BF059B" w:rsidRPr="00F563F6">
              <w:rPr>
                <w:rFonts w:ascii="Arial" w:hAnsi="Arial" w:cs="Arial"/>
                <w:sz w:val="24"/>
                <w:szCs w:val="24"/>
              </w:rPr>
              <w:t xml:space="preserve"> </w:t>
            </w:r>
            <w:r w:rsidRPr="00F563F6">
              <w:rPr>
                <w:rFonts w:ascii="Arial" w:hAnsi="Arial" w:cs="Arial"/>
                <w:sz w:val="24"/>
                <w:szCs w:val="24"/>
              </w:rPr>
              <w:t>tonnes</w:t>
            </w:r>
            <w:r w:rsidR="00BF059B" w:rsidRPr="00F563F6">
              <w:rPr>
                <w:rFonts w:ascii="Arial" w:hAnsi="Arial" w:cs="Arial"/>
                <w:sz w:val="24"/>
                <w:szCs w:val="24"/>
              </w:rPr>
              <w:t xml:space="preserve"> </w:t>
            </w:r>
          </w:p>
          <w:p w14:paraId="5CD6EF49" w14:textId="39B31E88" w:rsidR="00BE13A8" w:rsidRPr="00F563F6" w:rsidRDefault="00D70530">
            <w:pPr>
              <w:rPr>
                <w:rFonts w:ascii="Arial" w:hAnsi="Arial" w:cs="Arial"/>
                <w:sz w:val="24"/>
                <w:szCs w:val="24"/>
              </w:rPr>
            </w:pPr>
            <w:r w:rsidRPr="00F563F6">
              <w:rPr>
                <w:rFonts w:ascii="Arial" w:hAnsi="Arial" w:cs="Arial"/>
                <w:sz w:val="24"/>
                <w:szCs w:val="24"/>
              </w:rPr>
              <w:t>of</w:t>
            </w:r>
            <w:r w:rsidR="00BF059B" w:rsidRPr="00F563F6">
              <w:rPr>
                <w:rFonts w:ascii="Arial" w:hAnsi="Arial" w:cs="Arial"/>
                <w:sz w:val="24"/>
                <w:szCs w:val="24"/>
              </w:rPr>
              <w:t xml:space="preserve"> </w:t>
            </w:r>
            <w:r w:rsidRPr="00F563F6">
              <w:rPr>
                <w:rFonts w:ascii="Arial" w:hAnsi="Arial" w:cs="Arial"/>
                <w:sz w:val="24"/>
                <w:szCs w:val="24"/>
              </w:rPr>
              <w:t>which</w:t>
            </w:r>
            <w:r w:rsidR="00BF059B" w:rsidRPr="00F563F6">
              <w:rPr>
                <w:rFonts w:ascii="Arial" w:hAnsi="Arial" w:cs="Arial"/>
                <w:sz w:val="24"/>
                <w:szCs w:val="24"/>
              </w:rPr>
              <w:t xml:space="preserve"> </w:t>
            </w:r>
            <w:r w:rsidRPr="00F563F6">
              <w:rPr>
                <w:rFonts w:ascii="Arial" w:hAnsi="Arial" w:cs="Arial"/>
                <w:sz w:val="24"/>
                <w:szCs w:val="24"/>
              </w:rPr>
              <w:t>Food</w:t>
            </w:r>
            <w:r w:rsidR="00BF059B" w:rsidRPr="00F563F6">
              <w:rPr>
                <w:rFonts w:ascii="Arial" w:hAnsi="Arial" w:cs="Arial"/>
                <w:sz w:val="24"/>
                <w:szCs w:val="24"/>
              </w:rPr>
              <w:t xml:space="preserve"> </w:t>
            </w:r>
            <w:r w:rsidRPr="00F563F6">
              <w:rPr>
                <w:rFonts w:ascii="Arial" w:hAnsi="Arial" w:cs="Arial"/>
                <w:sz w:val="24"/>
                <w:szCs w:val="24"/>
              </w:rPr>
              <w:t>waste</w:t>
            </w:r>
            <w:r w:rsidR="00BF059B" w:rsidRPr="00F563F6">
              <w:rPr>
                <w:rFonts w:ascii="Arial" w:hAnsi="Arial" w:cs="Arial"/>
                <w:sz w:val="24"/>
                <w:szCs w:val="24"/>
              </w:rPr>
              <w:t xml:space="preserve"> </w:t>
            </w:r>
            <w:r w:rsidRPr="00F563F6">
              <w:rPr>
                <w:rFonts w:ascii="Arial" w:hAnsi="Arial" w:cs="Arial"/>
                <w:sz w:val="24"/>
                <w:szCs w:val="24"/>
              </w:rPr>
              <w:t>*</w:t>
            </w:r>
          </w:p>
          <w:p w14:paraId="3CA6B410" w14:textId="77777777" w:rsidR="00BE13A8" w:rsidRPr="00F563F6" w:rsidRDefault="00BE13A8">
            <w:pPr>
              <w:rPr>
                <w:rFonts w:ascii="Arial" w:hAnsi="Arial" w:cs="Arial"/>
                <w:sz w:val="24"/>
                <w:szCs w:val="24"/>
              </w:rPr>
            </w:pPr>
          </w:p>
        </w:tc>
        <w:tc>
          <w:tcPr>
            <w:tcW w:w="1985" w:type="dxa"/>
            <w:tcBorders>
              <w:top w:val="nil"/>
              <w:left w:val="nil"/>
              <w:bottom w:val="single" w:sz="8" w:space="0" w:color="000000"/>
              <w:right w:val="single" w:sz="8" w:space="0" w:color="000000"/>
            </w:tcBorders>
          </w:tcPr>
          <w:p w14:paraId="62569CE8" w14:textId="694D9890" w:rsidR="00BE13A8" w:rsidRPr="00F563F6" w:rsidRDefault="00D70530">
            <w:pPr>
              <w:jc w:val="right"/>
              <w:rPr>
                <w:rFonts w:ascii="Arial" w:hAnsi="Arial" w:cs="Arial"/>
                <w:sz w:val="24"/>
                <w:szCs w:val="24"/>
              </w:rPr>
            </w:pPr>
            <w:r w:rsidRPr="00F563F6">
              <w:rPr>
                <w:rFonts w:ascii="Arial" w:hAnsi="Arial" w:cs="Arial"/>
                <w:sz w:val="24"/>
                <w:szCs w:val="24"/>
              </w:rPr>
              <w:t>Green</w:t>
            </w:r>
            <w:r w:rsidR="00BF059B" w:rsidRPr="00F563F6">
              <w:rPr>
                <w:rFonts w:ascii="Arial" w:hAnsi="Arial" w:cs="Arial"/>
                <w:sz w:val="24"/>
                <w:szCs w:val="24"/>
              </w:rPr>
              <w:t xml:space="preserve"> </w:t>
            </w:r>
            <w:r w:rsidRPr="00F563F6">
              <w:rPr>
                <w:rFonts w:ascii="Arial" w:hAnsi="Arial" w:cs="Arial"/>
                <w:sz w:val="24"/>
                <w:szCs w:val="24"/>
              </w:rPr>
              <w:t>waste</w:t>
            </w:r>
            <w:r w:rsidR="00BF059B" w:rsidRPr="00F563F6">
              <w:rPr>
                <w:rFonts w:ascii="Arial" w:hAnsi="Arial" w:cs="Arial"/>
                <w:sz w:val="24"/>
                <w:szCs w:val="24"/>
              </w:rPr>
              <w:t xml:space="preserve"> </w:t>
            </w:r>
            <w:r w:rsidRPr="00F563F6">
              <w:rPr>
                <w:rFonts w:ascii="Arial" w:hAnsi="Arial" w:cs="Arial"/>
                <w:sz w:val="24"/>
                <w:szCs w:val="24"/>
              </w:rPr>
              <w:t>data</w:t>
            </w:r>
            <w:r w:rsidR="00BF059B" w:rsidRPr="00F563F6">
              <w:rPr>
                <w:rFonts w:ascii="Arial" w:hAnsi="Arial" w:cs="Arial"/>
                <w:sz w:val="24"/>
                <w:szCs w:val="24"/>
              </w:rPr>
              <w:t xml:space="preserve"> </w:t>
            </w:r>
            <w:r w:rsidRPr="00F563F6">
              <w:rPr>
                <w:rFonts w:ascii="Arial" w:hAnsi="Arial" w:cs="Arial"/>
                <w:sz w:val="24"/>
                <w:szCs w:val="24"/>
              </w:rPr>
              <w:t>not</w:t>
            </w:r>
            <w:r w:rsidR="00BF059B" w:rsidRPr="00F563F6">
              <w:rPr>
                <w:rFonts w:ascii="Arial" w:hAnsi="Arial" w:cs="Arial"/>
                <w:sz w:val="24"/>
                <w:szCs w:val="24"/>
              </w:rPr>
              <w:t xml:space="preserve"> </w:t>
            </w:r>
            <w:r w:rsidRPr="00F563F6">
              <w:rPr>
                <w:rFonts w:ascii="Arial" w:hAnsi="Arial" w:cs="Arial"/>
                <w:sz w:val="24"/>
                <w:szCs w:val="24"/>
              </w:rPr>
              <w:t>available.</w:t>
            </w:r>
          </w:p>
          <w:p w14:paraId="2FCE5AFB" w14:textId="64C55F93" w:rsidR="00BE13A8" w:rsidRPr="00F563F6" w:rsidRDefault="00D70530">
            <w:pPr>
              <w:jc w:val="right"/>
              <w:rPr>
                <w:rFonts w:ascii="Arial" w:hAnsi="Arial" w:cs="Arial"/>
                <w:sz w:val="24"/>
                <w:szCs w:val="24"/>
              </w:rPr>
            </w:pPr>
            <w:r w:rsidRPr="00F563F6">
              <w:rPr>
                <w:rFonts w:ascii="Arial" w:hAnsi="Arial" w:cs="Arial"/>
                <w:sz w:val="24"/>
                <w:szCs w:val="24"/>
              </w:rPr>
              <w:t>Food</w:t>
            </w:r>
            <w:r w:rsidR="00BF059B" w:rsidRPr="00F563F6">
              <w:rPr>
                <w:rFonts w:ascii="Arial" w:hAnsi="Arial" w:cs="Arial"/>
                <w:sz w:val="24"/>
                <w:szCs w:val="24"/>
              </w:rPr>
              <w:t xml:space="preserve"> </w:t>
            </w:r>
            <w:r w:rsidRPr="00F563F6">
              <w:rPr>
                <w:rFonts w:ascii="Arial" w:hAnsi="Arial" w:cs="Arial"/>
                <w:sz w:val="24"/>
                <w:szCs w:val="24"/>
              </w:rPr>
              <w:t>waste,</w:t>
            </w:r>
            <w:r w:rsidR="00BF059B" w:rsidRPr="00F563F6">
              <w:rPr>
                <w:rFonts w:ascii="Arial" w:hAnsi="Arial" w:cs="Arial"/>
                <w:sz w:val="24"/>
                <w:szCs w:val="24"/>
              </w:rPr>
              <w:t xml:space="preserve"> </w:t>
            </w:r>
            <w:r w:rsidRPr="00F563F6">
              <w:rPr>
                <w:rFonts w:ascii="Arial" w:hAnsi="Arial" w:cs="Arial"/>
                <w:sz w:val="24"/>
                <w:szCs w:val="24"/>
              </w:rPr>
              <w:t>3.8</w:t>
            </w:r>
            <w:r w:rsidR="00BF059B" w:rsidRPr="00F563F6">
              <w:rPr>
                <w:rFonts w:ascii="Arial" w:hAnsi="Arial" w:cs="Arial"/>
                <w:sz w:val="24"/>
                <w:szCs w:val="24"/>
              </w:rPr>
              <w:t xml:space="preserve"> </w:t>
            </w:r>
            <w:r w:rsidRPr="00F563F6">
              <w:rPr>
                <w:rFonts w:ascii="Arial" w:hAnsi="Arial" w:cs="Arial"/>
                <w:sz w:val="24"/>
                <w:szCs w:val="24"/>
              </w:rPr>
              <w:t>tonnes.</w:t>
            </w:r>
          </w:p>
        </w:tc>
        <w:tc>
          <w:tcPr>
            <w:tcW w:w="1417" w:type="dxa"/>
            <w:tcBorders>
              <w:top w:val="single" w:sz="4" w:space="0" w:color="000000"/>
              <w:left w:val="nil"/>
              <w:bottom w:val="single" w:sz="4" w:space="0" w:color="000000"/>
              <w:right w:val="single" w:sz="8" w:space="0" w:color="000000"/>
            </w:tcBorders>
            <w:vAlign w:val="center"/>
          </w:tcPr>
          <w:p w14:paraId="1A851BD6" w14:textId="77777777" w:rsidR="00BE13A8" w:rsidRPr="00F563F6" w:rsidRDefault="00D70530">
            <w:pPr>
              <w:jc w:val="right"/>
              <w:rPr>
                <w:rFonts w:ascii="Arial" w:hAnsi="Arial" w:cs="Arial"/>
                <w:sz w:val="24"/>
                <w:szCs w:val="24"/>
              </w:rPr>
            </w:pPr>
            <w:r w:rsidRPr="00F563F6">
              <w:rPr>
                <w:rFonts w:ascii="Arial" w:hAnsi="Arial" w:cs="Arial"/>
                <w:sz w:val="24"/>
                <w:szCs w:val="24"/>
              </w:rPr>
              <w:t>11</w:t>
            </w:r>
          </w:p>
          <w:p w14:paraId="7F89B39C" w14:textId="77777777" w:rsidR="00BE13A8" w:rsidRPr="00F563F6" w:rsidRDefault="00D70530">
            <w:pPr>
              <w:jc w:val="right"/>
              <w:rPr>
                <w:rFonts w:ascii="Arial" w:hAnsi="Arial" w:cs="Arial"/>
                <w:sz w:val="24"/>
                <w:szCs w:val="24"/>
              </w:rPr>
            </w:pPr>
            <w:r w:rsidRPr="00F563F6">
              <w:rPr>
                <w:rFonts w:ascii="Arial" w:hAnsi="Arial" w:cs="Arial"/>
                <w:sz w:val="24"/>
                <w:szCs w:val="24"/>
              </w:rPr>
              <w:t>2.42*</w:t>
            </w:r>
          </w:p>
        </w:tc>
        <w:tc>
          <w:tcPr>
            <w:tcW w:w="1559" w:type="dxa"/>
            <w:tcBorders>
              <w:top w:val="single" w:sz="4" w:space="0" w:color="000000"/>
              <w:left w:val="nil"/>
              <w:bottom w:val="single" w:sz="4" w:space="0" w:color="000000"/>
              <w:right w:val="single" w:sz="8" w:space="0" w:color="000000"/>
            </w:tcBorders>
            <w:vAlign w:val="center"/>
          </w:tcPr>
          <w:p w14:paraId="60BC63D4" w14:textId="5F6CE037" w:rsidR="00BE13A8" w:rsidRPr="00F563F6" w:rsidRDefault="00BF059B">
            <w:pPr>
              <w:jc w:val="right"/>
              <w:rPr>
                <w:rFonts w:ascii="Arial" w:hAnsi="Arial" w:cs="Arial"/>
                <w:sz w:val="24"/>
                <w:szCs w:val="24"/>
              </w:rPr>
            </w:pPr>
            <w:r w:rsidRPr="00F563F6">
              <w:rPr>
                <w:rFonts w:ascii="Arial" w:hAnsi="Arial" w:cs="Arial"/>
                <w:sz w:val="24"/>
                <w:szCs w:val="24"/>
              </w:rPr>
              <w:t xml:space="preserve"> </w:t>
            </w:r>
            <w:r w:rsidR="00D70530" w:rsidRPr="00F563F6">
              <w:rPr>
                <w:rFonts w:ascii="Arial" w:hAnsi="Arial" w:cs="Arial"/>
                <w:sz w:val="24"/>
                <w:szCs w:val="24"/>
              </w:rPr>
              <w:t>12.55</w:t>
            </w:r>
          </w:p>
          <w:p w14:paraId="364E951B" w14:textId="77777777" w:rsidR="00BE13A8" w:rsidRPr="00F563F6" w:rsidRDefault="00D70530">
            <w:pPr>
              <w:jc w:val="right"/>
              <w:rPr>
                <w:rFonts w:ascii="Arial" w:hAnsi="Arial" w:cs="Arial"/>
                <w:sz w:val="24"/>
                <w:szCs w:val="24"/>
              </w:rPr>
            </w:pPr>
            <w:r w:rsidRPr="00F563F6">
              <w:rPr>
                <w:rFonts w:ascii="Arial" w:hAnsi="Arial" w:cs="Arial"/>
                <w:sz w:val="24"/>
                <w:szCs w:val="24"/>
              </w:rPr>
              <w:t>3.87</w:t>
            </w:r>
          </w:p>
        </w:tc>
        <w:tc>
          <w:tcPr>
            <w:tcW w:w="1701" w:type="dxa"/>
            <w:tcBorders>
              <w:top w:val="single" w:sz="4" w:space="0" w:color="000000"/>
              <w:left w:val="nil"/>
              <w:bottom w:val="single" w:sz="4" w:space="0" w:color="000000"/>
              <w:right w:val="single" w:sz="8" w:space="0" w:color="000000"/>
            </w:tcBorders>
            <w:vAlign w:val="center"/>
          </w:tcPr>
          <w:p w14:paraId="7FBB0585" w14:textId="77777777" w:rsidR="00BE13A8" w:rsidRPr="00F563F6" w:rsidRDefault="00D70530">
            <w:pPr>
              <w:jc w:val="right"/>
              <w:rPr>
                <w:rFonts w:ascii="Arial" w:hAnsi="Arial" w:cs="Arial"/>
                <w:sz w:val="24"/>
                <w:szCs w:val="24"/>
              </w:rPr>
            </w:pPr>
            <w:r w:rsidRPr="00F563F6">
              <w:rPr>
                <w:rFonts w:ascii="Arial" w:hAnsi="Arial" w:cs="Arial"/>
                <w:sz w:val="24"/>
                <w:szCs w:val="24"/>
              </w:rPr>
              <w:t>12.55</w:t>
            </w:r>
          </w:p>
          <w:p w14:paraId="44CFC1EB" w14:textId="77777777" w:rsidR="00BE13A8" w:rsidRPr="00F563F6" w:rsidRDefault="00D70530">
            <w:pPr>
              <w:jc w:val="right"/>
              <w:rPr>
                <w:rFonts w:ascii="Arial" w:hAnsi="Arial" w:cs="Arial"/>
                <w:sz w:val="24"/>
                <w:szCs w:val="24"/>
              </w:rPr>
            </w:pPr>
            <w:r w:rsidRPr="00F563F6">
              <w:rPr>
                <w:rFonts w:ascii="Arial" w:hAnsi="Arial" w:cs="Arial"/>
                <w:sz w:val="24"/>
                <w:szCs w:val="24"/>
              </w:rPr>
              <w:t>2.1</w:t>
            </w:r>
          </w:p>
        </w:tc>
      </w:tr>
    </w:tbl>
    <w:p w14:paraId="036239AD" w14:textId="77777777" w:rsidR="00BE13A8" w:rsidRDefault="00BE13A8">
      <w:pPr>
        <w:rPr>
          <w:color w:val="FF0000"/>
        </w:rPr>
      </w:pPr>
    </w:p>
    <w:p w14:paraId="6A4B51B9" w14:textId="06DB8AEB" w:rsidR="00BE13A8" w:rsidRDefault="00D70530" w:rsidP="00F563F6">
      <w:pPr>
        <w:rPr>
          <w:rFonts w:ascii="Aptos" w:eastAsia="Aptos" w:hAnsi="Aptos" w:cs="Aptos"/>
          <w:sz w:val="22"/>
          <w:szCs w:val="22"/>
        </w:rPr>
      </w:pPr>
      <w:r>
        <w:lastRenderedPageBreak/>
        <w:t>*</w:t>
      </w:r>
      <w:r w:rsidR="00BF059B">
        <w:t xml:space="preserve"> </w:t>
      </w:r>
      <w:r>
        <w:t>Food</w:t>
      </w:r>
      <w:r w:rsidR="00BF059B">
        <w:t xml:space="preserve"> </w:t>
      </w:r>
      <w:r>
        <w:t>waste</w:t>
      </w:r>
      <w:r w:rsidR="00BF059B">
        <w:t xml:space="preserve"> </w:t>
      </w:r>
      <w:r>
        <w:t>stopped</w:t>
      </w:r>
      <w:r w:rsidR="00BF059B">
        <w:t xml:space="preserve"> </w:t>
      </w:r>
      <w:r>
        <w:t>being</w:t>
      </w:r>
      <w:r w:rsidR="00BF059B">
        <w:t xml:space="preserve"> </w:t>
      </w:r>
      <w:r>
        <w:t>collected</w:t>
      </w:r>
      <w:r w:rsidR="00BF059B">
        <w:t xml:space="preserve"> </w:t>
      </w:r>
      <w:r>
        <w:t>in</w:t>
      </w:r>
      <w:r w:rsidR="00BF059B">
        <w:t xml:space="preserve"> </w:t>
      </w:r>
      <w:r>
        <w:t>October</w:t>
      </w:r>
      <w:r w:rsidR="00BF059B">
        <w:t xml:space="preserve"> </w:t>
      </w:r>
      <w:r>
        <w:t>2023</w:t>
      </w:r>
      <w:r w:rsidR="00BF059B">
        <w:t xml:space="preserve"> </w:t>
      </w:r>
      <w:r>
        <w:t>as</w:t>
      </w:r>
      <w:r w:rsidR="00BF059B">
        <w:t xml:space="preserve"> </w:t>
      </w:r>
      <w:r>
        <w:t>the</w:t>
      </w:r>
      <w:r w:rsidR="00BF059B">
        <w:t xml:space="preserve"> </w:t>
      </w:r>
      <w:r>
        <w:t>compost</w:t>
      </w:r>
      <w:r w:rsidR="00BF059B">
        <w:t xml:space="preserve"> </w:t>
      </w:r>
      <w:r>
        <w:t>area</w:t>
      </w:r>
      <w:r w:rsidR="00BF059B">
        <w:t xml:space="preserve"> </w:t>
      </w:r>
      <w:r>
        <w:t>needed</w:t>
      </w:r>
      <w:r w:rsidR="00BF059B">
        <w:t xml:space="preserve"> </w:t>
      </w:r>
      <w:r>
        <w:t>repair</w:t>
      </w:r>
      <w:r w:rsidR="00BF059B">
        <w:t xml:space="preserve"> </w:t>
      </w:r>
      <w:r>
        <w:t>and</w:t>
      </w:r>
      <w:r w:rsidR="00BF059B">
        <w:t xml:space="preserve"> </w:t>
      </w:r>
      <w:r>
        <w:t>has</w:t>
      </w:r>
      <w:r w:rsidR="00BF059B">
        <w:t xml:space="preserve"> </w:t>
      </w:r>
      <w:r>
        <w:t>reduced</w:t>
      </w:r>
      <w:r w:rsidR="00BF059B">
        <w:t xml:space="preserve"> </w:t>
      </w:r>
      <w:r>
        <w:t>capacity.</w:t>
      </w:r>
      <w:r w:rsidR="00BF059B">
        <w:t xml:space="preserve"> </w:t>
      </w:r>
      <w:r>
        <w:t>From</w:t>
      </w:r>
      <w:r w:rsidR="00BF059B">
        <w:t xml:space="preserve"> </w:t>
      </w:r>
      <w:r>
        <w:t>February</w:t>
      </w:r>
      <w:r w:rsidR="00BF059B">
        <w:t xml:space="preserve"> </w:t>
      </w:r>
      <w:r>
        <w:t>2024,</w:t>
      </w:r>
      <w:r w:rsidR="00BF059B">
        <w:t xml:space="preserve"> </w:t>
      </w:r>
      <w:r>
        <w:t>the</w:t>
      </w:r>
      <w:r w:rsidR="00BF059B">
        <w:t xml:space="preserve"> </w:t>
      </w:r>
      <w:r>
        <w:t>Café</w:t>
      </w:r>
      <w:r w:rsidR="00BF059B">
        <w:t xml:space="preserve"> </w:t>
      </w:r>
      <w:r>
        <w:t>food</w:t>
      </w:r>
      <w:r w:rsidR="00BF059B">
        <w:t xml:space="preserve"> </w:t>
      </w:r>
      <w:r>
        <w:t>waste</w:t>
      </w:r>
      <w:r w:rsidR="00BF059B">
        <w:t xml:space="preserve"> </w:t>
      </w:r>
      <w:r>
        <w:t>was</w:t>
      </w:r>
      <w:r w:rsidR="00BF059B">
        <w:t xml:space="preserve"> </w:t>
      </w:r>
      <w:r>
        <w:t>collected</w:t>
      </w:r>
      <w:r w:rsidR="00BF059B">
        <w:t xml:space="preserve"> </w:t>
      </w:r>
      <w:r>
        <w:t>by</w:t>
      </w:r>
      <w:r w:rsidR="00BF059B">
        <w:t xml:space="preserve"> </w:t>
      </w:r>
      <w:r>
        <w:t>Bywaters,</w:t>
      </w:r>
      <w:r w:rsidR="00BF059B">
        <w:t xml:space="preserve"> </w:t>
      </w:r>
      <w:r>
        <w:t>an</w:t>
      </w:r>
      <w:r w:rsidR="00BF059B">
        <w:t xml:space="preserve"> </w:t>
      </w:r>
      <w:r>
        <w:t>external</w:t>
      </w:r>
      <w:r w:rsidR="00BF059B">
        <w:t xml:space="preserve"> </w:t>
      </w:r>
      <w:r>
        <w:t>supplier,</w:t>
      </w:r>
      <w:r w:rsidR="00BF059B">
        <w:t xml:space="preserve"> </w:t>
      </w:r>
      <w:r>
        <w:t>and</w:t>
      </w:r>
      <w:r w:rsidR="00BF059B">
        <w:t xml:space="preserve"> </w:t>
      </w:r>
      <w:r>
        <w:t>this</w:t>
      </w:r>
      <w:r w:rsidR="00BF059B">
        <w:t xml:space="preserve"> </w:t>
      </w:r>
      <w:r>
        <w:t>is</w:t>
      </w:r>
      <w:r w:rsidR="00BF059B">
        <w:t xml:space="preserve"> </w:t>
      </w:r>
      <w:r>
        <w:t>reflected</w:t>
      </w:r>
      <w:r w:rsidR="00BF059B">
        <w:t xml:space="preserve"> </w:t>
      </w:r>
      <w:r>
        <w:t>in</w:t>
      </w:r>
      <w:r w:rsidR="00BF059B">
        <w:t xml:space="preserve"> </w:t>
      </w:r>
      <w:r>
        <w:t>the</w:t>
      </w:r>
      <w:r w:rsidR="00BF059B">
        <w:t xml:space="preserve"> </w:t>
      </w:r>
      <w:r>
        <w:t>total.</w:t>
      </w:r>
    </w:p>
    <w:p w14:paraId="668B2908" w14:textId="77777777" w:rsidR="00BE13A8" w:rsidRDefault="00BE13A8">
      <w:pPr>
        <w:jc w:val="both"/>
      </w:pPr>
    </w:p>
    <w:p w14:paraId="03B1F74B" w14:textId="3D22DA7B" w:rsidR="00BE13A8" w:rsidRDefault="00D70530">
      <w:pPr>
        <w:jc w:val="both"/>
      </w:pPr>
      <w:r>
        <w:t>**Water</w:t>
      </w:r>
      <w:r w:rsidR="00BF059B">
        <w:t xml:space="preserve"> </w:t>
      </w:r>
      <w:r>
        <w:t>is</w:t>
      </w:r>
      <w:r w:rsidR="00BF059B">
        <w:t xml:space="preserve"> </w:t>
      </w:r>
      <w:r>
        <w:t>now</w:t>
      </w:r>
      <w:r w:rsidR="00BF059B">
        <w:t xml:space="preserve"> </w:t>
      </w:r>
      <w:r>
        <w:t>measured</w:t>
      </w:r>
      <w:r w:rsidR="00BF059B">
        <w:t xml:space="preserve"> </w:t>
      </w:r>
      <w:r>
        <w:t>accurately.</w:t>
      </w:r>
      <w:r w:rsidR="00BF059B">
        <w:t xml:space="preserve"> </w:t>
      </w:r>
      <w:r>
        <w:t>The</w:t>
      </w:r>
      <w:r w:rsidR="00BF059B">
        <w:t xml:space="preserve"> </w:t>
      </w:r>
      <w:r>
        <w:t>meter</w:t>
      </w:r>
      <w:r w:rsidR="00BF059B">
        <w:t xml:space="preserve"> </w:t>
      </w:r>
      <w:r>
        <w:t>was</w:t>
      </w:r>
      <w:r w:rsidR="00BF059B">
        <w:t xml:space="preserve"> </w:t>
      </w:r>
      <w:r>
        <w:t>changed</w:t>
      </w:r>
      <w:r w:rsidR="00BF059B">
        <w:t xml:space="preserve"> </w:t>
      </w:r>
      <w:r>
        <w:t>at</w:t>
      </w:r>
      <w:r w:rsidR="00BF059B">
        <w:t xml:space="preserve"> </w:t>
      </w:r>
      <w:r>
        <w:t>the</w:t>
      </w:r>
      <w:r w:rsidR="00BF059B">
        <w:t xml:space="preserve"> </w:t>
      </w:r>
      <w:r>
        <w:t>SCC.</w:t>
      </w:r>
      <w:r w:rsidR="00BF059B">
        <w:t xml:space="preserve"> </w:t>
      </w:r>
    </w:p>
    <w:p w14:paraId="5D68B47D" w14:textId="77777777" w:rsidR="00BE13A8" w:rsidRDefault="00BE13A8">
      <w:pPr>
        <w:jc w:val="both"/>
        <w:rPr>
          <w:i/>
        </w:rPr>
      </w:pPr>
    </w:p>
    <w:p w14:paraId="14E0FAC0" w14:textId="5FE945D4" w:rsidR="00BE13A8" w:rsidRDefault="00F563F6" w:rsidP="00F563F6">
      <w:pPr>
        <w:pStyle w:val="Heading4"/>
      </w:pPr>
      <w:bookmarkStart w:id="7" w:name="_heading=h.au5spc83yin0" w:colFirst="0" w:colLast="0"/>
      <w:bookmarkEnd w:id="7"/>
      <w:r>
        <w:t xml:space="preserve">3.3 </w:t>
      </w:r>
      <w:r w:rsidR="00D70530">
        <w:t>Digital</w:t>
      </w:r>
      <w:r w:rsidR="00BF059B">
        <w:t xml:space="preserve"> </w:t>
      </w:r>
      <w:r w:rsidR="00D70530">
        <w:t>Transformation</w:t>
      </w:r>
    </w:p>
    <w:p w14:paraId="16005B57" w14:textId="564B25D8" w:rsidR="00BE13A8" w:rsidRDefault="00D70530" w:rsidP="00F563F6">
      <w:r>
        <w:t>The</w:t>
      </w:r>
      <w:r w:rsidR="00BF059B">
        <w:t xml:space="preserve"> </w:t>
      </w:r>
      <w:r>
        <w:t>scope</w:t>
      </w:r>
      <w:r w:rsidR="00BF059B">
        <w:t xml:space="preserve"> </w:t>
      </w:r>
      <w:r>
        <w:t>of</w:t>
      </w:r>
      <w:r w:rsidR="00BF059B">
        <w:t xml:space="preserve"> </w:t>
      </w:r>
      <w:r>
        <w:t>our</w:t>
      </w:r>
      <w:r w:rsidR="00BF059B">
        <w:t xml:space="preserve"> </w:t>
      </w:r>
      <w:r>
        <w:t>digital</w:t>
      </w:r>
      <w:r w:rsidR="00BF059B">
        <w:t xml:space="preserve"> </w:t>
      </w:r>
      <w:r>
        <w:t>transformation</w:t>
      </w:r>
      <w:r w:rsidR="00BF059B">
        <w:t xml:space="preserve"> </w:t>
      </w:r>
      <w:r>
        <w:t>ambitions</w:t>
      </w:r>
      <w:r w:rsidR="00BF059B">
        <w:t xml:space="preserve"> </w:t>
      </w:r>
      <w:r>
        <w:t>covers</w:t>
      </w:r>
      <w:r w:rsidR="00BF059B">
        <w:t xml:space="preserve"> </w:t>
      </w:r>
      <w:r>
        <w:t>technology</w:t>
      </w:r>
      <w:r w:rsidR="00BF059B">
        <w:t xml:space="preserve"> </w:t>
      </w:r>
      <w:r>
        <w:t>and</w:t>
      </w:r>
      <w:r w:rsidR="00BF059B">
        <w:t xml:space="preserve"> </w:t>
      </w:r>
      <w:r>
        <w:t>infrastructure,</w:t>
      </w:r>
      <w:r w:rsidR="00BF059B">
        <w:t xml:space="preserve"> </w:t>
      </w:r>
      <w:r>
        <w:t>systems,</w:t>
      </w:r>
      <w:r w:rsidR="00BF059B">
        <w:t xml:space="preserve"> </w:t>
      </w:r>
      <w:r>
        <w:t>data,</w:t>
      </w:r>
      <w:r w:rsidR="00BF059B">
        <w:t xml:space="preserve"> </w:t>
      </w:r>
      <w:r>
        <w:t>content,</w:t>
      </w:r>
      <w:r w:rsidR="00BF059B">
        <w:t xml:space="preserve"> </w:t>
      </w:r>
      <w:r>
        <w:t>audience</w:t>
      </w:r>
      <w:r w:rsidR="00BF059B">
        <w:t xml:space="preserve"> </w:t>
      </w:r>
      <w:r>
        <w:t>development</w:t>
      </w:r>
      <w:r w:rsidR="00BF059B">
        <w:t xml:space="preserve"> </w:t>
      </w:r>
      <w:r>
        <w:t>and</w:t>
      </w:r>
      <w:r w:rsidR="00BF059B">
        <w:t xml:space="preserve"> </w:t>
      </w:r>
      <w:r>
        <w:t>collections.</w:t>
      </w:r>
      <w:r w:rsidR="00BF059B">
        <w:t xml:space="preserve"> </w:t>
      </w:r>
      <w:r>
        <w:t>We</w:t>
      </w:r>
      <w:r w:rsidR="00BF059B">
        <w:t xml:space="preserve"> </w:t>
      </w:r>
      <w:r>
        <w:t>have</w:t>
      </w:r>
      <w:r w:rsidR="00BF059B">
        <w:t xml:space="preserve"> </w:t>
      </w:r>
      <w:r>
        <w:t>prioritised</w:t>
      </w:r>
      <w:r w:rsidR="00BF059B">
        <w:t xml:space="preserve"> </w:t>
      </w:r>
      <w:r>
        <w:t>cybersecurity</w:t>
      </w:r>
      <w:r w:rsidR="00BF059B">
        <w:t xml:space="preserve"> </w:t>
      </w:r>
      <w:r>
        <w:t>and</w:t>
      </w:r>
      <w:r w:rsidR="00BF059B">
        <w:t xml:space="preserve"> </w:t>
      </w:r>
      <w:r>
        <w:t>have</w:t>
      </w:r>
      <w:r w:rsidR="00BF059B">
        <w:t xml:space="preserve"> </w:t>
      </w:r>
      <w:r>
        <w:t>successfully</w:t>
      </w:r>
      <w:r w:rsidR="00BF059B">
        <w:t xml:space="preserve"> </w:t>
      </w:r>
      <w:r>
        <w:t>achieved</w:t>
      </w:r>
      <w:r w:rsidR="00BF059B">
        <w:t xml:space="preserve"> </w:t>
      </w:r>
      <w:r>
        <w:t>Cyber</w:t>
      </w:r>
      <w:r w:rsidR="00BF059B">
        <w:t xml:space="preserve"> </w:t>
      </w:r>
      <w:r>
        <w:t>Essentials</w:t>
      </w:r>
      <w:r w:rsidR="00BF059B">
        <w:t xml:space="preserve"> </w:t>
      </w:r>
      <w:r>
        <w:t>accreditation.</w:t>
      </w:r>
      <w:r w:rsidR="00BF059B">
        <w:t xml:space="preserve"> </w:t>
      </w:r>
      <w:r>
        <w:t>A</w:t>
      </w:r>
      <w:r w:rsidR="00BF059B">
        <w:t xml:space="preserve"> </w:t>
      </w:r>
      <w:r>
        <w:t>new</w:t>
      </w:r>
      <w:r w:rsidR="00BF059B">
        <w:t xml:space="preserve"> </w:t>
      </w:r>
      <w:r>
        <w:t>recruitment</w:t>
      </w:r>
      <w:r w:rsidR="00BF059B">
        <w:t xml:space="preserve"> </w:t>
      </w:r>
      <w:r>
        <w:t>tool</w:t>
      </w:r>
      <w:r w:rsidR="00BF059B">
        <w:t xml:space="preserve"> </w:t>
      </w:r>
      <w:r>
        <w:t>has</w:t>
      </w:r>
      <w:r w:rsidR="00BF059B">
        <w:t xml:space="preserve"> </w:t>
      </w:r>
      <w:r>
        <w:t>been</w:t>
      </w:r>
      <w:r w:rsidR="00BF059B">
        <w:t xml:space="preserve"> </w:t>
      </w:r>
      <w:r>
        <w:t>developed</w:t>
      </w:r>
      <w:r w:rsidR="00BF059B">
        <w:t xml:space="preserve"> </w:t>
      </w:r>
      <w:r>
        <w:t>to</w:t>
      </w:r>
      <w:r w:rsidR="00BF059B">
        <w:t xml:space="preserve"> </w:t>
      </w:r>
      <w:r>
        <w:t>enhance</w:t>
      </w:r>
      <w:r w:rsidR="00BF059B">
        <w:t xml:space="preserve"> </w:t>
      </w:r>
      <w:r>
        <w:t>and</w:t>
      </w:r>
      <w:r w:rsidR="00BF059B">
        <w:t xml:space="preserve"> </w:t>
      </w:r>
      <w:r>
        <w:t>automate</w:t>
      </w:r>
      <w:r w:rsidR="00BF059B">
        <w:t xml:space="preserve"> </w:t>
      </w:r>
      <w:r>
        <w:t>the</w:t>
      </w:r>
      <w:r w:rsidR="00BF059B">
        <w:t xml:space="preserve"> </w:t>
      </w:r>
      <w:r>
        <w:t>candidate</w:t>
      </w:r>
      <w:r w:rsidR="00BF059B">
        <w:t xml:space="preserve"> </w:t>
      </w:r>
      <w:r>
        <w:t>recruitment</w:t>
      </w:r>
      <w:r w:rsidR="00BF059B">
        <w:t xml:space="preserve"> </w:t>
      </w:r>
      <w:r>
        <w:t>process.</w:t>
      </w:r>
      <w:r w:rsidR="00BF059B">
        <w:t xml:space="preserve"> </w:t>
      </w:r>
      <w:r>
        <w:t>This</w:t>
      </w:r>
      <w:r w:rsidR="00BF059B">
        <w:t xml:space="preserve"> </w:t>
      </w:r>
      <w:r>
        <w:t>automated</w:t>
      </w:r>
      <w:r w:rsidR="00BF059B">
        <w:t xml:space="preserve"> </w:t>
      </w:r>
      <w:r>
        <w:t>advancement</w:t>
      </w:r>
      <w:r w:rsidR="00BF059B">
        <w:t xml:space="preserve"> </w:t>
      </w:r>
      <w:r>
        <w:t>to</w:t>
      </w:r>
      <w:r w:rsidR="00BF059B">
        <w:t xml:space="preserve"> </w:t>
      </w:r>
      <w:r>
        <w:t>the</w:t>
      </w:r>
      <w:r w:rsidR="00BF059B">
        <w:t xml:space="preserve"> </w:t>
      </w:r>
      <w:r>
        <w:t>HR</w:t>
      </w:r>
      <w:r w:rsidR="00BF059B">
        <w:t xml:space="preserve"> </w:t>
      </w:r>
      <w:r>
        <w:t>system</w:t>
      </w:r>
      <w:r w:rsidR="00BF059B">
        <w:t xml:space="preserve"> </w:t>
      </w:r>
      <w:r>
        <w:t>has</w:t>
      </w:r>
      <w:r w:rsidR="00BF059B">
        <w:t xml:space="preserve"> </w:t>
      </w:r>
      <w:r>
        <w:t>not</w:t>
      </w:r>
      <w:r w:rsidR="00BF059B">
        <w:t xml:space="preserve"> </w:t>
      </w:r>
      <w:r>
        <w:t>only</w:t>
      </w:r>
      <w:r w:rsidR="00BF059B">
        <w:t xml:space="preserve"> </w:t>
      </w:r>
      <w:r>
        <w:t>improved</w:t>
      </w:r>
      <w:r w:rsidR="00BF059B">
        <w:t xml:space="preserve"> </w:t>
      </w:r>
      <w:r>
        <w:t>the</w:t>
      </w:r>
      <w:r w:rsidR="00BF059B">
        <w:t xml:space="preserve"> </w:t>
      </w:r>
      <w:r>
        <w:t>recruitment</w:t>
      </w:r>
      <w:r w:rsidR="00BF059B">
        <w:t xml:space="preserve"> </w:t>
      </w:r>
      <w:r>
        <w:t>administration</w:t>
      </w:r>
      <w:r w:rsidR="00BF059B">
        <w:t xml:space="preserve"> </w:t>
      </w:r>
      <w:r>
        <w:t>process,</w:t>
      </w:r>
      <w:r w:rsidR="00BF059B">
        <w:t xml:space="preserve"> </w:t>
      </w:r>
      <w:r>
        <w:t>but</w:t>
      </w:r>
      <w:r w:rsidR="00BF059B">
        <w:t xml:space="preserve"> </w:t>
      </w:r>
      <w:r>
        <w:t>has</w:t>
      </w:r>
      <w:r w:rsidR="00BF059B">
        <w:t xml:space="preserve"> </w:t>
      </w:r>
      <w:r>
        <w:t>also</w:t>
      </w:r>
      <w:r w:rsidR="00BF059B">
        <w:t xml:space="preserve"> </w:t>
      </w:r>
      <w:r>
        <w:t>improved</w:t>
      </w:r>
      <w:r w:rsidR="00BF059B">
        <w:t xml:space="preserve"> </w:t>
      </w:r>
      <w:r>
        <w:t>the</w:t>
      </w:r>
      <w:r w:rsidR="00BF059B">
        <w:t xml:space="preserve"> </w:t>
      </w:r>
      <w:r>
        <w:t>candidates’</w:t>
      </w:r>
      <w:r w:rsidR="00BF059B">
        <w:t xml:space="preserve"> </w:t>
      </w:r>
      <w:r>
        <w:t>experience</w:t>
      </w:r>
      <w:r w:rsidR="00BF059B">
        <w:t xml:space="preserve"> </w:t>
      </w:r>
      <w:r>
        <w:t>of</w:t>
      </w:r>
      <w:r w:rsidR="00BF059B">
        <w:t xml:space="preserve"> </w:t>
      </w:r>
      <w:r>
        <w:t>applying</w:t>
      </w:r>
      <w:r w:rsidR="00BF059B">
        <w:t xml:space="preserve"> </w:t>
      </w:r>
      <w:r>
        <w:t>for</w:t>
      </w:r>
      <w:r w:rsidR="00BF059B">
        <w:t xml:space="preserve"> </w:t>
      </w:r>
      <w:r>
        <w:t>jobs</w:t>
      </w:r>
      <w:r w:rsidR="00BF059B">
        <w:t xml:space="preserve"> </w:t>
      </w:r>
      <w:r>
        <w:t>through</w:t>
      </w:r>
      <w:r w:rsidR="00BF059B">
        <w:t xml:space="preserve"> </w:t>
      </w:r>
      <w:r>
        <w:t>the</w:t>
      </w:r>
      <w:r w:rsidR="00BF059B">
        <w:t xml:space="preserve"> </w:t>
      </w:r>
      <w:r>
        <w:t>Horniman</w:t>
      </w:r>
      <w:r w:rsidR="00BF059B">
        <w:t xml:space="preserve"> </w:t>
      </w:r>
      <w:r>
        <w:t>website.</w:t>
      </w:r>
      <w:r w:rsidR="00BF059B">
        <w:t xml:space="preserve"> </w:t>
      </w:r>
      <w:r>
        <w:t>We</w:t>
      </w:r>
      <w:r w:rsidR="00BF059B">
        <w:t xml:space="preserve"> </w:t>
      </w:r>
      <w:r>
        <w:t>will</w:t>
      </w:r>
      <w:r w:rsidR="00BF059B">
        <w:t xml:space="preserve"> </w:t>
      </w:r>
      <w:r>
        <w:t>continue</w:t>
      </w:r>
      <w:r w:rsidR="00BF059B">
        <w:t xml:space="preserve"> </w:t>
      </w:r>
      <w:r>
        <w:t>the</w:t>
      </w:r>
      <w:r w:rsidR="00BF059B">
        <w:t xml:space="preserve"> </w:t>
      </w:r>
      <w:r>
        <w:t>development</w:t>
      </w:r>
      <w:r w:rsidR="00BF059B">
        <w:t xml:space="preserve"> </w:t>
      </w:r>
      <w:r>
        <w:t>of</w:t>
      </w:r>
      <w:r w:rsidR="00BF059B">
        <w:t xml:space="preserve"> </w:t>
      </w:r>
      <w:r>
        <w:t>our</w:t>
      </w:r>
      <w:r w:rsidR="00BF059B">
        <w:t xml:space="preserve"> </w:t>
      </w:r>
      <w:r>
        <w:t>intranet</w:t>
      </w:r>
      <w:r w:rsidR="00BF059B">
        <w:t xml:space="preserve"> </w:t>
      </w:r>
      <w:r>
        <w:t>and</w:t>
      </w:r>
      <w:r w:rsidR="00BF059B">
        <w:t xml:space="preserve"> </w:t>
      </w:r>
      <w:r>
        <w:t>website.</w:t>
      </w:r>
    </w:p>
    <w:p w14:paraId="26BCC5F0" w14:textId="77777777" w:rsidR="00BE13A8" w:rsidRDefault="00BE13A8" w:rsidP="00F563F6">
      <w:pPr>
        <w:rPr>
          <w:b/>
        </w:rPr>
      </w:pPr>
    </w:p>
    <w:p w14:paraId="33025DE8" w14:textId="7CA1C9E1" w:rsidR="00BE13A8" w:rsidRDefault="00D70530" w:rsidP="00F563F6">
      <w:r>
        <w:t>We</w:t>
      </w:r>
      <w:r w:rsidR="00BF059B">
        <w:t xml:space="preserve"> </w:t>
      </w:r>
      <w:r>
        <w:t>will</w:t>
      </w:r>
      <w:r w:rsidR="00BF059B">
        <w:t xml:space="preserve"> </w:t>
      </w:r>
      <w:r>
        <w:t>be</w:t>
      </w:r>
      <w:r w:rsidR="00BF059B">
        <w:t xml:space="preserve"> </w:t>
      </w:r>
      <w:r>
        <w:t>seeking</w:t>
      </w:r>
      <w:r w:rsidR="00BF059B">
        <w:t xml:space="preserve"> </w:t>
      </w:r>
      <w:r>
        <w:t>to</w:t>
      </w:r>
      <w:r w:rsidR="00BF059B">
        <w:t xml:space="preserve"> </w:t>
      </w:r>
      <w:r>
        <w:t>upgrade</w:t>
      </w:r>
      <w:r w:rsidR="00BF059B">
        <w:t xml:space="preserve"> </w:t>
      </w:r>
      <w:r>
        <w:t>our</w:t>
      </w:r>
      <w:r w:rsidR="00BF059B">
        <w:t xml:space="preserve"> </w:t>
      </w:r>
      <w:r>
        <w:t>CRM</w:t>
      </w:r>
      <w:r w:rsidR="00BF059B">
        <w:t xml:space="preserve"> </w:t>
      </w:r>
      <w:r>
        <w:t>and</w:t>
      </w:r>
      <w:r w:rsidR="00BF059B">
        <w:t xml:space="preserve"> </w:t>
      </w:r>
      <w:r>
        <w:t>Box</w:t>
      </w:r>
      <w:r w:rsidR="00BF059B">
        <w:t xml:space="preserve"> </w:t>
      </w:r>
      <w:r>
        <w:t>Office</w:t>
      </w:r>
      <w:r w:rsidR="00BF059B">
        <w:t xml:space="preserve"> </w:t>
      </w:r>
      <w:r>
        <w:t>system,</w:t>
      </w:r>
      <w:r w:rsidR="00BF059B">
        <w:t xml:space="preserve"> </w:t>
      </w:r>
      <w:r>
        <w:t>to</w:t>
      </w:r>
      <w:r w:rsidR="00BF059B">
        <w:t xml:space="preserve"> </w:t>
      </w:r>
      <w:r>
        <w:t>further</w:t>
      </w:r>
      <w:r w:rsidR="00BF059B">
        <w:t xml:space="preserve"> </w:t>
      </w:r>
      <w:r>
        <w:t>improve</w:t>
      </w:r>
      <w:r w:rsidR="00BF059B">
        <w:t xml:space="preserve"> </w:t>
      </w:r>
      <w:r>
        <w:t>the</w:t>
      </w:r>
      <w:r w:rsidR="00BF059B">
        <w:t xml:space="preserve"> </w:t>
      </w:r>
      <w:r>
        <w:t>efficiency</w:t>
      </w:r>
      <w:r w:rsidR="00BF059B">
        <w:t xml:space="preserve"> </w:t>
      </w:r>
      <w:r>
        <w:t>and</w:t>
      </w:r>
      <w:r w:rsidR="00BF059B">
        <w:t xml:space="preserve"> </w:t>
      </w:r>
      <w:r>
        <w:t>effectiveness</w:t>
      </w:r>
      <w:r w:rsidR="00BF059B">
        <w:t xml:space="preserve"> </w:t>
      </w:r>
      <w:r>
        <w:t>of</w:t>
      </w:r>
      <w:r w:rsidR="00BF059B">
        <w:t xml:space="preserve"> </w:t>
      </w:r>
      <w:r>
        <w:t>the</w:t>
      </w:r>
      <w:r w:rsidR="00BF059B">
        <w:t xml:space="preserve"> </w:t>
      </w:r>
      <w:r>
        <w:t>user</w:t>
      </w:r>
      <w:r w:rsidR="00BF059B">
        <w:t xml:space="preserve"> </w:t>
      </w:r>
      <w:r>
        <w:t>experience.</w:t>
      </w:r>
      <w:r w:rsidR="00BF059B">
        <w:t xml:space="preserve"> </w:t>
      </w:r>
      <w:r>
        <w:t>E-Learning</w:t>
      </w:r>
      <w:r w:rsidR="00BF059B">
        <w:t xml:space="preserve"> </w:t>
      </w:r>
      <w:r>
        <w:t>courses</w:t>
      </w:r>
      <w:r w:rsidR="00BF059B">
        <w:t xml:space="preserve"> </w:t>
      </w:r>
      <w:r>
        <w:t>are</w:t>
      </w:r>
      <w:r w:rsidR="00BF059B">
        <w:t xml:space="preserve"> </w:t>
      </w:r>
      <w:r>
        <w:t>being</w:t>
      </w:r>
      <w:r w:rsidR="00BF059B">
        <w:t xml:space="preserve"> </w:t>
      </w:r>
      <w:r>
        <w:t>developed</w:t>
      </w:r>
      <w:r w:rsidR="00BF059B">
        <w:t xml:space="preserve"> </w:t>
      </w:r>
      <w:r>
        <w:t>on</w:t>
      </w:r>
      <w:r w:rsidR="00BF059B">
        <w:t xml:space="preserve"> </w:t>
      </w:r>
      <w:r>
        <w:t>our</w:t>
      </w:r>
      <w:r w:rsidR="00BF059B">
        <w:t xml:space="preserve"> </w:t>
      </w:r>
      <w:r>
        <w:t>digital</w:t>
      </w:r>
      <w:r w:rsidR="00BF059B">
        <w:t xml:space="preserve"> </w:t>
      </w:r>
      <w:r>
        <w:t>training</w:t>
      </w:r>
      <w:r w:rsidR="00BF059B">
        <w:t xml:space="preserve"> </w:t>
      </w:r>
      <w:r>
        <w:t>platform,</w:t>
      </w:r>
      <w:r w:rsidR="00BF059B">
        <w:t xml:space="preserve"> </w:t>
      </w:r>
      <w:r>
        <w:t>to</w:t>
      </w:r>
      <w:r w:rsidR="00BF059B">
        <w:t xml:space="preserve"> </w:t>
      </w:r>
      <w:r>
        <w:t>improve</w:t>
      </w:r>
      <w:r w:rsidR="00BF059B">
        <w:t xml:space="preserve"> </w:t>
      </w:r>
      <w:r>
        <w:t>digital</w:t>
      </w:r>
      <w:r w:rsidR="00BF059B">
        <w:t xml:space="preserve"> </w:t>
      </w:r>
      <w:r>
        <w:t>literacy,</w:t>
      </w:r>
      <w:r w:rsidR="00BF059B">
        <w:t xml:space="preserve"> </w:t>
      </w:r>
      <w:r>
        <w:t>skills</w:t>
      </w:r>
      <w:r w:rsidR="00BF059B">
        <w:t xml:space="preserve"> </w:t>
      </w:r>
      <w:r>
        <w:t>and</w:t>
      </w:r>
      <w:r w:rsidR="00BF059B">
        <w:t xml:space="preserve"> </w:t>
      </w:r>
      <w:r>
        <w:t>knowledge</w:t>
      </w:r>
      <w:r w:rsidR="00BF059B">
        <w:t xml:space="preserve"> </w:t>
      </w:r>
      <w:r>
        <w:t>across</w:t>
      </w:r>
      <w:r w:rsidR="00BF059B">
        <w:t xml:space="preserve"> </w:t>
      </w:r>
      <w:r>
        <w:t>the</w:t>
      </w:r>
      <w:r w:rsidR="00BF059B">
        <w:t xml:space="preserve"> </w:t>
      </w:r>
      <w:r>
        <w:t>organisation.</w:t>
      </w:r>
    </w:p>
    <w:p w14:paraId="7CD95F53" w14:textId="77777777" w:rsidR="00BE13A8" w:rsidRDefault="00BE13A8">
      <w:pPr>
        <w:rPr>
          <w:b/>
          <w:i/>
          <w:color w:val="FF0000"/>
        </w:rPr>
      </w:pPr>
    </w:p>
    <w:p w14:paraId="3A2AEF62" w14:textId="71A3583E" w:rsidR="00BE13A8" w:rsidRDefault="00F563F6" w:rsidP="00F563F6">
      <w:pPr>
        <w:pStyle w:val="Heading4"/>
      </w:pPr>
      <w:r>
        <w:t xml:space="preserve">3.4 </w:t>
      </w:r>
      <w:r w:rsidR="00D70530">
        <w:t>Sector</w:t>
      </w:r>
      <w:r w:rsidR="00BF059B">
        <w:t xml:space="preserve"> </w:t>
      </w:r>
      <w:r w:rsidR="00D70530">
        <w:t>support</w:t>
      </w:r>
      <w:r w:rsidR="00BF059B">
        <w:t xml:space="preserve"> </w:t>
      </w:r>
      <w:r w:rsidR="00D70530">
        <w:t>and</w:t>
      </w:r>
      <w:r w:rsidR="00BF059B">
        <w:t xml:space="preserve"> </w:t>
      </w:r>
      <w:r w:rsidR="00D70530">
        <w:t>collaboration</w:t>
      </w:r>
      <w:r w:rsidR="00BF059B">
        <w:t xml:space="preserve"> </w:t>
      </w:r>
      <w:r w:rsidR="00D70530">
        <w:t>–</w:t>
      </w:r>
      <w:r w:rsidR="00BF059B">
        <w:t xml:space="preserve"> </w:t>
      </w:r>
      <w:r w:rsidR="00D70530">
        <w:t>national</w:t>
      </w:r>
      <w:r w:rsidR="00BF059B">
        <w:t xml:space="preserve"> </w:t>
      </w:r>
      <w:r w:rsidR="00D70530">
        <w:t>and</w:t>
      </w:r>
      <w:r w:rsidR="00BF059B">
        <w:t xml:space="preserve"> </w:t>
      </w:r>
      <w:r w:rsidR="00D70530">
        <w:t>international</w:t>
      </w:r>
    </w:p>
    <w:p w14:paraId="1C2E62BD" w14:textId="6FF4B5F7" w:rsidR="00BE13A8" w:rsidRDefault="00D70530" w:rsidP="00F563F6">
      <w:r>
        <w:t>Our</w:t>
      </w:r>
      <w:r w:rsidR="00BF059B">
        <w:t xml:space="preserve"> </w:t>
      </w:r>
      <w:r>
        <w:t>support</w:t>
      </w:r>
      <w:r w:rsidR="00BF059B">
        <w:t xml:space="preserve"> </w:t>
      </w:r>
      <w:r>
        <w:t>for</w:t>
      </w:r>
      <w:r w:rsidR="00BF059B">
        <w:t xml:space="preserve"> </w:t>
      </w:r>
      <w:r>
        <w:t>the</w:t>
      </w:r>
      <w:r w:rsidR="00BF059B">
        <w:t xml:space="preserve"> </w:t>
      </w:r>
      <w:r>
        <w:t>sector</w:t>
      </w:r>
      <w:r w:rsidR="00BF059B">
        <w:t xml:space="preserve"> </w:t>
      </w:r>
      <w:r>
        <w:t>has</w:t>
      </w:r>
      <w:r w:rsidR="00BF059B">
        <w:t xml:space="preserve"> </w:t>
      </w:r>
      <w:r>
        <w:t>included</w:t>
      </w:r>
      <w:r w:rsidR="00BF059B">
        <w:t xml:space="preserve"> </w:t>
      </w:r>
      <w:r>
        <w:t>loaning</w:t>
      </w:r>
      <w:r w:rsidR="00BF059B">
        <w:t xml:space="preserve"> </w:t>
      </w:r>
      <w:r>
        <w:t>objects,</w:t>
      </w:r>
      <w:r w:rsidR="00BF059B">
        <w:t xml:space="preserve"> </w:t>
      </w:r>
      <w:r>
        <w:t>providing</w:t>
      </w:r>
      <w:r w:rsidR="00BF059B">
        <w:t xml:space="preserve"> </w:t>
      </w:r>
      <w:r>
        <w:t>advice</w:t>
      </w:r>
      <w:r w:rsidR="00BF059B">
        <w:t xml:space="preserve"> </w:t>
      </w:r>
      <w:r>
        <w:t>and</w:t>
      </w:r>
      <w:r w:rsidR="00BF059B">
        <w:t xml:space="preserve"> </w:t>
      </w:r>
      <w:r>
        <w:t>organising</w:t>
      </w:r>
      <w:r w:rsidR="00BF059B">
        <w:t xml:space="preserve"> </w:t>
      </w:r>
      <w:r>
        <w:t>seminars</w:t>
      </w:r>
      <w:r w:rsidR="00BF059B">
        <w:t xml:space="preserve"> </w:t>
      </w:r>
      <w:r>
        <w:t>and</w:t>
      </w:r>
      <w:r w:rsidR="00BF059B">
        <w:t xml:space="preserve"> </w:t>
      </w:r>
      <w:r>
        <w:t>conferences.</w:t>
      </w:r>
      <w:r w:rsidR="00BF059B">
        <w:t xml:space="preserve"> </w:t>
      </w:r>
    </w:p>
    <w:p w14:paraId="3A8EA1DC" w14:textId="77777777" w:rsidR="00BE13A8" w:rsidRDefault="00BE13A8" w:rsidP="00F563F6">
      <w:pPr>
        <w:rPr>
          <w:color w:val="FF0000"/>
        </w:rPr>
      </w:pPr>
    </w:p>
    <w:p w14:paraId="0CE44D6A" w14:textId="30299FDF" w:rsidR="00BE13A8" w:rsidRDefault="00D70530" w:rsidP="00F563F6">
      <w:bookmarkStart w:id="8" w:name="_heading=h.mifolngye4tq" w:colFirst="0" w:colLast="0"/>
      <w:bookmarkEnd w:id="8"/>
      <w:r>
        <w:t>We</w:t>
      </w:r>
      <w:r w:rsidR="00BF059B">
        <w:t xml:space="preserve"> </w:t>
      </w:r>
      <w:r>
        <w:t>are</w:t>
      </w:r>
      <w:r w:rsidR="00BF059B">
        <w:t xml:space="preserve"> </w:t>
      </w:r>
      <w:r>
        <w:t>leading</w:t>
      </w:r>
      <w:r w:rsidR="00BF059B">
        <w:t xml:space="preserve"> </w:t>
      </w:r>
      <w:r>
        <w:t>the</w:t>
      </w:r>
      <w:r w:rsidR="00BF059B">
        <w:t xml:space="preserve"> </w:t>
      </w:r>
      <w:r>
        <w:t>second</w:t>
      </w:r>
      <w:r w:rsidR="00BF059B">
        <w:t xml:space="preserve"> </w:t>
      </w:r>
      <w:r>
        <w:t>phase</w:t>
      </w:r>
      <w:r w:rsidR="00BF059B">
        <w:t xml:space="preserve"> </w:t>
      </w:r>
      <w:r>
        <w:t>of</w:t>
      </w:r>
      <w:r w:rsidR="00BF059B">
        <w:t xml:space="preserve"> </w:t>
      </w:r>
      <w:r>
        <w:t>the</w:t>
      </w:r>
      <w:r w:rsidR="00BF059B">
        <w:t xml:space="preserve"> </w:t>
      </w:r>
      <w:r>
        <w:t>Museums</w:t>
      </w:r>
      <w:r w:rsidR="00BF059B">
        <w:t xml:space="preserve"> </w:t>
      </w:r>
      <w:r>
        <w:t>and</w:t>
      </w:r>
      <w:r w:rsidR="00BF059B">
        <w:t xml:space="preserve"> </w:t>
      </w:r>
      <w:r>
        <w:t>Galleries</w:t>
      </w:r>
      <w:r w:rsidR="00BF059B">
        <w:t xml:space="preserve"> </w:t>
      </w:r>
      <w:r>
        <w:t>Network</w:t>
      </w:r>
      <w:r w:rsidR="00BF059B">
        <w:t xml:space="preserve"> </w:t>
      </w:r>
      <w:r>
        <w:t>for</w:t>
      </w:r>
      <w:r w:rsidR="00BF059B">
        <w:t xml:space="preserve"> </w:t>
      </w:r>
      <w:r>
        <w:t>Exhibition</w:t>
      </w:r>
      <w:r w:rsidR="00BF059B">
        <w:t xml:space="preserve"> </w:t>
      </w:r>
      <w:r>
        <w:t>Touring</w:t>
      </w:r>
      <w:r w:rsidR="00BF059B">
        <w:t xml:space="preserve"> </w:t>
      </w:r>
      <w:r>
        <w:t>(MAGNET</w:t>
      </w:r>
      <w:r w:rsidR="00BF059B">
        <w:t xml:space="preserve"> </w:t>
      </w:r>
      <w:r>
        <w:t>2.0),</w:t>
      </w:r>
      <w:r w:rsidR="00BF059B">
        <w:t xml:space="preserve"> </w:t>
      </w:r>
      <w:r>
        <w:t>which</w:t>
      </w:r>
      <w:r w:rsidR="00BF059B">
        <w:t xml:space="preserve"> </w:t>
      </w:r>
      <w:r>
        <w:t>is</w:t>
      </w:r>
      <w:r w:rsidR="00BF059B">
        <w:t xml:space="preserve"> </w:t>
      </w:r>
      <w:r>
        <w:t>running</w:t>
      </w:r>
      <w:r w:rsidR="00BF059B">
        <w:t xml:space="preserve"> </w:t>
      </w:r>
      <w:r>
        <w:t>for</w:t>
      </w:r>
      <w:r w:rsidR="00BF059B">
        <w:t xml:space="preserve"> </w:t>
      </w:r>
      <w:r>
        <w:t>three</w:t>
      </w:r>
      <w:r w:rsidR="00BF059B">
        <w:t xml:space="preserve"> </w:t>
      </w:r>
      <w:r>
        <w:t>years</w:t>
      </w:r>
      <w:r w:rsidR="00BF059B">
        <w:t xml:space="preserve"> </w:t>
      </w:r>
      <w:r>
        <w:t>with</w:t>
      </w:r>
      <w:r w:rsidR="00BF059B">
        <w:t xml:space="preserve"> </w:t>
      </w:r>
      <w:r>
        <w:t>funding</w:t>
      </w:r>
      <w:r w:rsidR="00BF059B">
        <w:t xml:space="preserve"> </w:t>
      </w:r>
      <w:r>
        <w:t>from</w:t>
      </w:r>
      <w:r w:rsidR="00BF059B">
        <w:t xml:space="preserve"> </w:t>
      </w:r>
      <w:r>
        <w:t>ACE’s</w:t>
      </w:r>
      <w:r w:rsidR="00BF059B">
        <w:t xml:space="preserve"> </w:t>
      </w:r>
      <w:r>
        <w:t>Touring</w:t>
      </w:r>
      <w:r w:rsidR="00BF059B">
        <w:t xml:space="preserve"> </w:t>
      </w:r>
      <w:r>
        <w:t>fund</w:t>
      </w:r>
      <w:r w:rsidR="00BF059B">
        <w:t xml:space="preserve"> </w:t>
      </w:r>
      <w:r>
        <w:t>and</w:t>
      </w:r>
      <w:r w:rsidR="00BF059B">
        <w:t xml:space="preserve"> </w:t>
      </w:r>
      <w:r>
        <w:t>Art</w:t>
      </w:r>
      <w:r w:rsidR="00BF059B">
        <w:t xml:space="preserve"> </w:t>
      </w:r>
      <w:r>
        <w:t>Fund.</w:t>
      </w:r>
      <w:r w:rsidR="00BF059B">
        <w:t xml:space="preserve"> </w:t>
      </w:r>
      <w:r>
        <w:t>A</w:t>
      </w:r>
      <w:r w:rsidR="00BF059B">
        <w:t xml:space="preserve"> </w:t>
      </w:r>
      <w:r>
        <w:t>12-member</w:t>
      </w:r>
      <w:r w:rsidR="00BF059B">
        <w:t xml:space="preserve"> </w:t>
      </w:r>
      <w:r>
        <w:t>network</w:t>
      </w:r>
      <w:r w:rsidR="00BF059B">
        <w:t xml:space="preserve"> </w:t>
      </w:r>
      <w:r>
        <w:t>of</w:t>
      </w:r>
      <w:r w:rsidR="00BF059B">
        <w:t xml:space="preserve"> </w:t>
      </w:r>
      <w:r>
        <w:t>museums</w:t>
      </w:r>
      <w:r w:rsidR="00BF059B">
        <w:t xml:space="preserve"> </w:t>
      </w:r>
      <w:r>
        <w:t>and</w:t>
      </w:r>
      <w:r w:rsidR="00BF059B">
        <w:t xml:space="preserve"> </w:t>
      </w:r>
      <w:r>
        <w:t>galleries</w:t>
      </w:r>
      <w:r w:rsidR="00BF059B">
        <w:t xml:space="preserve"> </w:t>
      </w:r>
      <w:r>
        <w:t>are</w:t>
      </w:r>
      <w:r w:rsidR="00BF059B">
        <w:t xml:space="preserve"> </w:t>
      </w:r>
      <w:r>
        <w:t>pooling</w:t>
      </w:r>
      <w:r w:rsidR="00BF059B">
        <w:t xml:space="preserve"> </w:t>
      </w:r>
      <w:r>
        <w:t>resources,</w:t>
      </w:r>
      <w:r w:rsidR="00BF059B">
        <w:t xml:space="preserve"> </w:t>
      </w:r>
      <w:r>
        <w:t>developing</w:t>
      </w:r>
      <w:r w:rsidR="00BF059B">
        <w:t xml:space="preserve"> </w:t>
      </w:r>
      <w:r>
        <w:t>their</w:t>
      </w:r>
      <w:r w:rsidR="00BF059B">
        <w:t xml:space="preserve"> </w:t>
      </w:r>
      <w:r>
        <w:t>curatorial</w:t>
      </w:r>
      <w:r w:rsidR="00BF059B">
        <w:t xml:space="preserve"> </w:t>
      </w:r>
      <w:r>
        <w:t>expertise</w:t>
      </w:r>
      <w:r w:rsidR="00BF059B">
        <w:t xml:space="preserve"> </w:t>
      </w:r>
      <w:r>
        <w:t>and</w:t>
      </w:r>
      <w:r w:rsidR="00BF059B">
        <w:t xml:space="preserve"> </w:t>
      </w:r>
      <w:r>
        <w:t>sharing</w:t>
      </w:r>
      <w:r w:rsidR="00BF059B">
        <w:t xml:space="preserve"> </w:t>
      </w:r>
      <w:r>
        <w:t>their</w:t>
      </w:r>
      <w:r w:rsidR="00BF059B">
        <w:t xml:space="preserve"> </w:t>
      </w:r>
      <w:r>
        <w:t>collections</w:t>
      </w:r>
      <w:r w:rsidR="00BF059B">
        <w:t xml:space="preserve"> </w:t>
      </w:r>
      <w:r>
        <w:t>with</w:t>
      </w:r>
      <w:r w:rsidR="00BF059B">
        <w:t xml:space="preserve"> </w:t>
      </w:r>
      <w:r>
        <w:t>diverse</w:t>
      </w:r>
      <w:r w:rsidR="00BF059B">
        <w:t xml:space="preserve"> </w:t>
      </w:r>
      <w:r>
        <w:t>national</w:t>
      </w:r>
      <w:r w:rsidR="00BF059B">
        <w:t xml:space="preserve"> </w:t>
      </w:r>
      <w:r>
        <w:t>audiences</w:t>
      </w:r>
      <w:r w:rsidR="00BF059B">
        <w:t xml:space="preserve"> </w:t>
      </w:r>
      <w:r>
        <w:t>through</w:t>
      </w:r>
      <w:r w:rsidR="00BF059B">
        <w:t xml:space="preserve"> </w:t>
      </w:r>
      <w:r>
        <w:t>3</w:t>
      </w:r>
      <w:r w:rsidR="00BF059B">
        <w:t xml:space="preserve"> </w:t>
      </w:r>
      <w:r>
        <w:t>new</w:t>
      </w:r>
      <w:r w:rsidR="00BF059B">
        <w:t xml:space="preserve"> </w:t>
      </w:r>
      <w:r>
        <w:t>co-curated</w:t>
      </w:r>
      <w:r w:rsidR="00BF059B">
        <w:t xml:space="preserve"> </w:t>
      </w:r>
      <w:r>
        <w:t>touring</w:t>
      </w:r>
      <w:r w:rsidR="00BF059B">
        <w:t xml:space="preserve"> </w:t>
      </w:r>
      <w:r>
        <w:t>exhibitions:</w:t>
      </w:r>
      <w:r w:rsidR="00BF059B">
        <w:t xml:space="preserve"> </w:t>
      </w:r>
      <w:r>
        <w:t>Gender</w:t>
      </w:r>
      <w:r w:rsidR="00BF059B">
        <w:t xml:space="preserve"> </w:t>
      </w:r>
      <w:r>
        <w:t>Stories,</w:t>
      </w:r>
      <w:r w:rsidR="00BF059B">
        <w:t xml:space="preserve"> </w:t>
      </w:r>
      <w:r>
        <w:t>Colour</w:t>
      </w:r>
      <w:r w:rsidR="00BF059B">
        <w:t xml:space="preserve"> </w:t>
      </w:r>
      <w:r>
        <w:t>and</w:t>
      </w:r>
      <w:r w:rsidR="00BF059B">
        <w:t xml:space="preserve"> </w:t>
      </w:r>
      <w:r>
        <w:t>Human</w:t>
      </w:r>
      <w:r w:rsidR="00BF059B">
        <w:t xml:space="preserve"> </w:t>
      </w:r>
      <w:r>
        <w:t>Nature.</w:t>
      </w:r>
      <w:r w:rsidR="00BF059B">
        <w:t xml:space="preserve"> </w:t>
      </w:r>
      <w:r>
        <w:t>The</w:t>
      </w:r>
      <w:r w:rsidR="00BF059B">
        <w:t xml:space="preserve"> </w:t>
      </w:r>
      <w:r>
        <w:t>programme</w:t>
      </w:r>
      <w:r w:rsidR="00BF059B">
        <w:t xml:space="preserve"> </w:t>
      </w:r>
      <w:r>
        <w:t>is</w:t>
      </w:r>
      <w:r w:rsidR="00BF059B">
        <w:t xml:space="preserve"> </w:t>
      </w:r>
      <w:r>
        <w:t>supported</w:t>
      </w:r>
      <w:r w:rsidR="00BF059B">
        <w:t xml:space="preserve"> </w:t>
      </w:r>
      <w:r>
        <w:t>by</w:t>
      </w:r>
      <w:r w:rsidR="00BF059B">
        <w:t xml:space="preserve"> </w:t>
      </w:r>
      <w:r>
        <w:t>a</w:t>
      </w:r>
      <w:r w:rsidR="00BF059B">
        <w:t xml:space="preserve"> </w:t>
      </w:r>
      <w:r>
        <w:t>partnership</w:t>
      </w:r>
      <w:r w:rsidR="00BF059B">
        <w:t xml:space="preserve"> </w:t>
      </w:r>
      <w:r>
        <w:t>with</w:t>
      </w:r>
      <w:r w:rsidR="00BF059B">
        <w:t xml:space="preserve"> </w:t>
      </w:r>
      <w:r>
        <w:t>TEG</w:t>
      </w:r>
      <w:r w:rsidR="00BF059B">
        <w:t xml:space="preserve"> </w:t>
      </w:r>
      <w:r>
        <w:t>(Touring</w:t>
      </w:r>
      <w:r w:rsidR="00BF059B">
        <w:t xml:space="preserve"> </w:t>
      </w:r>
      <w:r>
        <w:t>Exhibitions</w:t>
      </w:r>
      <w:r w:rsidR="00BF059B">
        <w:t xml:space="preserve"> </w:t>
      </w:r>
      <w:r>
        <w:t>Group)</w:t>
      </w:r>
      <w:r w:rsidR="00BF059B">
        <w:t xml:space="preserve"> </w:t>
      </w:r>
      <w:r>
        <w:t>to</w:t>
      </w:r>
      <w:r w:rsidR="00BF059B">
        <w:t xml:space="preserve"> </w:t>
      </w:r>
      <w:r>
        <w:t>deliver</w:t>
      </w:r>
      <w:r w:rsidR="00BF059B">
        <w:t xml:space="preserve"> </w:t>
      </w:r>
      <w:r>
        <w:t>training</w:t>
      </w:r>
      <w:r w:rsidR="00BF059B">
        <w:t xml:space="preserve"> </w:t>
      </w:r>
      <w:r>
        <w:t>for</w:t>
      </w:r>
      <w:r w:rsidR="00BF059B">
        <w:t xml:space="preserve"> </w:t>
      </w:r>
      <w:r>
        <w:t>partners</w:t>
      </w:r>
      <w:r w:rsidR="00BF059B">
        <w:t xml:space="preserve"> </w:t>
      </w:r>
      <w:r>
        <w:t>and</w:t>
      </w:r>
      <w:r w:rsidR="00BF059B">
        <w:t xml:space="preserve"> </w:t>
      </w:r>
      <w:r>
        <w:t>build</w:t>
      </w:r>
      <w:r w:rsidR="00BF059B">
        <w:t xml:space="preserve"> </w:t>
      </w:r>
      <w:r>
        <w:t>skills</w:t>
      </w:r>
      <w:r w:rsidR="00BF059B">
        <w:t xml:space="preserve"> </w:t>
      </w:r>
      <w:r>
        <w:t>across</w:t>
      </w:r>
      <w:r w:rsidR="00BF059B">
        <w:t xml:space="preserve"> </w:t>
      </w:r>
      <w:r>
        <w:t>the</w:t>
      </w:r>
      <w:r w:rsidR="00BF059B">
        <w:t xml:space="preserve"> </w:t>
      </w:r>
      <w:r>
        <w:t>sector.</w:t>
      </w:r>
      <w:r w:rsidR="00BF059B">
        <w:t xml:space="preserve"> </w:t>
      </w:r>
    </w:p>
    <w:p w14:paraId="2D7AA2D7" w14:textId="77777777" w:rsidR="00BE13A8" w:rsidRDefault="00BE13A8" w:rsidP="00F563F6">
      <w:pPr>
        <w:rPr>
          <w:i/>
        </w:rPr>
      </w:pPr>
    </w:p>
    <w:p w14:paraId="54C5E8F2" w14:textId="0498E219" w:rsidR="00BE13A8" w:rsidRDefault="00D70530" w:rsidP="00F563F6">
      <w:r>
        <w:t>Throughout</w:t>
      </w:r>
      <w:r w:rsidR="00BF059B">
        <w:t xml:space="preserve"> </w:t>
      </w:r>
      <w:r>
        <w:t>the</w:t>
      </w:r>
      <w:r w:rsidR="00BF059B">
        <w:t xml:space="preserve"> </w:t>
      </w:r>
      <w:r>
        <w:t>year</w:t>
      </w:r>
      <w:r w:rsidR="00BF059B">
        <w:t xml:space="preserve"> </w:t>
      </w:r>
      <w:r>
        <w:t>we</w:t>
      </w:r>
      <w:r w:rsidR="00BF059B">
        <w:t xml:space="preserve"> </w:t>
      </w:r>
      <w:r>
        <w:t>managed</w:t>
      </w:r>
      <w:r w:rsidR="00BF059B">
        <w:t xml:space="preserve"> </w:t>
      </w:r>
      <w:r>
        <w:t>and</w:t>
      </w:r>
      <w:r w:rsidR="00BF059B">
        <w:t xml:space="preserve"> </w:t>
      </w:r>
      <w:r>
        <w:t>maintained</w:t>
      </w:r>
      <w:r w:rsidR="00BF059B">
        <w:t xml:space="preserve"> </w:t>
      </w:r>
      <w:r>
        <w:t>loans</w:t>
      </w:r>
      <w:r w:rsidR="00BF059B">
        <w:t xml:space="preserve"> </w:t>
      </w:r>
      <w:r>
        <w:t>out</w:t>
      </w:r>
      <w:r w:rsidR="00BF059B">
        <w:t xml:space="preserve"> </w:t>
      </w:r>
      <w:r>
        <w:t>to</w:t>
      </w:r>
      <w:r w:rsidR="00BF059B">
        <w:t xml:space="preserve"> </w:t>
      </w:r>
      <w:r>
        <w:t>5</w:t>
      </w:r>
      <w:r w:rsidR="00BF059B">
        <w:t xml:space="preserve"> </w:t>
      </w:r>
      <w:r>
        <w:t>organisations</w:t>
      </w:r>
      <w:r w:rsidR="00BF059B">
        <w:t xml:space="preserve"> </w:t>
      </w:r>
      <w:r>
        <w:t>including</w:t>
      </w:r>
      <w:r w:rsidR="00BF059B">
        <w:t xml:space="preserve"> </w:t>
      </w:r>
      <w:r>
        <w:t>the</w:t>
      </w:r>
      <w:r w:rsidR="00BF059B">
        <w:t xml:space="preserve"> </w:t>
      </w:r>
      <w:r>
        <w:t>British</w:t>
      </w:r>
      <w:r w:rsidR="00BF059B">
        <w:t xml:space="preserve"> </w:t>
      </w:r>
      <w:r>
        <w:t>Library;</w:t>
      </w:r>
      <w:r w:rsidR="00BF059B">
        <w:t xml:space="preserve"> </w:t>
      </w:r>
      <w:r>
        <w:t>Wilberforce</w:t>
      </w:r>
      <w:r w:rsidR="00BF059B">
        <w:t xml:space="preserve"> </w:t>
      </w:r>
      <w:r>
        <w:t>House,</w:t>
      </w:r>
      <w:r w:rsidR="00BF059B">
        <w:t xml:space="preserve"> </w:t>
      </w:r>
      <w:r>
        <w:t>Hull;</w:t>
      </w:r>
      <w:r w:rsidR="00BF059B">
        <w:t xml:space="preserve"> </w:t>
      </w:r>
      <w:r>
        <w:t>Historic</w:t>
      </w:r>
      <w:r w:rsidR="00BF059B">
        <w:t xml:space="preserve"> </w:t>
      </w:r>
      <w:r>
        <w:t>Royal</w:t>
      </w:r>
      <w:r w:rsidR="00BF059B">
        <w:t xml:space="preserve"> </w:t>
      </w:r>
      <w:r>
        <w:t>Palaces,</w:t>
      </w:r>
      <w:r w:rsidR="00BF059B">
        <w:t xml:space="preserve"> </w:t>
      </w:r>
      <w:r>
        <w:t>London;</w:t>
      </w:r>
      <w:r w:rsidR="00BF059B">
        <w:t xml:space="preserve"> </w:t>
      </w:r>
      <w:r>
        <w:t>HBOS</w:t>
      </w:r>
      <w:r w:rsidR="00BF059B">
        <w:t xml:space="preserve"> </w:t>
      </w:r>
      <w:r>
        <w:t>Museum</w:t>
      </w:r>
      <w:r w:rsidR="00BF059B">
        <w:t xml:space="preserve"> </w:t>
      </w:r>
      <w:r>
        <w:t>on</w:t>
      </w:r>
      <w:r w:rsidR="00BF059B">
        <w:t xml:space="preserve"> </w:t>
      </w:r>
      <w:r>
        <w:t>the</w:t>
      </w:r>
      <w:r w:rsidR="00BF059B">
        <w:t xml:space="preserve"> </w:t>
      </w:r>
      <w:r>
        <w:t>Mound,</w:t>
      </w:r>
      <w:r w:rsidR="00BF059B">
        <w:t xml:space="preserve"> </w:t>
      </w:r>
      <w:r>
        <w:t>Scotland</w:t>
      </w:r>
      <w:r w:rsidR="00BF059B">
        <w:t xml:space="preserve"> </w:t>
      </w:r>
      <w:r>
        <w:t>and</w:t>
      </w:r>
      <w:r w:rsidR="00BF059B">
        <w:t xml:space="preserve"> </w:t>
      </w:r>
      <w:r>
        <w:t>the</w:t>
      </w:r>
      <w:r w:rsidR="00BF059B">
        <w:t xml:space="preserve"> </w:t>
      </w:r>
      <w:r>
        <w:t>National</w:t>
      </w:r>
      <w:r w:rsidR="00BF059B">
        <w:t xml:space="preserve"> </w:t>
      </w:r>
      <w:r>
        <w:t>Portrait</w:t>
      </w:r>
      <w:r w:rsidR="00BF059B">
        <w:t xml:space="preserve"> </w:t>
      </w:r>
      <w:r>
        <w:t>Gallery.</w:t>
      </w:r>
      <w:r w:rsidR="00BF059B">
        <w:t xml:space="preserve"> </w:t>
      </w:r>
      <w:r>
        <w:t>Due</w:t>
      </w:r>
      <w:r w:rsidR="00BF059B">
        <w:t xml:space="preserve"> </w:t>
      </w:r>
      <w:r>
        <w:t>to</w:t>
      </w:r>
      <w:r w:rsidR="00BF059B">
        <w:t xml:space="preserve"> </w:t>
      </w:r>
      <w:r>
        <w:t>the</w:t>
      </w:r>
      <w:r w:rsidR="00BF059B">
        <w:t xml:space="preserve"> </w:t>
      </w:r>
      <w:r>
        <w:t>Nature</w:t>
      </w:r>
      <w:r w:rsidR="00BF059B">
        <w:t xml:space="preserve"> </w:t>
      </w:r>
      <w:r>
        <w:t>+</w:t>
      </w:r>
      <w:r w:rsidR="00BF059B">
        <w:t xml:space="preserve"> </w:t>
      </w:r>
      <w:r>
        <w:t>Love</w:t>
      </w:r>
      <w:r w:rsidR="00BF059B">
        <w:t xml:space="preserve"> </w:t>
      </w:r>
      <w:r>
        <w:t>project,</w:t>
      </w:r>
      <w:r w:rsidR="00BF059B">
        <w:t xml:space="preserve"> </w:t>
      </w:r>
      <w:r>
        <w:t>the</w:t>
      </w:r>
      <w:r w:rsidR="00BF059B">
        <w:t xml:space="preserve"> </w:t>
      </w:r>
      <w:r>
        <w:t>number</w:t>
      </w:r>
      <w:r w:rsidR="00BF059B">
        <w:t xml:space="preserve"> </w:t>
      </w:r>
      <w:r>
        <w:t>of</w:t>
      </w:r>
      <w:r w:rsidR="00BF059B">
        <w:t xml:space="preserve"> </w:t>
      </w:r>
      <w:r>
        <w:t>loans</w:t>
      </w:r>
      <w:r w:rsidR="00BF059B">
        <w:t xml:space="preserve"> </w:t>
      </w:r>
      <w:r>
        <w:t>out</w:t>
      </w:r>
      <w:r w:rsidR="00BF059B">
        <w:t xml:space="preserve"> </w:t>
      </w:r>
      <w:r>
        <w:t>that</w:t>
      </w:r>
      <w:r w:rsidR="00BF059B">
        <w:t xml:space="preserve"> </w:t>
      </w:r>
      <w:r>
        <w:t>could</w:t>
      </w:r>
      <w:r w:rsidR="00BF059B">
        <w:t xml:space="preserve"> </w:t>
      </w:r>
      <w:r>
        <w:t>be</w:t>
      </w:r>
      <w:r w:rsidR="00BF059B">
        <w:t xml:space="preserve"> </w:t>
      </w:r>
      <w:r>
        <w:t>accommodated</w:t>
      </w:r>
      <w:r w:rsidR="00BF059B">
        <w:t xml:space="preserve"> </w:t>
      </w:r>
      <w:r>
        <w:t>during</w:t>
      </w:r>
      <w:r w:rsidR="00BF059B">
        <w:t xml:space="preserve"> </w:t>
      </w:r>
      <w:r>
        <w:t>the</w:t>
      </w:r>
      <w:r w:rsidR="00BF059B">
        <w:t xml:space="preserve"> </w:t>
      </w:r>
      <w:r>
        <w:t>year</w:t>
      </w:r>
      <w:r w:rsidR="00BF059B">
        <w:t xml:space="preserve"> </w:t>
      </w:r>
      <w:r>
        <w:t>had</w:t>
      </w:r>
      <w:r w:rsidR="00BF059B">
        <w:t xml:space="preserve"> </w:t>
      </w:r>
      <w:r>
        <w:t>to</w:t>
      </w:r>
      <w:r w:rsidR="00BF059B">
        <w:t xml:space="preserve"> </w:t>
      </w:r>
      <w:r>
        <w:t>be</w:t>
      </w:r>
      <w:r w:rsidR="00BF059B">
        <w:t xml:space="preserve"> </w:t>
      </w:r>
      <w:r>
        <w:t>reduced.</w:t>
      </w:r>
    </w:p>
    <w:p w14:paraId="478679C2" w14:textId="77777777" w:rsidR="00BE13A8" w:rsidRDefault="00BE13A8" w:rsidP="00F563F6">
      <w:pPr>
        <w:rPr>
          <w:i/>
        </w:rPr>
      </w:pPr>
    </w:p>
    <w:p w14:paraId="0CF9EC42" w14:textId="5E860C8D" w:rsidR="00BE13A8" w:rsidRDefault="00D70530" w:rsidP="00F563F6">
      <w:r>
        <w:t>Horniman</w:t>
      </w:r>
      <w:r w:rsidR="00BF059B">
        <w:t xml:space="preserve"> </w:t>
      </w:r>
      <w:r>
        <w:t>staff</w:t>
      </w:r>
      <w:r w:rsidR="00BF059B">
        <w:t xml:space="preserve"> </w:t>
      </w:r>
      <w:r>
        <w:t>provided</w:t>
      </w:r>
      <w:r w:rsidR="00BF059B">
        <w:t xml:space="preserve"> </w:t>
      </w:r>
      <w:r>
        <w:t>advice</w:t>
      </w:r>
      <w:r w:rsidR="00BF059B">
        <w:t xml:space="preserve"> </w:t>
      </w:r>
      <w:r>
        <w:t>to</w:t>
      </w:r>
      <w:r w:rsidR="00BF059B">
        <w:t xml:space="preserve"> </w:t>
      </w:r>
      <w:r>
        <w:t>a</w:t>
      </w:r>
      <w:r w:rsidR="00BF059B">
        <w:t xml:space="preserve"> </w:t>
      </w:r>
      <w:r>
        <w:t>wide</w:t>
      </w:r>
      <w:r w:rsidR="00BF059B">
        <w:t xml:space="preserve"> </w:t>
      </w:r>
      <w:r>
        <w:t>range</w:t>
      </w:r>
      <w:r w:rsidR="00BF059B">
        <w:t xml:space="preserve"> </w:t>
      </w:r>
      <w:r>
        <w:t>of</w:t>
      </w:r>
      <w:r w:rsidR="00BF059B">
        <w:t xml:space="preserve"> </w:t>
      </w:r>
      <w:r>
        <w:t>sector-based</w:t>
      </w:r>
      <w:r w:rsidR="00BF059B">
        <w:t xml:space="preserve"> </w:t>
      </w:r>
      <w:r>
        <w:t>organisations</w:t>
      </w:r>
      <w:r w:rsidR="00BF059B">
        <w:t xml:space="preserve"> </w:t>
      </w:r>
      <w:r>
        <w:t>across</w:t>
      </w:r>
      <w:r w:rsidR="00BF059B">
        <w:t xml:space="preserve"> </w:t>
      </w:r>
      <w:r>
        <w:t>the</w:t>
      </w:r>
      <w:r w:rsidR="00BF059B">
        <w:t xml:space="preserve"> </w:t>
      </w:r>
      <w:r>
        <w:t>UK,</w:t>
      </w:r>
      <w:r w:rsidR="00BF059B">
        <w:t xml:space="preserve"> </w:t>
      </w:r>
      <w:r>
        <w:t>acting</w:t>
      </w:r>
      <w:r w:rsidR="00BF059B">
        <w:t xml:space="preserve"> </w:t>
      </w:r>
      <w:r>
        <w:t>as</w:t>
      </w:r>
      <w:r w:rsidR="00BF059B">
        <w:t xml:space="preserve"> </w:t>
      </w:r>
      <w:r>
        <w:t>chairs,</w:t>
      </w:r>
      <w:r w:rsidR="00BF059B">
        <w:t xml:space="preserve"> </w:t>
      </w:r>
      <w:r>
        <w:t>trustees,</w:t>
      </w:r>
      <w:r w:rsidR="00BF059B">
        <w:t xml:space="preserve"> </w:t>
      </w:r>
      <w:r>
        <w:t>members</w:t>
      </w:r>
      <w:r w:rsidR="00BF059B">
        <w:t xml:space="preserve"> </w:t>
      </w:r>
      <w:r>
        <w:t>and</w:t>
      </w:r>
      <w:r w:rsidR="00BF059B">
        <w:t xml:space="preserve"> </w:t>
      </w:r>
      <w:r>
        <w:t>leaders</w:t>
      </w:r>
      <w:r w:rsidR="00BF059B">
        <w:t xml:space="preserve"> </w:t>
      </w:r>
      <w:r>
        <w:t>of</w:t>
      </w:r>
      <w:r w:rsidR="00BF059B">
        <w:t xml:space="preserve"> </w:t>
      </w:r>
      <w:r>
        <w:t>Subject</w:t>
      </w:r>
      <w:r w:rsidR="00BF059B">
        <w:t xml:space="preserve"> </w:t>
      </w:r>
      <w:r>
        <w:t>Specialist</w:t>
      </w:r>
      <w:r w:rsidR="00BF059B">
        <w:t xml:space="preserve"> </w:t>
      </w:r>
      <w:r>
        <w:t>Networks</w:t>
      </w:r>
      <w:r w:rsidR="00BF059B">
        <w:t xml:space="preserve"> </w:t>
      </w:r>
      <w:r>
        <w:t>(SSN)</w:t>
      </w:r>
      <w:r w:rsidR="00BF059B">
        <w:t xml:space="preserve"> </w:t>
      </w:r>
      <w:r>
        <w:t>and</w:t>
      </w:r>
      <w:r w:rsidR="00BF059B">
        <w:t xml:space="preserve"> </w:t>
      </w:r>
      <w:r>
        <w:t>providing</w:t>
      </w:r>
      <w:r w:rsidR="00BF059B">
        <w:t xml:space="preserve"> </w:t>
      </w:r>
      <w:r>
        <w:t>resources</w:t>
      </w:r>
      <w:r w:rsidR="00BF059B">
        <w:t xml:space="preserve"> </w:t>
      </w:r>
      <w:r>
        <w:t>for</w:t>
      </w:r>
      <w:r w:rsidR="00BF059B">
        <w:t xml:space="preserve"> </w:t>
      </w:r>
      <w:r>
        <w:t>these</w:t>
      </w:r>
      <w:r w:rsidR="00BF059B">
        <w:t xml:space="preserve"> </w:t>
      </w:r>
      <w:r>
        <w:t>groups</w:t>
      </w:r>
      <w:r w:rsidR="00BF059B">
        <w:t xml:space="preserve"> </w:t>
      </w:r>
      <w:r>
        <w:t>to</w:t>
      </w:r>
      <w:r w:rsidR="00BF059B">
        <w:t xml:space="preserve"> </w:t>
      </w:r>
      <w:r>
        <w:t>hold</w:t>
      </w:r>
      <w:r w:rsidR="00BF059B">
        <w:t xml:space="preserve"> </w:t>
      </w:r>
      <w:r>
        <w:t>workshops</w:t>
      </w:r>
      <w:r w:rsidR="00BF059B">
        <w:t xml:space="preserve"> </w:t>
      </w:r>
      <w:r>
        <w:t>and</w:t>
      </w:r>
      <w:r w:rsidR="00BF059B">
        <w:t xml:space="preserve"> </w:t>
      </w:r>
      <w:r>
        <w:t>best</w:t>
      </w:r>
      <w:r w:rsidR="00BF059B">
        <w:t xml:space="preserve"> </w:t>
      </w:r>
      <w:r>
        <w:t>practice</w:t>
      </w:r>
      <w:r w:rsidR="00BF059B">
        <w:t xml:space="preserve"> </w:t>
      </w:r>
      <w:r>
        <w:t>seminars.</w:t>
      </w:r>
      <w:r w:rsidR="00BF059B">
        <w:t xml:space="preserve"> </w:t>
      </w:r>
      <w:r>
        <w:t>Our</w:t>
      </w:r>
      <w:r w:rsidR="00BF059B">
        <w:t xml:space="preserve"> </w:t>
      </w:r>
      <w:r>
        <w:t>staff</w:t>
      </w:r>
      <w:r w:rsidR="00BF059B">
        <w:t xml:space="preserve"> </w:t>
      </w:r>
      <w:r>
        <w:t>provided</w:t>
      </w:r>
      <w:r w:rsidR="00BF059B">
        <w:t xml:space="preserve"> </w:t>
      </w:r>
      <w:r>
        <w:t>advice</w:t>
      </w:r>
      <w:r w:rsidR="00BF059B">
        <w:t xml:space="preserve"> </w:t>
      </w:r>
      <w:r>
        <w:t>in</w:t>
      </w:r>
      <w:r w:rsidR="00BF059B">
        <w:t xml:space="preserve"> </w:t>
      </w:r>
      <w:r>
        <w:t>areas</w:t>
      </w:r>
      <w:r w:rsidR="00BF059B">
        <w:t xml:space="preserve"> </w:t>
      </w:r>
      <w:r>
        <w:t>such</w:t>
      </w:r>
      <w:r w:rsidR="00BF059B">
        <w:t xml:space="preserve"> </w:t>
      </w:r>
      <w:r>
        <w:t>as</w:t>
      </w:r>
      <w:r w:rsidR="00BF059B">
        <w:t xml:space="preserve"> </w:t>
      </w:r>
      <w:r>
        <w:t>youth</w:t>
      </w:r>
      <w:r w:rsidR="00BF059B">
        <w:t xml:space="preserve"> </w:t>
      </w:r>
      <w:r>
        <w:t>and</w:t>
      </w:r>
      <w:r w:rsidR="00BF059B">
        <w:t xml:space="preserve"> </w:t>
      </w:r>
      <w:r>
        <w:t>volunteering</w:t>
      </w:r>
      <w:r w:rsidR="00BF059B">
        <w:t xml:space="preserve"> </w:t>
      </w:r>
      <w:r>
        <w:t>programmes,</w:t>
      </w:r>
      <w:r w:rsidR="00BF059B">
        <w:t xml:space="preserve"> </w:t>
      </w:r>
      <w:r>
        <w:t>environmental</w:t>
      </w:r>
      <w:r w:rsidR="00BF059B">
        <w:t xml:space="preserve"> </w:t>
      </w:r>
      <w:r>
        <w:t>education,</w:t>
      </w:r>
      <w:r w:rsidR="00BF059B">
        <w:t xml:space="preserve"> </w:t>
      </w:r>
      <w:r>
        <w:t>aquarium</w:t>
      </w:r>
      <w:r w:rsidR="00BF059B">
        <w:t xml:space="preserve"> </w:t>
      </w:r>
      <w:r>
        <w:t>and</w:t>
      </w:r>
      <w:r w:rsidR="00BF059B">
        <w:t xml:space="preserve"> </w:t>
      </w:r>
      <w:r>
        <w:t>zoo</w:t>
      </w:r>
      <w:r w:rsidR="00BF059B">
        <w:t xml:space="preserve"> </w:t>
      </w:r>
      <w:r>
        <w:t>management,</w:t>
      </w:r>
      <w:r w:rsidR="00BF059B">
        <w:t xml:space="preserve"> </w:t>
      </w:r>
      <w:r>
        <w:t>marketing,</w:t>
      </w:r>
      <w:r w:rsidR="00BF059B">
        <w:t xml:space="preserve"> </w:t>
      </w:r>
      <w:r>
        <w:t>commercial,</w:t>
      </w:r>
      <w:r w:rsidR="00BF059B">
        <w:t xml:space="preserve"> </w:t>
      </w:r>
      <w:r>
        <w:t>digital</w:t>
      </w:r>
      <w:r w:rsidR="00BF059B">
        <w:t xml:space="preserve"> </w:t>
      </w:r>
      <w:r>
        <w:t>and</w:t>
      </w:r>
      <w:r w:rsidR="00BF059B">
        <w:t xml:space="preserve"> </w:t>
      </w:r>
      <w:r>
        <w:t>curatorial</w:t>
      </w:r>
      <w:r w:rsidR="00BF059B">
        <w:t xml:space="preserve"> </w:t>
      </w:r>
      <w:r>
        <w:t>development.</w:t>
      </w:r>
      <w:r w:rsidR="00BF059B">
        <w:t xml:space="preserve"> </w:t>
      </w:r>
      <w:r>
        <w:t>Our</w:t>
      </w:r>
      <w:r w:rsidR="00BF059B">
        <w:t xml:space="preserve"> </w:t>
      </w:r>
      <w:r>
        <w:t>leadership</w:t>
      </w:r>
      <w:r w:rsidR="00BF059B">
        <w:t xml:space="preserve"> </w:t>
      </w:r>
      <w:r>
        <w:t>role</w:t>
      </w:r>
      <w:r w:rsidR="00BF059B">
        <w:t xml:space="preserve"> </w:t>
      </w:r>
      <w:r>
        <w:t>in</w:t>
      </w:r>
      <w:r w:rsidR="00BF059B">
        <w:t xml:space="preserve"> </w:t>
      </w:r>
      <w:r>
        <w:t>the</w:t>
      </w:r>
      <w:r w:rsidR="00BF059B">
        <w:t xml:space="preserve"> </w:t>
      </w:r>
      <w:r>
        <w:t>music</w:t>
      </w:r>
      <w:r w:rsidR="00BF059B">
        <w:t xml:space="preserve"> </w:t>
      </w:r>
      <w:r>
        <w:t>sector</w:t>
      </w:r>
      <w:r w:rsidR="00BF059B">
        <w:t xml:space="preserve"> </w:t>
      </w:r>
      <w:r>
        <w:t>continued</w:t>
      </w:r>
      <w:r w:rsidR="00BF059B">
        <w:t xml:space="preserve"> </w:t>
      </w:r>
      <w:r>
        <w:t>with</w:t>
      </w:r>
      <w:r w:rsidR="00BF059B">
        <w:t xml:space="preserve"> </w:t>
      </w:r>
      <w:r>
        <w:t>our</w:t>
      </w:r>
      <w:r w:rsidR="00BF059B">
        <w:t xml:space="preserve"> </w:t>
      </w:r>
      <w:r>
        <w:t>support</w:t>
      </w:r>
      <w:r w:rsidR="00BF059B">
        <w:t xml:space="preserve"> </w:t>
      </w:r>
      <w:r>
        <w:t>for</w:t>
      </w:r>
      <w:r w:rsidR="00BF059B">
        <w:t xml:space="preserve"> </w:t>
      </w:r>
      <w:r>
        <w:t>the</w:t>
      </w:r>
      <w:r w:rsidR="00BF059B">
        <w:t xml:space="preserve"> </w:t>
      </w:r>
      <w:r>
        <w:t>Musical</w:t>
      </w:r>
      <w:r w:rsidR="00BF059B">
        <w:t xml:space="preserve"> </w:t>
      </w:r>
      <w:r>
        <w:t>Instrument</w:t>
      </w:r>
      <w:r w:rsidR="00BF059B">
        <w:t xml:space="preserve"> </w:t>
      </w:r>
      <w:r>
        <w:t>Resources</w:t>
      </w:r>
      <w:r w:rsidR="00BF059B">
        <w:t xml:space="preserve"> </w:t>
      </w:r>
      <w:r>
        <w:t>Network;</w:t>
      </w:r>
      <w:r w:rsidR="00BF059B">
        <w:t xml:space="preserve"> </w:t>
      </w:r>
      <w:r>
        <w:t>a</w:t>
      </w:r>
      <w:r w:rsidR="00BF059B">
        <w:t xml:space="preserve"> </w:t>
      </w:r>
      <w:r>
        <w:t>group</w:t>
      </w:r>
      <w:r w:rsidR="00BF059B">
        <w:t xml:space="preserve"> </w:t>
      </w:r>
      <w:r>
        <w:t>co-founded</w:t>
      </w:r>
      <w:r w:rsidR="00BF059B">
        <w:t xml:space="preserve"> </w:t>
      </w:r>
      <w:r>
        <w:t>by</w:t>
      </w:r>
      <w:r w:rsidR="00BF059B">
        <w:t xml:space="preserve"> </w:t>
      </w:r>
      <w:r>
        <w:t>our</w:t>
      </w:r>
      <w:r w:rsidR="00BF059B">
        <w:t xml:space="preserve"> </w:t>
      </w:r>
      <w:r>
        <w:t>staff</w:t>
      </w:r>
      <w:r w:rsidR="00BF059B">
        <w:t xml:space="preserve"> </w:t>
      </w:r>
      <w:r>
        <w:t>in</w:t>
      </w:r>
      <w:r w:rsidR="00BF059B">
        <w:t xml:space="preserve"> </w:t>
      </w:r>
      <w:r>
        <w:t>2016</w:t>
      </w:r>
      <w:r w:rsidR="00BF059B">
        <w:t xml:space="preserve"> </w:t>
      </w:r>
      <w:r>
        <w:t>with</w:t>
      </w:r>
      <w:r w:rsidR="00BF059B">
        <w:t xml:space="preserve"> </w:t>
      </w:r>
      <w:r>
        <w:t>more</w:t>
      </w:r>
      <w:r w:rsidR="00BF059B">
        <w:t xml:space="preserve"> </w:t>
      </w:r>
      <w:r>
        <w:t>than</w:t>
      </w:r>
      <w:r w:rsidR="00BF059B">
        <w:t xml:space="preserve"> </w:t>
      </w:r>
      <w:r>
        <w:t>200</w:t>
      </w:r>
      <w:r w:rsidR="00BF059B">
        <w:t xml:space="preserve"> </w:t>
      </w:r>
      <w:r>
        <w:t>UK</w:t>
      </w:r>
      <w:r w:rsidR="00BF059B">
        <w:t xml:space="preserve"> </w:t>
      </w:r>
      <w:r>
        <w:t>and</w:t>
      </w:r>
      <w:r w:rsidR="00BF059B">
        <w:t xml:space="preserve"> </w:t>
      </w:r>
      <w:r>
        <w:t>international</w:t>
      </w:r>
      <w:r w:rsidR="00BF059B">
        <w:t xml:space="preserve"> </w:t>
      </w:r>
      <w:r>
        <w:t>members.</w:t>
      </w:r>
      <w:r w:rsidR="00BF059B">
        <w:t xml:space="preserve"> </w:t>
      </w:r>
    </w:p>
    <w:p w14:paraId="3D8C9901" w14:textId="77777777" w:rsidR="003F0B6D" w:rsidRDefault="003F0B6D" w:rsidP="003F0B6D">
      <w:pPr>
        <w:pStyle w:val="Heading4"/>
      </w:pPr>
    </w:p>
    <w:p w14:paraId="0B0FC795" w14:textId="77777777" w:rsidR="003F0B6D" w:rsidRDefault="003F0B6D" w:rsidP="003F0B6D">
      <w:pPr>
        <w:pStyle w:val="Heading4"/>
      </w:pPr>
      <w:r>
        <w:t xml:space="preserve">3.5 Key supporters </w:t>
      </w:r>
    </w:p>
    <w:p w14:paraId="776843FE" w14:textId="77777777" w:rsidR="003F0B6D" w:rsidRDefault="003F0B6D" w:rsidP="003F0B6D">
      <w:pPr>
        <w:jc w:val="both"/>
      </w:pPr>
      <w:r>
        <w:t>The Horniman received core funding from DCMS.</w:t>
      </w:r>
    </w:p>
    <w:p w14:paraId="76054F32" w14:textId="77777777" w:rsidR="003F0B6D" w:rsidRDefault="003F0B6D" w:rsidP="003F0B6D">
      <w:pPr>
        <w:jc w:val="both"/>
        <w:rPr>
          <w:b/>
        </w:rPr>
      </w:pPr>
    </w:p>
    <w:p w14:paraId="44BC2EF8" w14:textId="77777777" w:rsidR="003F0B6D" w:rsidRDefault="003F0B6D" w:rsidP="003F0B6D">
      <w:pPr>
        <w:jc w:val="both"/>
      </w:pPr>
      <w:r>
        <w:lastRenderedPageBreak/>
        <w:t xml:space="preserve">In 2024/25 the Horniman received £5.087M funding from DCMS including £964K replacement ACE National Portfolio Organisation funding. We also received an additional £1.852M of funding from DCMS for Public Bodies Infrastructure Funding (PBIF) for significant building repairs and maintenance. The Board of Trustees are most grateful to DCMS for the continued support. </w:t>
      </w:r>
    </w:p>
    <w:p w14:paraId="240FBE99" w14:textId="77777777" w:rsidR="003F0B6D" w:rsidRDefault="003F0B6D" w:rsidP="00F563F6"/>
    <w:p w14:paraId="43A56614" w14:textId="77777777" w:rsidR="003F0B6D" w:rsidRDefault="003F0B6D" w:rsidP="003F0B6D">
      <w:pPr>
        <w:pStyle w:val="Heading5"/>
      </w:pPr>
      <w:r>
        <w:t xml:space="preserve">Voluntary donations </w:t>
      </w:r>
    </w:p>
    <w:p w14:paraId="3B49E070" w14:textId="77777777" w:rsidR="003F0B6D" w:rsidRDefault="003F0B6D" w:rsidP="003F0B6D">
      <w:r>
        <w:t>Voluntary donations, grants and the support of our community play a vital part in supporting the care of our collections and gardens as well as providing services, activities and enabling future projects. The Chair and Trustees are especially grateful to the following individuals and organisations across the Horniman community for their support over the past 12 months:</w:t>
      </w:r>
    </w:p>
    <w:p w14:paraId="65EEBCFC" w14:textId="77777777" w:rsidR="003F0B6D" w:rsidRDefault="003F0B6D" w:rsidP="003F0B6D"/>
    <w:p w14:paraId="1093C3E7" w14:textId="1A2AD268" w:rsidR="003F0B6D" w:rsidRPr="003F0B6D" w:rsidRDefault="003F0B6D" w:rsidP="003F0B6D">
      <w:pPr>
        <w:pStyle w:val="Heading6"/>
      </w:pPr>
      <w:r w:rsidRPr="003F0B6D">
        <w:t>Gifts, grants and sponsorship</w:t>
      </w:r>
    </w:p>
    <w:p w14:paraId="6C607BFA" w14:textId="281D0D59" w:rsidR="003F0B6D" w:rsidRDefault="003F0B6D" w:rsidP="00C81FD1">
      <w:pPr>
        <w:pStyle w:val="ListParagraph"/>
        <w:numPr>
          <w:ilvl w:val="0"/>
          <w:numId w:val="41"/>
        </w:numPr>
      </w:pPr>
      <w:r>
        <w:t>Art Fund</w:t>
      </w:r>
    </w:p>
    <w:p w14:paraId="08C1CD1A" w14:textId="66C29C45" w:rsidR="003F0B6D" w:rsidRDefault="003F0B6D" w:rsidP="00C81FD1">
      <w:pPr>
        <w:pStyle w:val="ListParagraph"/>
        <w:numPr>
          <w:ilvl w:val="0"/>
          <w:numId w:val="41"/>
        </w:numPr>
      </w:pPr>
      <w:r>
        <w:t>Arts Council England</w:t>
      </w:r>
    </w:p>
    <w:p w14:paraId="26351AE2" w14:textId="6236A124" w:rsidR="003F0B6D" w:rsidRDefault="003F0B6D" w:rsidP="00C81FD1">
      <w:pPr>
        <w:pStyle w:val="ListParagraph"/>
        <w:numPr>
          <w:ilvl w:val="0"/>
          <w:numId w:val="41"/>
        </w:numPr>
      </w:pPr>
      <w:r>
        <w:t>Basecamp Research</w:t>
      </w:r>
    </w:p>
    <w:p w14:paraId="188FEE41" w14:textId="47E06756" w:rsidR="003F0B6D" w:rsidRDefault="003F0B6D" w:rsidP="00C81FD1">
      <w:pPr>
        <w:pStyle w:val="ListParagraph"/>
        <w:numPr>
          <w:ilvl w:val="0"/>
          <w:numId w:val="41"/>
        </w:numPr>
      </w:pPr>
      <w:r>
        <w:t>Bloomberg Philanthropies</w:t>
      </w:r>
    </w:p>
    <w:p w14:paraId="77EE9475" w14:textId="7AE27C82" w:rsidR="003F0B6D" w:rsidRDefault="003F0B6D" w:rsidP="00C81FD1">
      <w:pPr>
        <w:pStyle w:val="ListParagraph"/>
        <w:numPr>
          <w:ilvl w:val="0"/>
          <w:numId w:val="41"/>
        </w:numPr>
      </w:pPr>
      <w:r>
        <w:t>Esmee Fairbairn Foundation</w:t>
      </w:r>
    </w:p>
    <w:p w14:paraId="0300D859" w14:textId="2505D8F2" w:rsidR="003F0B6D" w:rsidRDefault="003F0B6D" w:rsidP="00C81FD1">
      <w:pPr>
        <w:pStyle w:val="ListParagraph"/>
        <w:numPr>
          <w:ilvl w:val="0"/>
          <w:numId w:val="41"/>
        </w:numPr>
      </w:pPr>
      <w:r>
        <w:t>Eversley Charitable Trust</w:t>
      </w:r>
    </w:p>
    <w:p w14:paraId="75F2FE88" w14:textId="77959764" w:rsidR="003F0B6D" w:rsidRDefault="003F0B6D" w:rsidP="00C81FD1">
      <w:pPr>
        <w:pStyle w:val="ListParagraph"/>
        <w:numPr>
          <w:ilvl w:val="0"/>
          <w:numId w:val="41"/>
        </w:numPr>
      </w:pPr>
      <w:r>
        <w:t>Goldsmiths University of London</w:t>
      </w:r>
    </w:p>
    <w:p w14:paraId="061BA25E" w14:textId="1A68A826" w:rsidR="003F0B6D" w:rsidRDefault="003F0B6D" w:rsidP="00C81FD1">
      <w:pPr>
        <w:pStyle w:val="ListParagraph"/>
        <w:numPr>
          <w:ilvl w:val="0"/>
          <w:numId w:val="41"/>
        </w:numPr>
      </w:pPr>
      <w:r>
        <w:t>Hamish Parker Charitable Trust</w:t>
      </w:r>
    </w:p>
    <w:p w14:paraId="4DECA5D5" w14:textId="77777777" w:rsidR="003F0B6D" w:rsidRDefault="003F0B6D" w:rsidP="00C81FD1">
      <w:pPr>
        <w:pStyle w:val="ListParagraph"/>
        <w:numPr>
          <w:ilvl w:val="0"/>
          <w:numId w:val="41"/>
        </w:numPr>
      </w:pPr>
      <w:r>
        <w:t>Department for Culture, Media and Sport</w:t>
      </w:r>
    </w:p>
    <w:p w14:paraId="36AB61B7" w14:textId="6CC49DF5" w:rsidR="003F0B6D" w:rsidRPr="003F0B6D" w:rsidRDefault="003F0B6D" w:rsidP="00C81FD1">
      <w:pPr>
        <w:pStyle w:val="ListParagraph"/>
        <w:numPr>
          <w:ilvl w:val="0"/>
          <w:numId w:val="41"/>
        </w:numPr>
      </w:pPr>
      <w:r>
        <w:t>National Heritage Memorial Fund</w:t>
      </w:r>
    </w:p>
    <w:p w14:paraId="6AE95F37" w14:textId="77777777" w:rsidR="00BE13A8" w:rsidRDefault="00BE13A8">
      <w:pPr>
        <w:rPr>
          <w:i/>
        </w:rPr>
      </w:pPr>
    </w:p>
    <w:p w14:paraId="42DC6DC0" w14:textId="77777777" w:rsidR="003F0B6D" w:rsidRDefault="003F0B6D" w:rsidP="003F0B6D">
      <w:pPr>
        <w:jc w:val="both"/>
      </w:pPr>
      <w:r>
        <w:t>We are grateful to the following funders who have given or pledged support for our Nature + Love project:</w:t>
      </w:r>
    </w:p>
    <w:p w14:paraId="3474105D" w14:textId="77777777" w:rsidR="003F0B6D" w:rsidRDefault="003F0B6D" w:rsidP="00C81FD1">
      <w:pPr>
        <w:pStyle w:val="ListParagraph"/>
        <w:numPr>
          <w:ilvl w:val="0"/>
          <w:numId w:val="42"/>
        </w:numPr>
      </w:pPr>
      <w:r w:rsidRPr="003F0B6D">
        <w:t>Bloomberg Philanthropies</w:t>
      </w:r>
    </w:p>
    <w:p w14:paraId="3CE6AF82" w14:textId="77777777" w:rsidR="003F0B6D" w:rsidRDefault="003F0B6D" w:rsidP="00C81FD1">
      <w:pPr>
        <w:pStyle w:val="ListParagraph"/>
        <w:numPr>
          <w:ilvl w:val="0"/>
          <w:numId w:val="42"/>
        </w:numPr>
      </w:pPr>
      <w:r w:rsidRPr="003F0B6D">
        <w:t>Finnis Scott Foundation</w:t>
      </w:r>
    </w:p>
    <w:p w14:paraId="555F1CF4" w14:textId="7C30BBC2" w:rsidR="003F0B6D" w:rsidRDefault="003F0B6D" w:rsidP="00C81FD1">
      <w:pPr>
        <w:pStyle w:val="ListParagraph"/>
        <w:numPr>
          <w:ilvl w:val="0"/>
          <w:numId w:val="42"/>
        </w:numPr>
      </w:pPr>
      <w:r w:rsidRPr="003F0B6D">
        <w:t>Foyle Foundation</w:t>
      </w:r>
    </w:p>
    <w:p w14:paraId="4347CBB8" w14:textId="38054763" w:rsidR="003F0B6D" w:rsidRDefault="003F0B6D" w:rsidP="00C81FD1">
      <w:pPr>
        <w:pStyle w:val="ListParagraph"/>
        <w:numPr>
          <w:ilvl w:val="0"/>
          <w:numId w:val="42"/>
        </w:numPr>
      </w:pPr>
      <w:r w:rsidRPr="003F0B6D">
        <w:t>Garfield Weston Foundation</w:t>
      </w:r>
    </w:p>
    <w:p w14:paraId="497A4D75" w14:textId="6959216C" w:rsidR="003F0B6D" w:rsidRDefault="003F0B6D" w:rsidP="00C81FD1">
      <w:pPr>
        <w:pStyle w:val="ListParagraph"/>
        <w:numPr>
          <w:ilvl w:val="0"/>
          <w:numId w:val="42"/>
        </w:numPr>
      </w:pPr>
      <w:r w:rsidRPr="003F0B6D">
        <w:t>Kusuma Trust</w:t>
      </w:r>
    </w:p>
    <w:p w14:paraId="7A88D5E2" w14:textId="78FA469E" w:rsidR="003F0B6D" w:rsidRPr="003F0B6D" w:rsidRDefault="003F0B6D" w:rsidP="00C81FD1">
      <w:pPr>
        <w:pStyle w:val="ListParagraph"/>
        <w:numPr>
          <w:ilvl w:val="0"/>
          <w:numId w:val="42"/>
        </w:numPr>
      </w:pPr>
      <w:r w:rsidRPr="003F0B6D">
        <w:t>National Lottery Heritage Fund</w:t>
      </w:r>
    </w:p>
    <w:p w14:paraId="6E8249F1" w14:textId="3A05BF0F" w:rsidR="003F0B6D" w:rsidRPr="003F0B6D" w:rsidRDefault="003F0B6D" w:rsidP="00C81FD1">
      <w:pPr>
        <w:pStyle w:val="ListParagraph"/>
        <w:numPr>
          <w:ilvl w:val="0"/>
          <w:numId w:val="42"/>
        </w:numPr>
      </w:pPr>
      <w:r w:rsidRPr="003F0B6D">
        <w:t>Oak Foundation</w:t>
      </w:r>
    </w:p>
    <w:p w14:paraId="175B92B9" w14:textId="5AD68619" w:rsidR="003F0B6D" w:rsidRPr="003F0B6D" w:rsidRDefault="003F0B6D" w:rsidP="00C81FD1">
      <w:pPr>
        <w:pStyle w:val="ListParagraph"/>
        <w:numPr>
          <w:ilvl w:val="0"/>
          <w:numId w:val="42"/>
        </w:numPr>
      </w:pPr>
      <w:r w:rsidRPr="003F0B6D">
        <w:t xml:space="preserve">The </w:t>
      </w:r>
      <w:proofErr w:type="gramStart"/>
      <w:r w:rsidRPr="003F0B6D">
        <w:t>29th</w:t>
      </w:r>
      <w:proofErr w:type="gramEnd"/>
      <w:r w:rsidRPr="003F0B6D">
        <w:t xml:space="preserve"> May 1961 Charitable Trust</w:t>
      </w:r>
    </w:p>
    <w:p w14:paraId="2F18738A" w14:textId="012C2F0F" w:rsidR="003F0B6D" w:rsidRPr="003F0B6D" w:rsidRDefault="003F0B6D" w:rsidP="00C81FD1">
      <w:pPr>
        <w:pStyle w:val="ListParagraph"/>
        <w:numPr>
          <w:ilvl w:val="0"/>
          <w:numId w:val="42"/>
        </w:numPr>
      </w:pPr>
      <w:r w:rsidRPr="003F0B6D">
        <w:t>Veolia Environmental Trust</w:t>
      </w:r>
    </w:p>
    <w:p w14:paraId="1AF851BE" w14:textId="4A1D6695" w:rsidR="003F0B6D" w:rsidRPr="003F0B6D" w:rsidRDefault="003F0B6D" w:rsidP="00C81FD1">
      <w:pPr>
        <w:pStyle w:val="ListParagraph"/>
        <w:numPr>
          <w:ilvl w:val="0"/>
          <w:numId w:val="42"/>
        </w:numPr>
      </w:pPr>
      <w:r w:rsidRPr="003F0B6D">
        <w:t>Wolfson Foundation</w:t>
      </w:r>
    </w:p>
    <w:p w14:paraId="084A13AE" w14:textId="77777777" w:rsidR="003F0B6D" w:rsidRDefault="003F0B6D">
      <w:pPr>
        <w:rPr>
          <w:i/>
        </w:rPr>
      </w:pPr>
    </w:p>
    <w:p w14:paraId="6A4D3F09" w14:textId="77777777" w:rsidR="003F0B6D" w:rsidRDefault="003F0B6D" w:rsidP="003F0B6D">
      <w:pPr>
        <w:jc w:val="both"/>
      </w:pPr>
      <w:r>
        <w:t>We are particularly grateful to the following individuals who have supported our work over the past year:</w:t>
      </w:r>
    </w:p>
    <w:p w14:paraId="3DE9FDEE" w14:textId="2179600A" w:rsidR="004122EF" w:rsidRPr="004122EF" w:rsidRDefault="004122EF" w:rsidP="00C81FD1">
      <w:pPr>
        <w:pStyle w:val="ListParagraph"/>
        <w:numPr>
          <w:ilvl w:val="0"/>
          <w:numId w:val="43"/>
        </w:numPr>
      </w:pPr>
      <w:r w:rsidRPr="004122EF">
        <w:t xml:space="preserve">Alyson and David Elliman </w:t>
      </w:r>
    </w:p>
    <w:p w14:paraId="54BF7325" w14:textId="13BD93E2" w:rsidR="004122EF" w:rsidRPr="004122EF" w:rsidRDefault="004122EF" w:rsidP="00C81FD1">
      <w:pPr>
        <w:pStyle w:val="ListParagraph"/>
        <w:numPr>
          <w:ilvl w:val="0"/>
          <w:numId w:val="43"/>
        </w:numPr>
      </w:pPr>
      <w:r w:rsidRPr="004122EF">
        <w:t xml:space="preserve">Andrew Rutherford </w:t>
      </w:r>
    </w:p>
    <w:p w14:paraId="4FB12A8E" w14:textId="08DEA154" w:rsidR="004122EF" w:rsidRPr="004122EF" w:rsidRDefault="004122EF" w:rsidP="00C81FD1">
      <w:pPr>
        <w:pStyle w:val="ListParagraph"/>
        <w:numPr>
          <w:ilvl w:val="0"/>
          <w:numId w:val="43"/>
        </w:numPr>
      </w:pPr>
      <w:proofErr w:type="spellStart"/>
      <w:r w:rsidRPr="004122EF">
        <w:t>Anjte</w:t>
      </w:r>
      <w:proofErr w:type="spellEnd"/>
      <w:r w:rsidRPr="004122EF">
        <w:t xml:space="preserve"> </w:t>
      </w:r>
      <w:proofErr w:type="spellStart"/>
      <w:r w:rsidRPr="004122EF">
        <w:t>Erhlich</w:t>
      </w:r>
      <w:proofErr w:type="spellEnd"/>
      <w:r w:rsidRPr="004122EF">
        <w:t xml:space="preserve"> </w:t>
      </w:r>
    </w:p>
    <w:p w14:paraId="5ABA7ACD" w14:textId="24B42909" w:rsidR="004122EF" w:rsidRPr="004122EF" w:rsidRDefault="004122EF" w:rsidP="00C81FD1">
      <w:pPr>
        <w:pStyle w:val="ListParagraph"/>
        <w:numPr>
          <w:ilvl w:val="0"/>
          <w:numId w:val="43"/>
        </w:numPr>
      </w:pPr>
      <w:r w:rsidRPr="004122EF">
        <w:t xml:space="preserve">Anna Harford </w:t>
      </w:r>
    </w:p>
    <w:p w14:paraId="3F05F5EC" w14:textId="7487C739" w:rsidR="004122EF" w:rsidRPr="004122EF" w:rsidRDefault="004122EF" w:rsidP="00C81FD1">
      <w:pPr>
        <w:pStyle w:val="ListParagraph"/>
        <w:numPr>
          <w:ilvl w:val="0"/>
          <w:numId w:val="43"/>
        </w:numPr>
      </w:pPr>
      <w:r w:rsidRPr="004122EF">
        <w:t xml:space="preserve">Brian O'Sullivan </w:t>
      </w:r>
    </w:p>
    <w:p w14:paraId="62B82457" w14:textId="56CF0261" w:rsidR="004122EF" w:rsidRPr="004122EF" w:rsidRDefault="004122EF" w:rsidP="00C81FD1">
      <w:pPr>
        <w:pStyle w:val="ListParagraph"/>
        <w:numPr>
          <w:ilvl w:val="0"/>
          <w:numId w:val="43"/>
        </w:numPr>
      </w:pPr>
      <w:r w:rsidRPr="004122EF">
        <w:t xml:space="preserve">Calum Wyatt </w:t>
      </w:r>
    </w:p>
    <w:p w14:paraId="4D5713FE" w14:textId="027D0474" w:rsidR="004122EF" w:rsidRPr="004122EF" w:rsidRDefault="004122EF" w:rsidP="00C81FD1">
      <w:pPr>
        <w:pStyle w:val="ListParagraph"/>
        <w:numPr>
          <w:ilvl w:val="0"/>
          <w:numId w:val="43"/>
        </w:numPr>
      </w:pPr>
      <w:r w:rsidRPr="004122EF">
        <w:t xml:space="preserve">Carole Souter </w:t>
      </w:r>
    </w:p>
    <w:p w14:paraId="20A6D0D1" w14:textId="25864405" w:rsidR="004122EF" w:rsidRPr="004122EF" w:rsidRDefault="004122EF" w:rsidP="00C81FD1">
      <w:pPr>
        <w:pStyle w:val="ListParagraph"/>
        <w:numPr>
          <w:ilvl w:val="0"/>
          <w:numId w:val="43"/>
        </w:numPr>
      </w:pPr>
      <w:r w:rsidRPr="004122EF">
        <w:t xml:space="preserve">Charles Wynn-Evans  </w:t>
      </w:r>
    </w:p>
    <w:p w14:paraId="3AA597BA" w14:textId="415E71E6" w:rsidR="004122EF" w:rsidRPr="004122EF" w:rsidRDefault="004122EF" w:rsidP="00C81FD1">
      <w:pPr>
        <w:pStyle w:val="ListParagraph"/>
        <w:numPr>
          <w:ilvl w:val="0"/>
          <w:numId w:val="43"/>
        </w:numPr>
      </w:pPr>
      <w:r w:rsidRPr="004122EF">
        <w:t xml:space="preserve">Charlotte Rooney </w:t>
      </w:r>
    </w:p>
    <w:p w14:paraId="7DBA7E14" w14:textId="5EC904A3" w:rsidR="004122EF" w:rsidRPr="004122EF" w:rsidRDefault="004122EF" w:rsidP="00C81FD1">
      <w:pPr>
        <w:pStyle w:val="ListParagraph"/>
        <w:numPr>
          <w:ilvl w:val="0"/>
          <w:numId w:val="43"/>
        </w:numPr>
      </w:pPr>
      <w:r w:rsidRPr="004122EF">
        <w:lastRenderedPageBreak/>
        <w:t xml:space="preserve">Daniel and Anja Bailey </w:t>
      </w:r>
    </w:p>
    <w:p w14:paraId="7683B85A" w14:textId="4F959DA3" w:rsidR="004122EF" w:rsidRPr="004122EF" w:rsidRDefault="004122EF" w:rsidP="00C81FD1">
      <w:pPr>
        <w:pStyle w:val="ListParagraph"/>
        <w:numPr>
          <w:ilvl w:val="0"/>
          <w:numId w:val="43"/>
        </w:numPr>
      </w:pPr>
      <w:r w:rsidRPr="004122EF">
        <w:t xml:space="preserve">David Hewitt </w:t>
      </w:r>
    </w:p>
    <w:p w14:paraId="364454E6" w14:textId="15BB6CCB" w:rsidR="004122EF" w:rsidRPr="004122EF" w:rsidRDefault="004122EF" w:rsidP="00C81FD1">
      <w:pPr>
        <w:pStyle w:val="ListParagraph"/>
        <w:numPr>
          <w:ilvl w:val="0"/>
          <w:numId w:val="43"/>
        </w:numPr>
      </w:pPr>
      <w:r w:rsidRPr="004122EF">
        <w:t xml:space="preserve">Edward Hales </w:t>
      </w:r>
    </w:p>
    <w:p w14:paraId="7679CD4C" w14:textId="657691C5" w:rsidR="004122EF" w:rsidRPr="004122EF" w:rsidRDefault="004122EF" w:rsidP="00C81FD1">
      <w:pPr>
        <w:pStyle w:val="ListParagraph"/>
        <w:numPr>
          <w:ilvl w:val="0"/>
          <w:numId w:val="43"/>
        </w:numPr>
      </w:pPr>
      <w:r w:rsidRPr="004122EF">
        <w:t xml:space="preserve">Eric Roper </w:t>
      </w:r>
    </w:p>
    <w:p w14:paraId="39C5E355" w14:textId="29E193DD" w:rsidR="004122EF" w:rsidRPr="004122EF" w:rsidRDefault="004122EF" w:rsidP="00C81FD1">
      <w:pPr>
        <w:pStyle w:val="ListParagraph"/>
        <w:numPr>
          <w:ilvl w:val="0"/>
          <w:numId w:val="43"/>
        </w:numPr>
      </w:pPr>
      <w:r w:rsidRPr="004122EF">
        <w:t xml:space="preserve">Erica Perry </w:t>
      </w:r>
    </w:p>
    <w:p w14:paraId="77AEFE21" w14:textId="6319043F" w:rsidR="004122EF" w:rsidRPr="004122EF" w:rsidRDefault="004122EF" w:rsidP="00C81FD1">
      <w:pPr>
        <w:pStyle w:val="ListParagraph"/>
        <w:numPr>
          <w:ilvl w:val="0"/>
          <w:numId w:val="43"/>
        </w:numPr>
      </w:pPr>
      <w:r w:rsidRPr="004122EF">
        <w:t xml:space="preserve">Fiona Clements </w:t>
      </w:r>
    </w:p>
    <w:p w14:paraId="0F58386B" w14:textId="08BAFEDC" w:rsidR="004122EF" w:rsidRPr="004122EF" w:rsidRDefault="004122EF" w:rsidP="00C81FD1">
      <w:pPr>
        <w:pStyle w:val="ListParagraph"/>
        <w:numPr>
          <w:ilvl w:val="0"/>
          <w:numId w:val="43"/>
        </w:numPr>
      </w:pPr>
      <w:r w:rsidRPr="004122EF">
        <w:t xml:space="preserve">Frances Carey </w:t>
      </w:r>
    </w:p>
    <w:p w14:paraId="4679213C" w14:textId="7A36BD24" w:rsidR="004122EF" w:rsidRPr="004122EF" w:rsidRDefault="004122EF" w:rsidP="00C81FD1">
      <w:pPr>
        <w:pStyle w:val="ListParagraph"/>
        <w:numPr>
          <w:ilvl w:val="0"/>
          <w:numId w:val="43"/>
        </w:numPr>
      </w:pPr>
      <w:r w:rsidRPr="004122EF">
        <w:t xml:space="preserve">Gareth Price </w:t>
      </w:r>
    </w:p>
    <w:p w14:paraId="2FFCD5C3" w14:textId="12229215" w:rsidR="004122EF" w:rsidRPr="004122EF" w:rsidRDefault="004122EF" w:rsidP="00C81FD1">
      <w:pPr>
        <w:pStyle w:val="ListParagraph"/>
        <w:numPr>
          <w:ilvl w:val="0"/>
          <w:numId w:val="43"/>
        </w:numPr>
      </w:pPr>
      <w:r w:rsidRPr="004122EF">
        <w:t xml:space="preserve">Gavin English </w:t>
      </w:r>
    </w:p>
    <w:p w14:paraId="11A160F3" w14:textId="432D0639" w:rsidR="004122EF" w:rsidRPr="004122EF" w:rsidRDefault="004122EF" w:rsidP="00C81FD1">
      <w:pPr>
        <w:pStyle w:val="ListParagraph"/>
        <w:numPr>
          <w:ilvl w:val="0"/>
          <w:numId w:val="43"/>
        </w:numPr>
      </w:pPr>
      <w:r w:rsidRPr="004122EF">
        <w:t xml:space="preserve">George Loudon </w:t>
      </w:r>
    </w:p>
    <w:p w14:paraId="77110C36" w14:textId="73D77868" w:rsidR="004122EF" w:rsidRPr="004122EF" w:rsidRDefault="004122EF" w:rsidP="00C81FD1">
      <w:pPr>
        <w:pStyle w:val="ListParagraph"/>
        <w:numPr>
          <w:ilvl w:val="0"/>
          <w:numId w:val="43"/>
        </w:numPr>
      </w:pPr>
      <w:r w:rsidRPr="004122EF">
        <w:t xml:space="preserve">Hamish Parker Charitable Trust </w:t>
      </w:r>
    </w:p>
    <w:p w14:paraId="640E6DD3" w14:textId="10341671" w:rsidR="004122EF" w:rsidRPr="004122EF" w:rsidRDefault="004122EF" w:rsidP="00C81FD1">
      <w:pPr>
        <w:pStyle w:val="ListParagraph"/>
        <w:numPr>
          <w:ilvl w:val="0"/>
          <w:numId w:val="43"/>
        </w:numPr>
      </w:pPr>
      <w:r w:rsidRPr="004122EF">
        <w:t xml:space="preserve">Ian Tollett and Jessica Matthews </w:t>
      </w:r>
    </w:p>
    <w:p w14:paraId="18981B62" w14:textId="4BED2D29" w:rsidR="004122EF" w:rsidRPr="004122EF" w:rsidRDefault="004122EF" w:rsidP="00C81FD1">
      <w:pPr>
        <w:pStyle w:val="ListParagraph"/>
        <w:numPr>
          <w:ilvl w:val="0"/>
          <w:numId w:val="43"/>
        </w:numPr>
      </w:pPr>
      <w:r w:rsidRPr="004122EF">
        <w:t xml:space="preserve">Isabel Hodson </w:t>
      </w:r>
    </w:p>
    <w:p w14:paraId="1E5F4F60" w14:textId="3FEC3F69" w:rsidR="004122EF" w:rsidRPr="004122EF" w:rsidRDefault="004122EF" w:rsidP="00C81FD1">
      <w:pPr>
        <w:pStyle w:val="ListParagraph"/>
        <w:numPr>
          <w:ilvl w:val="0"/>
          <w:numId w:val="43"/>
        </w:numPr>
      </w:pPr>
      <w:r w:rsidRPr="004122EF">
        <w:t xml:space="preserve">Jo Porter </w:t>
      </w:r>
    </w:p>
    <w:p w14:paraId="4974E85F" w14:textId="2FA0E9AD" w:rsidR="004122EF" w:rsidRPr="004122EF" w:rsidRDefault="004122EF" w:rsidP="00C81FD1">
      <w:pPr>
        <w:pStyle w:val="ListParagraph"/>
        <w:numPr>
          <w:ilvl w:val="0"/>
          <w:numId w:val="43"/>
        </w:numPr>
      </w:pPr>
      <w:r w:rsidRPr="004122EF">
        <w:t xml:space="preserve">Joanna Kay </w:t>
      </w:r>
    </w:p>
    <w:p w14:paraId="25035DD4" w14:textId="5BAFD280" w:rsidR="004122EF" w:rsidRPr="004122EF" w:rsidRDefault="004122EF" w:rsidP="00C81FD1">
      <w:pPr>
        <w:pStyle w:val="ListParagraph"/>
        <w:numPr>
          <w:ilvl w:val="0"/>
          <w:numId w:val="43"/>
        </w:numPr>
      </w:pPr>
      <w:r w:rsidRPr="004122EF">
        <w:t xml:space="preserve">John Coulthard </w:t>
      </w:r>
    </w:p>
    <w:p w14:paraId="0D335547" w14:textId="62214582" w:rsidR="004122EF" w:rsidRPr="004122EF" w:rsidRDefault="004122EF" w:rsidP="00C81FD1">
      <w:pPr>
        <w:pStyle w:val="ListParagraph"/>
        <w:numPr>
          <w:ilvl w:val="0"/>
          <w:numId w:val="43"/>
        </w:numPr>
      </w:pPr>
      <w:r w:rsidRPr="004122EF">
        <w:t xml:space="preserve">John Firmin </w:t>
      </w:r>
    </w:p>
    <w:p w14:paraId="055B2E4F" w14:textId="6DDE1349" w:rsidR="004122EF" w:rsidRPr="004122EF" w:rsidRDefault="004122EF" w:rsidP="00C81FD1">
      <w:pPr>
        <w:pStyle w:val="ListParagraph"/>
        <w:numPr>
          <w:ilvl w:val="0"/>
          <w:numId w:val="43"/>
        </w:numPr>
      </w:pPr>
      <w:r w:rsidRPr="004122EF">
        <w:t xml:space="preserve">Joseph McCaig </w:t>
      </w:r>
    </w:p>
    <w:p w14:paraId="160C31F1" w14:textId="1E2E8489" w:rsidR="004122EF" w:rsidRPr="004122EF" w:rsidRDefault="004122EF" w:rsidP="00C81FD1">
      <w:pPr>
        <w:pStyle w:val="ListParagraph"/>
        <w:numPr>
          <w:ilvl w:val="0"/>
          <w:numId w:val="43"/>
        </w:numPr>
      </w:pPr>
      <w:r w:rsidRPr="004122EF">
        <w:t xml:space="preserve">Kate Stevens </w:t>
      </w:r>
    </w:p>
    <w:p w14:paraId="6CE4A897" w14:textId="65390463" w:rsidR="004122EF" w:rsidRPr="004122EF" w:rsidRDefault="004122EF" w:rsidP="00C81FD1">
      <w:pPr>
        <w:pStyle w:val="ListParagraph"/>
        <w:numPr>
          <w:ilvl w:val="0"/>
          <w:numId w:val="43"/>
        </w:numPr>
      </w:pPr>
      <w:proofErr w:type="spellStart"/>
      <w:r w:rsidRPr="004122EF">
        <w:t>Marqret</w:t>
      </w:r>
      <w:proofErr w:type="spellEnd"/>
      <w:r w:rsidRPr="004122EF">
        <w:t xml:space="preserve"> Carey </w:t>
      </w:r>
    </w:p>
    <w:p w14:paraId="1B2491FC" w14:textId="436B285C" w:rsidR="004122EF" w:rsidRPr="004122EF" w:rsidRDefault="004122EF" w:rsidP="00C81FD1">
      <w:pPr>
        <w:pStyle w:val="ListParagraph"/>
        <w:numPr>
          <w:ilvl w:val="0"/>
          <w:numId w:val="43"/>
        </w:numPr>
      </w:pPr>
      <w:r w:rsidRPr="004122EF">
        <w:t xml:space="preserve">Mary Kempson </w:t>
      </w:r>
    </w:p>
    <w:p w14:paraId="65011E07" w14:textId="3CB920BB" w:rsidR="004122EF" w:rsidRPr="004122EF" w:rsidRDefault="004122EF" w:rsidP="00C81FD1">
      <w:pPr>
        <w:pStyle w:val="ListParagraph"/>
        <w:numPr>
          <w:ilvl w:val="0"/>
          <w:numId w:val="43"/>
        </w:numPr>
      </w:pPr>
      <w:r w:rsidRPr="004122EF">
        <w:t xml:space="preserve">Mayowa </w:t>
      </w:r>
      <w:proofErr w:type="spellStart"/>
      <w:r w:rsidRPr="004122EF">
        <w:t>Ochere</w:t>
      </w:r>
      <w:proofErr w:type="spellEnd"/>
      <w:r w:rsidRPr="004122EF">
        <w:t xml:space="preserve"> </w:t>
      </w:r>
    </w:p>
    <w:p w14:paraId="76E9D632" w14:textId="28874564" w:rsidR="004122EF" w:rsidRPr="004122EF" w:rsidRDefault="004122EF" w:rsidP="00C81FD1">
      <w:pPr>
        <w:pStyle w:val="ListParagraph"/>
        <w:numPr>
          <w:ilvl w:val="0"/>
          <w:numId w:val="43"/>
        </w:numPr>
      </w:pPr>
      <w:r w:rsidRPr="004122EF">
        <w:t xml:space="preserve">Nicholas Merriman </w:t>
      </w:r>
    </w:p>
    <w:p w14:paraId="03CB2C56" w14:textId="4E980ADA" w:rsidR="004122EF" w:rsidRPr="004122EF" w:rsidRDefault="004122EF" w:rsidP="00C81FD1">
      <w:pPr>
        <w:pStyle w:val="ListParagraph"/>
        <w:numPr>
          <w:ilvl w:val="0"/>
          <w:numId w:val="43"/>
        </w:numPr>
      </w:pPr>
      <w:r w:rsidRPr="004122EF">
        <w:t xml:space="preserve">Paul Brand </w:t>
      </w:r>
    </w:p>
    <w:p w14:paraId="24708F93" w14:textId="63FA64DE" w:rsidR="004122EF" w:rsidRPr="004122EF" w:rsidRDefault="004122EF" w:rsidP="00C81FD1">
      <w:pPr>
        <w:pStyle w:val="ListParagraph"/>
        <w:numPr>
          <w:ilvl w:val="0"/>
          <w:numId w:val="43"/>
        </w:numPr>
      </w:pPr>
      <w:r w:rsidRPr="004122EF">
        <w:t xml:space="preserve">Penelope Jarrett and Oliver Kerr </w:t>
      </w:r>
    </w:p>
    <w:p w14:paraId="0D40B3F3" w14:textId="4E12E199" w:rsidR="004122EF" w:rsidRPr="004122EF" w:rsidRDefault="004122EF" w:rsidP="00C81FD1">
      <w:pPr>
        <w:pStyle w:val="ListParagraph"/>
        <w:numPr>
          <w:ilvl w:val="0"/>
          <w:numId w:val="43"/>
        </w:numPr>
      </w:pPr>
      <w:r w:rsidRPr="004122EF">
        <w:t xml:space="preserve">Peter Baldwin  </w:t>
      </w:r>
    </w:p>
    <w:p w14:paraId="064437F0" w14:textId="1912A861" w:rsidR="004122EF" w:rsidRPr="004122EF" w:rsidRDefault="004122EF" w:rsidP="00C81FD1">
      <w:pPr>
        <w:pStyle w:val="ListParagraph"/>
        <w:numPr>
          <w:ilvl w:val="0"/>
          <w:numId w:val="43"/>
        </w:numPr>
      </w:pPr>
      <w:r w:rsidRPr="004122EF">
        <w:t xml:space="preserve">Peter Head </w:t>
      </w:r>
    </w:p>
    <w:p w14:paraId="0222B0AF" w14:textId="6C0AF1E0" w:rsidR="004122EF" w:rsidRPr="004122EF" w:rsidRDefault="004122EF" w:rsidP="00C81FD1">
      <w:pPr>
        <w:pStyle w:val="ListParagraph"/>
        <w:numPr>
          <w:ilvl w:val="0"/>
          <w:numId w:val="43"/>
        </w:numPr>
      </w:pPr>
      <w:r w:rsidRPr="004122EF">
        <w:t>Peter Micklethwait</w:t>
      </w:r>
    </w:p>
    <w:p w14:paraId="07E0C96C" w14:textId="5197AAD2" w:rsidR="004122EF" w:rsidRPr="004122EF" w:rsidRDefault="004122EF" w:rsidP="00C81FD1">
      <w:pPr>
        <w:pStyle w:val="ListParagraph"/>
        <w:numPr>
          <w:ilvl w:val="0"/>
          <w:numId w:val="43"/>
        </w:numPr>
      </w:pPr>
      <w:r w:rsidRPr="004122EF">
        <w:t xml:space="preserve">Philippa and Mai-Ling Bosman-Savage </w:t>
      </w:r>
    </w:p>
    <w:p w14:paraId="559BEF47" w14:textId="44F63E7C" w:rsidR="004122EF" w:rsidRPr="004122EF" w:rsidRDefault="004122EF" w:rsidP="00C81FD1">
      <w:pPr>
        <w:pStyle w:val="ListParagraph"/>
        <w:numPr>
          <w:ilvl w:val="0"/>
          <w:numId w:val="43"/>
        </w:numPr>
      </w:pPr>
      <w:r w:rsidRPr="004122EF">
        <w:t xml:space="preserve">Rachel Coldicutt </w:t>
      </w:r>
    </w:p>
    <w:p w14:paraId="5A376CB8" w14:textId="5E9D20BE" w:rsidR="004122EF" w:rsidRPr="004122EF" w:rsidRDefault="004122EF" w:rsidP="00C81FD1">
      <w:pPr>
        <w:pStyle w:val="ListParagraph"/>
        <w:numPr>
          <w:ilvl w:val="0"/>
          <w:numId w:val="43"/>
        </w:numPr>
      </w:pPr>
      <w:r w:rsidRPr="004122EF">
        <w:t xml:space="preserve">Richard Blurton </w:t>
      </w:r>
    </w:p>
    <w:p w14:paraId="1B52BC04" w14:textId="1454DB5B" w:rsidR="004122EF" w:rsidRPr="004122EF" w:rsidRDefault="004122EF" w:rsidP="00C81FD1">
      <w:pPr>
        <w:pStyle w:val="ListParagraph"/>
        <w:numPr>
          <w:ilvl w:val="0"/>
          <w:numId w:val="43"/>
        </w:numPr>
      </w:pPr>
      <w:r w:rsidRPr="004122EF">
        <w:t xml:space="preserve">Richard Davies </w:t>
      </w:r>
    </w:p>
    <w:p w14:paraId="5003B1E1" w14:textId="793DAF6C" w:rsidR="004122EF" w:rsidRPr="004122EF" w:rsidRDefault="004122EF" w:rsidP="00C81FD1">
      <w:pPr>
        <w:pStyle w:val="ListParagraph"/>
        <w:numPr>
          <w:ilvl w:val="0"/>
          <w:numId w:val="43"/>
        </w:numPr>
      </w:pPr>
      <w:r w:rsidRPr="004122EF">
        <w:t xml:space="preserve">Rob Salter-Church </w:t>
      </w:r>
    </w:p>
    <w:p w14:paraId="38CBE911" w14:textId="016C0F5C" w:rsidR="004122EF" w:rsidRPr="004122EF" w:rsidRDefault="004122EF" w:rsidP="00C81FD1">
      <w:pPr>
        <w:pStyle w:val="ListParagraph"/>
        <w:numPr>
          <w:ilvl w:val="0"/>
          <w:numId w:val="43"/>
        </w:numPr>
      </w:pPr>
      <w:r w:rsidRPr="004122EF">
        <w:t xml:space="preserve">Rosie Jackson </w:t>
      </w:r>
    </w:p>
    <w:p w14:paraId="01B91356" w14:textId="572A6B73" w:rsidR="004122EF" w:rsidRPr="004122EF" w:rsidRDefault="004122EF" w:rsidP="00C81FD1">
      <w:pPr>
        <w:pStyle w:val="ListParagraph"/>
        <w:numPr>
          <w:ilvl w:val="0"/>
          <w:numId w:val="43"/>
        </w:numPr>
      </w:pPr>
      <w:r w:rsidRPr="004122EF">
        <w:t xml:space="preserve">Sally and Michael Bridgeland </w:t>
      </w:r>
    </w:p>
    <w:p w14:paraId="34277BC5" w14:textId="6208DF31" w:rsidR="004122EF" w:rsidRPr="004122EF" w:rsidRDefault="004122EF" w:rsidP="00C81FD1">
      <w:pPr>
        <w:pStyle w:val="ListParagraph"/>
        <w:numPr>
          <w:ilvl w:val="0"/>
          <w:numId w:val="43"/>
        </w:numPr>
      </w:pPr>
      <w:r w:rsidRPr="004122EF">
        <w:t xml:space="preserve">Sally Babi </w:t>
      </w:r>
    </w:p>
    <w:p w14:paraId="69C410E1" w14:textId="7981D605" w:rsidR="004122EF" w:rsidRPr="004122EF" w:rsidRDefault="004122EF" w:rsidP="00C81FD1">
      <w:pPr>
        <w:pStyle w:val="ListParagraph"/>
        <w:numPr>
          <w:ilvl w:val="0"/>
          <w:numId w:val="43"/>
        </w:numPr>
      </w:pPr>
      <w:r w:rsidRPr="004122EF">
        <w:t xml:space="preserve">Samantha Riches </w:t>
      </w:r>
    </w:p>
    <w:p w14:paraId="21C87031" w14:textId="19169CC3" w:rsidR="004122EF" w:rsidRPr="004122EF" w:rsidRDefault="004122EF" w:rsidP="00C81FD1">
      <w:pPr>
        <w:pStyle w:val="ListParagraph"/>
        <w:numPr>
          <w:ilvl w:val="0"/>
          <w:numId w:val="43"/>
        </w:numPr>
      </w:pPr>
      <w:r w:rsidRPr="004122EF">
        <w:t xml:space="preserve">Sandra Pepperell </w:t>
      </w:r>
    </w:p>
    <w:p w14:paraId="2184C339" w14:textId="2D435F8A" w:rsidR="004122EF" w:rsidRPr="004122EF" w:rsidRDefault="004122EF" w:rsidP="00C81FD1">
      <w:pPr>
        <w:pStyle w:val="ListParagraph"/>
        <w:numPr>
          <w:ilvl w:val="0"/>
          <w:numId w:val="43"/>
        </w:numPr>
      </w:pPr>
      <w:r w:rsidRPr="004122EF">
        <w:t xml:space="preserve">Sara and David Hanna-Grindall </w:t>
      </w:r>
    </w:p>
    <w:p w14:paraId="7D4216C1" w14:textId="3B4B7044" w:rsidR="004122EF" w:rsidRPr="004122EF" w:rsidRDefault="004122EF" w:rsidP="00C81FD1">
      <w:pPr>
        <w:pStyle w:val="ListParagraph"/>
        <w:numPr>
          <w:ilvl w:val="0"/>
          <w:numId w:val="43"/>
        </w:numPr>
      </w:pPr>
      <w:r w:rsidRPr="004122EF">
        <w:t xml:space="preserve">Sarah Horniman </w:t>
      </w:r>
    </w:p>
    <w:p w14:paraId="6B6FDB07" w14:textId="72C1EFA8" w:rsidR="004122EF" w:rsidRPr="004122EF" w:rsidRDefault="004122EF" w:rsidP="00C81FD1">
      <w:pPr>
        <w:pStyle w:val="ListParagraph"/>
        <w:numPr>
          <w:ilvl w:val="0"/>
          <w:numId w:val="43"/>
        </w:numPr>
      </w:pPr>
      <w:r w:rsidRPr="004122EF">
        <w:t>Sarah Mahomed Ross</w:t>
      </w:r>
    </w:p>
    <w:p w14:paraId="3D32918E" w14:textId="1503E049" w:rsidR="004122EF" w:rsidRPr="004122EF" w:rsidRDefault="004122EF" w:rsidP="00C81FD1">
      <w:pPr>
        <w:pStyle w:val="ListParagraph"/>
        <w:numPr>
          <w:ilvl w:val="0"/>
          <w:numId w:val="43"/>
        </w:numPr>
      </w:pPr>
      <w:r w:rsidRPr="004122EF">
        <w:t xml:space="preserve">Scott Keir </w:t>
      </w:r>
    </w:p>
    <w:p w14:paraId="5806D1B8" w14:textId="76FCDEB1" w:rsidR="004122EF" w:rsidRPr="004122EF" w:rsidRDefault="004122EF" w:rsidP="00C81FD1">
      <w:pPr>
        <w:pStyle w:val="ListParagraph"/>
        <w:numPr>
          <w:ilvl w:val="0"/>
          <w:numId w:val="43"/>
        </w:numPr>
      </w:pPr>
      <w:r w:rsidRPr="004122EF">
        <w:t xml:space="preserve">Simon Edwards </w:t>
      </w:r>
    </w:p>
    <w:p w14:paraId="18A87795" w14:textId="6016DD28" w:rsidR="004122EF" w:rsidRPr="004122EF" w:rsidRDefault="004122EF" w:rsidP="00C81FD1">
      <w:pPr>
        <w:pStyle w:val="ListParagraph"/>
        <w:numPr>
          <w:ilvl w:val="0"/>
          <w:numId w:val="43"/>
        </w:numPr>
      </w:pPr>
      <w:r w:rsidRPr="004122EF">
        <w:t xml:space="preserve">Simon </w:t>
      </w:r>
      <w:proofErr w:type="spellStart"/>
      <w:r w:rsidRPr="004122EF">
        <w:t>Granleese</w:t>
      </w:r>
      <w:proofErr w:type="spellEnd"/>
      <w:r w:rsidRPr="004122EF">
        <w:t xml:space="preserve"> </w:t>
      </w:r>
    </w:p>
    <w:p w14:paraId="12004CA6" w14:textId="24B70F80" w:rsidR="004122EF" w:rsidRPr="004122EF" w:rsidRDefault="004122EF" w:rsidP="00C81FD1">
      <w:pPr>
        <w:pStyle w:val="ListParagraph"/>
        <w:numPr>
          <w:ilvl w:val="0"/>
          <w:numId w:val="43"/>
        </w:numPr>
      </w:pPr>
      <w:r w:rsidRPr="004122EF">
        <w:t xml:space="preserve">Simon Hesketh </w:t>
      </w:r>
    </w:p>
    <w:p w14:paraId="308934A7" w14:textId="193B36C9" w:rsidR="004122EF" w:rsidRPr="004122EF" w:rsidRDefault="004122EF" w:rsidP="00C81FD1">
      <w:pPr>
        <w:pStyle w:val="ListParagraph"/>
        <w:numPr>
          <w:ilvl w:val="0"/>
          <w:numId w:val="43"/>
        </w:numPr>
      </w:pPr>
      <w:r w:rsidRPr="004122EF">
        <w:t xml:space="preserve">Stephen Dimon </w:t>
      </w:r>
    </w:p>
    <w:p w14:paraId="1AB5B4ED" w14:textId="2CE284EC" w:rsidR="004122EF" w:rsidRPr="004122EF" w:rsidRDefault="004122EF" w:rsidP="00C81FD1">
      <w:pPr>
        <w:pStyle w:val="ListParagraph"/>
        <w:numPr>
          <w:ilvl w:val="0"/>
          <w:numId w:val="43"/>
        </w:numPr>
      </w:pPr>
      <w:r w:rsidRPr="004122EF">
        <w:t xml:space="preserve">Stephen Whittle </w:t>
      </w:r>
    </w:p>
    <w:p w14:paraId="47EA9BCC" w14:textId="43A77AE1" w:rsidR="004122EF" w:rsidRPr="004122EF" w:rsidRDefault="004122EF" w:rsidP="00C81FD1">
      <w:pPr>
        <w:pStyle w:val="ListParagraph"/>
        <w:numPr>
          <w:ilvl w:val="0"/>
          <w:numId w:val="43"/>
        </w:numPr>
      </w:pPr>
      <w:r w:rsidRPr="004122EF">
        <w:t xml:space="preserve">Thomas and Rumana Bennett </w:t>
      </w:r>
    </w:p>
    <w:p w14:paraId="0E67C7B1" w14:textId="37271269" w:rsidR="004122EF" w:rsidRPr="004122EF" w:rsidRDefault="004122EF" w:rsidP="00C81FD1">
      <w:pPr>
        <w:pStyle w:val="ListParagraph"/>
        <w:numPr>
          <w:ilvl w:val="0"/>
          <w:numId w:val="43"/>
        </w:numPr>
      </w:pPr>
      <w:r w:rsidRPr="004122EF">
        <w:lastRenderedPageBreak/>
        <w:t xml:space="preserve">Victoria Appleby </w:t>
      </w:r>
    </w:p>
    <w:p w14:paraId="19C55F9F" w14:textId="2D4CDDA4" w:rsidR="003F0B6D" w:rsidRPr="004122EF" w:rsidRDefault="004122EF" w:rsidP="00C81FD1">
      <w:pPr>
        <w:pStyle w:val="ListParagraph"/>
        <w:numPr>
          <w:ilvl w:val="0"/>
          <w:numId w:val="43"/>
        </w:numPr>
      </w:pPr>
      <w:r w:rsidRPr="004122EF">
        <w:t>Virginia and David Hearn</w:t>
      </w:r>
    </w:p>
    <w:p w14:paraId="64771B83" w14:textId="77777777" w:rsidR="003F0B6D" w:rsidRDefault="003F0B6D">
      <w:pPr>
        <w:rPr>
          <w:i/>
        </w:rPr>
      </w:pPr>
    </w:p>
    <w:p w14:paraId="5DE9AA51" w14:textId="77777777" w:rsidR="004122EF" w:rsidRDefault="004122EF" w:rsidP="004122EF">
      <w:pPr>
        <w:jc w:val="both"/>
      </w:pPr>
      <w:r>
        <w:t xml:space="preserve">We are particularly grateful to the following individuals who have supported our Nature + Love campaign over the past year:  </w:t>
      </w:r>
    </w:p>
    <w:p w14:paraId="7B7492A9" w14:textId="77777777" w:rsidR="004122EF" w:rsidRPr="004122EF" w:rsidRDefault="004122EF" w:rsidP="00C81FD1">
      <w:pPr>
        <w:pStyle w:val="ListParagraph"/>
        <w:numPr>
          <w:ilvl w:val="0"/>
          <w:numId w:val="44"/>
        </w:numPr>
        <w:rPr>
          <w:iCs/>
        </w:rPr>
      </w:pPr>
      <w:r w:rsidRPr="004122EF">
        <w:rPr>
          <w:iCs/>
        </w:rPr>
        <w:t xml:space="preserve">Adam Hills </w:t>
      </w:r>
    </w:p>
    <w:p w14:paraId="422B6730" w14:textId="77777777" w:rsidR="004122EF" w:rsidRPr="004122EF" w:rsidRDefault="004122EF" w:rsidP="00C81FD1">
      <w:pPr>
        <w:pStyle w:val="ListParagraph"/>
        <w:numPr>
          <w:ilvl w:val="0"/>
          <w:numId w:val="44"/>
        </w:numPr>
        <w:rPr>
          <w:iCs/>
        </w:rPr>
      </w:pPr>
      <w:r w:rsidRPr="004122EF">
        <w:rPr>
          <w:iCs/>
        </w:rPr>
        <w:t xml:space="preserve">Adam Maddison </w:t>
      </w:r>
    </w:p>
    <w:p w14:paraId="162277C7" w14:textId="77777777" w:rsidR="004122EF" w:rsidRPr="004122EF" w:rsidRDefault="004122EF" w:rsidP="00C81FD1">
      <w:pPr>
        <w:pStyle w:val="ListParagraph"/>
        <w:numPr>
          <w:ilvl w:val="0"/>
          <w:numId w:val="44"/>
        </w:numPr>
        <w:rPr>
          <w:iCs/>
        </w:rPr>
      </w:pPr>
      <w:r w:rsidRPr="004122EF">
        <w:rPr>
          <w:iCs/>
        </w:rPr>
        <w:t xml:space="preserve">Alyson and David Elliman </w:t>
      </w:r>
    </w:p>
    <w:p w14:paraId="4359D0E1" w14:textId="77777777" w:rsidR="004122EF" w:rsidRPr="004122EF" w:rsidRDefault="004122EF" w:rsidP="00C81FD1">
      <w:pPr>
        <w:pStyle w:val="ListParagraph"/>
        <w:numPr>
          <w:ilvl w:val="0"/>
          <w:numId w:val="44"/>
        </w:numPr>
        <w:rPr>
          <w:iCs/>
        </w:rPr>
      </w:pPr>
      <w:r w:rsidRPr="004122EF">
        <w:rPr>
          <w:iCs/>
        </w:rPr>
        <w:t xml:space="preserve">Andrew Parkinson </w:t>
      </w:r>
    </w:p>
    <w:p w14:paraId="67AF1B6E" w14:textId="77777777" w:rsidR="004122EF" w:rsidRPr="004122EF" w:rsidRDefault="004122EF" w:rsidP="00C81FD1">
      <w:pPr>
        <w:pStyle w:val="ListParagraph"/>
        <w:numPr>
          <w:ilvl w:val="0"/>
          <w:numId w:val="44"/>
        </w:numPr>
        <w:rPr>
          <w:iCs/>
        </w:rPr>
      </w:pPr>
      <w:r w:rsidRPr="004122EF">
        <w:rPr>
          <w:iCs/>
        </w:rPr>
        <w:t xml:space="preserve">Carole Souter </w:t>
      </w:r>
    </w:p>
    <w:p w14:paraId="43BC470B" w14:textId="77777777" w:rsidR="004122EF" w:rsidRPr="004122EF" w:rsidRDefault="004122EF" w:rsidP="00C81FD1">
      <w:pPr>
        <w:pStyle w:val="ListParagraph"/>
        <w:numPr>
          <w:ilvl w:val="0"/>
          <w:numId w:val="44"/>
        </w:numPr>
        <w:rPr>
          <w:iCs/>
        </w:rPr>
      </w:pPr>
      <w:r w:rsidRPr="004122EF">
        <w:rPr>
          <w:iCs/>
        </w:rPr>
        <w:t xml:space="preserve">David Cousins </w:t>
      </w:r>
    </w:p>
    <w:p w14:paraId="28FE430B" w14:textId="77777777" w:rsidR="004122EF" w:rsidRPr="004122EF" w:rsidRDefault="004122EF" w:rsidP="00C81FD1">
      <w:pPr>
        <w:pStyle w:val="ListParagraph"/>
        <w:numPr>
          <w:ilvl w:val="0"/>
          <w:numId w:val="44"/>
        </w:numPr>
        <w:rPr>
          <w:iCs/>
        </w:rPr>
      </w:pPr>
      <w:r w:rsidRPr="004122EF">
        <w:rPr>
          <w:iCs/>
        </w:rPr>
        <w:t xml:space="preserve">Diana Maine </w:t>
      </w:r>
    </w:p>
    <w:p w14:paraId="3D5ED2DD" w14:textId="77777777" w:rsidR="004122EF" w:rsidRPr="004122EF" w:rsidRDefault="004122EF" w:rsidP="00C81FD1">
      <w:pPr>
        <w:pStyle w:val="ListParagraph"/>
        <w:numPr>
          <w:ilvl w:val="0"/>
          <w:numId w:val="44"/>
        </w:numPr>
        <w:rPr>
          <w:iCs/>
        </w:rPr>
      </w:pPr>
      <w:r w:rsidRPr="004122EF">
        <w:rPr>
          <w:iCs/>
        </w:rPr>
        <w:t xml:space="preserve">Edwina Sassoon </w:t>
      </w:r>
    </w:p>
    <w:p w14:paraId="79CC4844" w14:textId="77777777" w:rsidR="004122EF" w:rsidRPr="004122EF" w:rsidRDefault="004122EF" w:rsidP="00C81FD1">
      <w:pPr>
        <w:pStyle w:val="ListParagraph"/>
        <w:numPr>
          <w:ilvl w:val="0"/>
          <w:numId w:val="44"/>
        </w:numPr>
        <w:rPr>
          <w:iCs/>
        </w:rPr>
      </w:pPr>
      <w:r w:rsidRPr="004122EF">
        <w:rPr>
          <w:iCs/>
        </w:rPr>
        <w:t xml:space="preserve">Helen Ganiaris </w:t>
      </w:r>
    </w:p>
    <w:p w14:paraId="2CFD4CB2" w14:textId="77777777" w:rsidR="004122EF" w:rsidRPr="004122EF" w:rsidRDefault="004122EF" w:rsidP="00C81FD1">
      <w:pPr>
        <w:pStyle w:val="ListParagraph"/>
        <w:numPr>
          <w:ilvl w:val="0"/>
          <w:numId w:val="44"/>
        </w:numPr>
        <w:rPr>
          <w:iCs/>
        </w:rPr>
      </w:pPr>
      <w:r w:rsidRPr="004122EF">
        <w:rPr>
          <w:iCs/>
        </w:rPr>
        <w:t xml:space="preserve">Ian Morgan </w:t>
      </w:r>
    </w:p>
    <w:p w14:paraId="0C740309" w14:textId="77777777" w:rsidR="004122EF" w:rsidRPr="004122EF" w:rsidRDefault="004122EF" w:rsidP="00C81FD1">
      <w:pPr>
        <w:pStyle w:val="ListParagraph"/>
        <w:numPr>
          <w:ilvl w:val="0"/>
          <w:numId w:val="44"/>
        </w:numPr>
        <w:rPr>
          <w:iCs/>
        </w:rPr>
      </w:pPr>
      <w:r w:rsidRPr="004122EF">
        <w:rPr>
          <w:iCs/>
        </w:rPr>
        <w:t xml:space="preserve">James Foreman </w:t>
      </w:r>
    </w:p>
    <w:p w14:paraId="59A536DA" w14:textId="77777777" w:rsidR="004122EF" w:rsidRPr="004122EF" w:rsidRDefault="004122EF" w:rsidP="00C81FD1">
      <w:pPr>
        <w:pStyle w:val="ListParagraph"/>
        <w:numPr>
          <w:ilvl w:val="0"/>
          <w:numId w:val="44"/>
        </w:numPr>
        <w:rPr>
          <w:iCs/>
        </w:rPr>
      </w:pPr>
      <w:r w:rsidRPr="004122EF">
        <w:rPr>
          <w:iCs/>
        </w:rPr>
        <w:t xml:space="preserve">Janet Vitmayer </w:t>
      </w:r>
    </w:p>
    <w:p w14:paraId="32362715" w14:textId="77777777" w:rsidR="004122EF" w:rsidRPr="004122EF" w:rsidRDefault="004122EF" w:rsidP="00C81FD1">
      <w:pPr>
        <w:pStyle w:val="ListParagraph"/>
        <w:numPr>
          <w:ilvl w:val="0"/>
          <w:numId w:val="44"/>
        </w:numPr>
        <w:rPr>
          <w:iCs/>
        </w:rPr>
      </w:pPr>
      <w:r w:rsidRPr="004122EF">
        <w:rPr>
          <w:iCs/>
        </w:rPr>
        <w:t xml:space="preserve">Jean Wyld </w:t>
      </w:r>
    </w:p>
    <w:p w14:paraId="62861AF5" w14:textId="77777777" w:rsidR="004122EF" w:rsidRPr="004122EF" w:rsidRDefault="004122EF" w:rsidP="00C81FD1">
      <w:pPr>
        <w:pStyle w:val="ListParagraph"/>
        <w:numPr>
          <w:ilvl w:val="0"/>
          <w:numId w:val="44"/>
        </w:numPr>
        <w:rPr>
          <w:iCs/>
        </w:rPr>
      </w:pPr>
      <w:r w:rsidRPr="004122EF">
        <w:rPr>
          <w:iCs/>
        </w:rPr>
        <w:t xml:space="preserve">John Piper </w:t>
      </w:r>
    </w:p>
    <w:p w14:paraId="4DC50A09" w14:textId="77777777" w:rsidR="004122EF" w:rsidRPr="004122EF" w:rsidRDefault="004122EF" w:rsidP="00C81FD1">
      <w:pPr>
        <w:pStyle w:val="ListParagraph"/>
        <w:numPr>
          <w:ilvl w:val="0"/>
          <w:numId w:val="44"/>
        </w:numPr>
        <w:rPr>
          <w:iCs/>
        </w:rPr>
      </w:pPr>
      <w:r w:rsidRPr="004122EF">
        <w:rPr>
          <w:iCs/>
        </w:rPr>
        <w:t xml:space="preserve">Linda Sandino </w:t>
      </w:r>
    </w:p>
    <w:p w14:paraId="1B1EDDBA" w14:textId="77777777" w:rsidR="004122EF" w:rsidRPr="004122EF" w:rsidRDefault="004122EF" w:rsidP="00C81FD1">
      <w:pPr>
        <w:pStyle w:val="ListParagraph"/>
        <w:numPr>
          <w:ilvl w:val="0"/>
          <w:numId w:val="44"/>
        </w:numPr>
        <w:rPr>
          <w:iCs/>
        </w:rPr>
      </w:pPr>
      <w:r w:rsidRPr="004122EF">
        <w:rPr>
          <w:iCs/>
        </w:rPr>
        <w:t xml:space="preserve">Lynne Pacanowski </w:t>
      </w:r>
    </w:p>
    <w:p w14:paraId="0A2CF5FA" w14:textId="77777777" w:rsidR="004122EF" w:rsidRPr="004122EF" w:rsidRDefault="004122EF" w:rsidP="00C81FD1">
      <w:pPr>
        <w:pStyle w:val="ListParagraph"/>
        <w:numPr>
          <w:ilvl w:val="0"/>
          <w:numId w:val="44"/>
        </w:numPr>
        <w:rPr>
          <w:iCs/>
        </w:rPr>
      </w:pPr>
      <w:r w:rsidRPr="004122EF">
        <w:rPr>
          <w:iCs/>
        </w:rPr>
        <w:t xml:space="preserve">Marianne Rasmussen </w:t>
      </w:r>
    </w:p>
    <w:p w14:paraId="79E51D48" w14:textId="77777777" w:rsidR="004122EF" w:rsidRPr="004122EF" w:rsidRDefault="004122EF" w:rsidP="00C81FD1">
      <w:pPr>
        <w:pStyle w:val="ListParagraph"/>
        <w:numPr>
          <w:ilvl w:val="0"/>
          <w:numId w:val="44"/>
        </w:numPr>
        <w:rPr>
          <w:iCs/>
        </w:rPr>
      </w:pPr>
      <w:r w:rsidRPr="004122EF">
        <w:rPr>
          <w:iCs/>
        </w:rPr>
        <w:t xml:space="preserve">Martin Stott </w:t>
      </w:r>
    </w:p>
    <w:p w14:paraId="65A14C77" w14:textId="77777777" w:rsidR="004122EF" w:rsidRPr="004122EF" w:rsidRDefault="004122EF" w:rsidP="00C81FD1">
      <w:pPr>
        <w:pStyle w:val="ListParagraph"/>
        <w:numPr>
          <w:ilvl w:val="0"/>
          <w:numId w:val="44"/>
        </w:numPr>
        <w:rPr>
          <w:iCs/>
        </w:rPr>
      </w:pPr>
      <w:r w:rsidRPr="004122EF">
        <w:rPr>
          <w:iCs/>
        </w:rPr>
        <w:t xml:space="preserve">Maura MacIntosh </w:t>
      </w:r>
    </w:p>
    <w:p w14:paraId="77FF4E10" w14:textId="77777777" w:rsidR="004122EF" w:rsidRPr="004122EF" w:rsidRDefault="004122EF" w:rsidP="00C81FD1">
      <w:pPr>
        <w:pStyle w:val="ListParagraph"/>
        <w:numPr>
          <w:ilvl w:val="0"/>
          <w:numId w:val="44"/>
        </w:numPr>
        <w:rPr>
          <w:iCs/>
        </w:rPr>
      </w:pPr>
      <w:r w:rsidRPr="004122EF">
        <w:rPr>
          <w:iCs/>
        </w:rPr>
        <w:t xml:space="preserve">Paul Hanley </w:t>
      </w:r>
    </w:p>
    <w:p w14:paraId="1862BE0A" w14:textId="77777777" w:rsidR="004122EF" w:rsidRPr="004122EF" w:rsidRDefault="004122EF" w:rsidP="00C81FD1">
      <w:pPr>
        <w:pStyle w:val="ListParagraph"/>
        <w:numPr>
          <w:ilvl w:val="0"/>
          <w:numId w:val="44"/>
        </w:numPr>
        <w:rPr>
          <w:iCs/>
        </w:rPr>
      </w:pPr>
      <w:r w:rsidRPr="004122EF">
        <w:rPr>
          <w:iCs/>
        </w:rPr>
        <w:t xml:space="preserve">Paula Thomas </w:t>
      </w:r>
    </w:p>
    <w:p w14:paraId="1F2153C9" w14:textId="77777777" w:rsidR="004122EF" w:rsidRPr="004122EF" w:rsidRDefault="004122EF" w:rsidP="00C81FD1">
      <w:pPr>
        <w:pStyle w:val="ListParagraph"/>
        <w:numPr>
          <w:ilvl w:val="0"/>
          <w:numId w:val="44"/>
        </w:numPr>
        <w:rPr>
          <w:iCs/>
        </w:rPr>
      </w:pPr>
      <w:r w:rsidRPr="004122EF">
        <w:rPr>
          <w:iCs/>
        </w:rPr>
        <w:t xml:space="preserve">Pauline Johnson </w:t>
      </w:r>
    </w:p>
    <w:p w14:paraId="5C980ACD" w14:textId="77777777" w:rsidR="004122EF" w:rsidRPr="004122EF" w:rsidRDefault="004122EF" w:rsidP="00C81FD1">
      <w:pPr>
        <w:pStyle w:val="ListParagraph"/>
        <w:numPr>
          <w:ilvl w:val="0"/>
          <w:numId w:val="44"/>
        </w:numPr>
        <w:rPr>
          <w:iCs/>
        </w:rPr>
      </w:pPr>
      <w:r w:rsidRPr="004122EF">
        <w:rPr>
          <w:iCs/>
        </w:rPr>
        <w:t xml:space="preserve">Robert Crawford </w:t>
      </w:r>
    </w:p>
    <w:p w14:paraId="4FE350EF" w14:textId="77777777" w:rsidR="004122EF" w:rsidRPr="004122EF" w:rsidRDefault="004122EF" w:rsidP="00C81FD1">
      <w:pPr>
        <w:pStyle w:val="ListParagraph"/>
        <w:numPr>
          <w:ilvl w:val="0"/>
          <w:numId w:val="44"/>
        </w:numPr>
        <w:rPr>
          <w:iCs/>
        </w:rPr>
      </w:pPr>
      <w:r w:rsidRPr="004122EF">
        <w:rPr>
          <w:iCs/>
        </w:rPr>
        <w:t xml:space="preserve">Rosamund Sykes </w:t>
      </w:r>
    </w:p>
    <w:p w14:paraId="5EA4C155" w14:textId="77777777" w:rsidR="004122EF" w:rsidRPr="004122EF" w:rsidRDefault="004122EF" w:rsidP="00C81FD1">
      <w:pPr>
        <w:pStyle w:val="ListParagraph"/>
        <w:numPr>
          <w:ilvl w:val="0"/>
          <w:numId w:val="44"/>
        </w:numPr>
        <w:rPr>
          <w:iCs/>
        </w:rPr>
      </w:pPr>
      <w:r w:rsidRPr="004122EF">
        <w:rPr>
          <w:iCs/>
        </w:rPr>
        <w:t xml:space="preserve">Sara Hanna-Grindall </w:t>
      </w:r>
    </w:p>
    <w:p w14:paraId="7199B1EB" w14:textId="77777777" w:rsidR="004122EF" w:rsidRPr="004122EF" w:rsidRDefault="004122EF" w:rsidP="00C81FD1">
      <w:pPr>
        <w:pStyle w:val="ListParagraph"/>
        <w:numPr>
          <w:ilvl w:val="0"/>
          <w:numId w:val="44"/>
        </w:numPr>
        <w:rPr>
          <w:iCs/>
        </w:rPr>
      </w:pPr>
      <w:r w:rsidRPr="004122EF">
        <w:rPr>
          <w:iCs/>
        </w:rPr>
        <w:t>Sarah Mahomed Ross</w:t>
      </w:r>
    </w:p>
    <w:p w14:paraId="304B6E9F" w14:textId="77777777" w:rsidR="004122EF" w:rsidRPr="004122EF" w:rsidRDefault="004122EF" w:rsidP="00C81FD1">
      <w:pPr>
        <w:pStyle w:val="ListParagraph"/>
        <w:numPr>
          <w:ilvl w:val="0"/>
          <w:numId w:val="44"/>
        </w:numPr>
        <w:rPr>
          <w:iCs/>
        </w:rPr>
      </w:pPr>
      <w:r w:rsidRPr="004122EF">
        <w:rPr>
          <w:iCs/>
        </w:rPr>
        <w:t xml:space="preserve">Sophie Freeman </w:t>
      </w:r>
    </w:p>
    <w:p w14:paraId="58DF931E" w14:textId="77777777" w:rsidR="004122EF" w:rsidRPr="004122EF" w:rsidRDefault="004122EF" w:rsidP="00C81FD1">
      <w:pPr>
        <w:pStyle w:val="ListParagraph"/>
        <w:numPr>
          <w:ilvl w:val="0"/>
          <w:numId w:val="44"/>
        </w:numPr>
        <w:rPr>
          <w:iCs/>
        </w:rPr>
      </w:pPr>
      <w:r w:rsidRPr="004122EF">
        <w:rPr>
          <w:iCs/>
        </w:rPr>
        <w:t xml:space="preserve">Terence Buxton </w:t>
      </w:r>
    </w:p>
    <w:p w14:paraId="141BB912" w14:textId="77777777" w:rsidR="004122EF" w:rsidRPr="004122EF" w:rsidRDefault="004122EF" w:rsidP="00C81FD1">
      <w:pPr>
        <w:pStyle w:val="ListParagraph"/>
        <w:numPr>
          <w:ilvl w:val="0"/>
          <w:numId w:val="44"/>
        </w:numPr>
        <w:rPr>
          <w:iCs/>
        </w:rPr>
      </w:pPr>
      <w:r w:rsidRPr="004122EF">
        <w:rPr>
          <w:iCs/>
        </w:rPr>
        <w:t xml:space="preserve">Timothy Simons </w:t>
      </w:r>
    </w:p>
    <w:p w14:paraId="0697B2D9" w14:textId="77777777" w:rsidR="004122EF" w:rsidRPr="004122EF" w:rsidRDefault="004122EF" w:rsidP="00C81FD1">
      <w:pPr>
        <w:pStyle w:val="ListParagraph"/>
        <w:numPr>
          <w:ilvl w:val="0"/>
          <w:numId w:val="44"/>
        </w:numPr>
        <w:rPr>
          <w:iCs/>
        </w:rPr>
      </w:pPr>
      <w:r w:rsidRPr="004122EF">
        <w:rPr>
          <w:iCs/>
        </w:rPr>
        <w:t xml:space="preserve">Usman Hussain </w:t>
      </w:r>
    </w:p>
    <w:p w14:paraId="04B4D101" w14:textId="77777777" w:rsidR="004122EF" w:rsidRPr="004122EF" w:rsidRDefault="004122EF" w:rsidP="00C81FD1">
      <w:pPr>
        <w:pStyle w:val="ListParagraph"/>
        <w:numPr>
          <w:ilvl w:val="0"/>
          <w:numId w:val="44"/>
        </w:numPr>
        <w:rPr>
          <w:iCs/>
        </w:rPr>
      </w:pPr>
      <w:r w:rsidRPr="004122EF">
        <w:rPr>
          <w:iCs/>
        </w:rPr>
        <w:t xml:space="preserve">William Parker </w:t>
      </w:r>
    </w:p>
    <w:p w14:paraId="41BB404D" w14:textId="27C2C03F" w:rsidR="003F0B6D" w:rsidRPr="004122EF" w:rsidRDefault="004122EF" w:rsidP="00C81FD1">
      <w:pPr>
        <w:pStyle w:val="ListParagraph"/>
        <w:numPr>
          <w:ilvl w:val="0"/>
          <w:numId w:val="44"/>
        </w:numPr>
        <w:rPr>
          <w:iCs/>
        </w:rPr>
      </w:pPr>
      <w:r w:rsidRPr="004122EF">
        <w:rPr>
          <w:iCs/>
        </w:rPr>
        <w:t>Charles Wynn-Evans</w:t>
      </w:r>
    </w:p>
    <w:p w14:paraId="67DF51D9" w14:textId="77777777" w:rsidR="003F0B6D" w:rsidRPr="004122EF" w:rsidRDefault="003F0B6D">
      <w:pPr>
        <w:rPr>
          <w:iCs/>
        </w:rPr>
      </w:pPr>
    </w:p>
    <w:p w14:paraId="15097C85" w14:textId="6C452C65" w:rsidR="003F0B6D" w:rsidRPr="004122EF" w:rsidRDefault="004122EF">
      <w:pPr>
        <w:rPr>
          <w:iCs/>
        </w:rPr>
      </w:pPr>
      <w:r w:rsidRPr="004122EF">
        <w:rPr>
          <w:iCs/>
        </w:rPr>
        <w:t>We are also grateful to the following for the support in kind they have shown the Horniman</w:t>
      </w:r>
    </w:p>
    <w:p w14:paraId="4D35663B" w14:textId="77777777" w:rsidR="004122EF" w:rsidRPr="004122EF" w:rsidRDefault="004122EF" w:rsidP="00C81FD1">
      <w:pPr>
        <w:pStyle w:val="ListParagraph"/>
        <w:numPr>
          <w:ilvl w:val="0"/>
          <w:numId w:val="45"/>
        </w:numPr>
        <w:rPr>
          <w:iCs/>
        </w:rPr>
      </w:pPr>
      <w:r w:rsidRPr="004122EF">
        <w:rPr>
          <w:iCs/>
        </w:rPr>
        <w:t>Aperture Pet</w:t>
      </w:r>
    </w:p>
    <w:p w14:paraId="149FB310" w14:textId="77777777" w:rsidR="004122EF" w:rsidRPr="004122EF" w:rsidRDefault="004122EF" w:rsidP="00C81FD1">
      <w:pPr>
        <w:pStyle w:val="ListParagraph"/>
        <w:numPr>
          <w:ilvl w:val="0"/>
          <w:numId w:val="45"/>
        </w:numPr>
        <w:rPr>
          <w:iCs/>
        </w:rPr>
      </w:pPr>
      <w:r w:rsidRPr="004122EF">
        <w:rPr>
          <w:iCs/>
        </w:rPr>
        <w:t>Google</w:t>
      </w:r>
    </w:p>
    <w:p w14:paraId="60167096" w14:textId="4DA5272E" w:rsidR="004122EF" w:rsidRPr="004122EF" w:rsidRDefault="004122EF" w:rsidP="00C81FD1">
      <w:pPr>
        <w:pStyle w:val="ListParagraph"/>
        <w:numPr>
          <w:ilvl w:val="0"/>
          <w:numId w:val="45"/>
        </w:numPr>
        <w:rPr>
          <w:iCs/>
        </w:rPr>
      </w:pPr>
      <w:proofErr w:type="spellStart"/>
      <w:r w:rsidRPr="004122EF">
        <w:rPr>
          <w:iCs/>
        </w:rPr>
        <w:t>Niwaki</w:t>
      </w:r>
      <w:proofErr w:type="spellEnd"/>
    </w:p>
    <w:p w14:paraId="4A9AA12F" w14:textId="77777777" w:rsidR="004122EF" w:rsidRDefault="004122EF">
      <w:pPr>
        <w:rPr>
          <w:iCs/>
        </w:rPr>
      </w:pPr>
    </w:p>
    <w:p w14:paraId="306D1483" w14:textId="77777777" w:rsidR="004122EF" w:rsidRDefault="004122EF" w:rsidP="004122EF">
      <w:pPr>
        <w:ind w:left="-75"/>
      </w:pPr>
      <w:r>
        <w:t>We would also like to thank the many other supporters who gave to the Horniman Museum and Gardens, including those who gave commemorative gifts and those donors who wish to remain anonymous.</w:t>
      </w:r>
    </w:p>
    <w:p w14:paraId="083C08A2" w14:textId="77777777" w:rsidR="004122EF" w:rsidRDefault="004122EF" w:rsidP="004122EF">
      <w:pPr>
        <w:pStyle w:val="Heading4"/>
        <w:jc w:val="left"/>
      </w:pPr>
    </w:p>
    <w:p w14:paraId="5E3F179E" w14:textId="40A6EC03" w:rsidR="004122EF" w:rsidRPr="004122EF" w:rsidRDefault="004122EF" w:rsidP="004122EF">
      <w:pPr>
        <w:pStyle w:val="Heading4"/>
        <w:jc w:val="left"/>
      </w:pPr>
      <w:r>
        <w:t xml:space="preserve">3.6 </w:t>
      </w:r>
      <w:r w:rsidRPr="004122EF">
        <w:t>Staff and volunteers</w:t>
      </w:r>
    </w:p>
    <w:p w14:paraId="3579E77C" w14:textId="77777777" w:rsidR="004122EF" w:rsidRDefault="004122EF" w:rsidP="004122EF">
      <w:pPr>
        <w:pBdr>
          <w:top w:val="nil"/>
          <w:left w:val="nil"/>
          <w:bottom w:val="nil"/>
          <w:right w:val="nil"/>
          <w:between w:val="nil"/>
        </w:pBdr>
        <w:rPr>
          <w:b/>
          <w:color w:val="000000"/>
        </w:rPr>
      </w:pPr>
    </w:p>
    <w:p w14:paraId="20B246C8" w14:textId="77777777" w:rsidR="004122EF" w:rsidRDefault="004122EF" w:rsidP="004122EF">
      <w:pPr>
        <w:pStyle w:val="Heading5"/>
        <w:jc w:val="left"/>
      </w:pPr>
      <w:r>
        <w:lastRenderedPageBreak/>
        <w:t>3.6.1 Human resources policies</w:t>
      </w:r>
    </w:p>
    <w:p w14:paraId="72522C1D" w14:textId="77777777" w:rsidR="004122EF" w:rsidRDefault="004122EF" w:rsidP="004122EF">
      <w:r>
        <w:t>We are committed to following good employer practice in relation to our staff. Our employment policies and practices are developed to enable us to deliver against our objectives, comply with relevant employment legislation and public sector standards as well as valuing and recognising the needs and contributions made by our employees. Our Access Advisory Group advised the Human Resources team on their new plans for inclusive recruitment.</w:t>
      </w:r>
    </w:p>
    <w:p w14:paraId="40F7717A" w14:textId="77777777" w:rsidR="004122EF" w:rsidRDefault="004122EF" w:rsidP="004122EF">
      <w:r>
        <w:t>The diversity of our workforce is central to our values and the delivery of our objectives. We believe that maintaining a diverse workforce plays an important part in ensuring the diversity of our audiences. We aim to ensure that the diversity of our workforce reflects the diversity of the job markets from which we recruit. In 2024/25 our workforce included 25% staff from ethnic minorities and 12% of the workforce disclosing a disability.</w:t>
      </w:r>
    </w:p>
    <w:p w14:paraId="6FC93EAB" w14:textId="77777777" w:rsidR="004122EF" w:rsidRDefault="004122EF" w:rsidP="004122EF"/>
    <w:p w14:paraId="16760ECC" w14:textId="77777777" w:rsidR="004122EF" w:rsidRDefault="004122EF" w:rsidP="004122EF">
      <w:r>
        <w:t>We give great importance to supporting our staff both to help them develop and to achieve improvement in their performance. We aim to treat all our employees in a fair and consistent manner, promoting good working relationships and encouraging high standards of conduct and work performance. We aim to provide a healthy workplace where risks are effectively managed, together with fair rewards and conditions of employment. The average number of days of sickness per employee during the year was 7.9 (7.7 in 2023/24). This compares with 7.8 days nationally in 2024.</w:t>
      </w:r>
    </w:p>
    <w:p w14:paraId="4A227882" w14:textId="77777777" w:rsidR="004122EF" w:rsidRDefault="004122EF" w:rsidP="004122EF"/>
    <w:p w14:paraId="2775E93F" w14:textId="77777777" w:rsidR="004122EF" w:rsidRDefault="004122EF" w:rsidP="004122EF">
      <w:r>
        <w:t>The Horniman recognises the GMB Union for collective bargaining and there are regular meetings between management and trade union representatives.</w:t>
      </w:r>
    </w:p>
    <w:p w14:paraId="7181DD71" w14:textId="77777777" w:rsidR="004122EF" w:rsidRDefault="004122EF" w:rsidP="004122EF"/>
    <w:p w14:paraId="1E1923CD" w14:textId="77777777" w:rsidR="004122EF" w:rsidRDefault="004122EF" w:rsidP="004122EF">
      <w:r>
        <w:t>The Health and Safety Committee meets quarterly and provides a forum for consultation, discussion, review, dissemination and escalation of health and safety issues and includes management and union representation as well as staff representatives nominated on behalf of their workgroups.</w:t>
      </w:r>
    </w:p>
    <w:p w14:paraId="457F2ABE" w14:textId="77777777" w:rsidR="004122EF" w:rsidRDefault="004122EF" w:rsidP="004122EF"/>
    <w:p w14:paraId="3A978880" w14:textId="77777777" w:rsidR="004122EF" w:rsidRDefault="004122EF" w:rsidP="004122EF">
      <w:r>
        <w:t>The Wellbeing Group continued to meet during the year with the aim of operating as a constructive participative group, sharing responsibility for ensuring the health and wellbeing of our staff is fully discussed and actions taken. The three key general areas are as follows:</w:t>
      </w:r>
    </w:p>
    <w:p w14:paraId="625C694B" w14:textId="77777777" w:rsidR="004122EF" w:rsidRDefault="004122EF" w:rsidP="00C81FD1">
      <w:pPr>
        <w:pStyle w:val="ListParagraph"/>
        <w:keepNext/>
        <w:keepLines/>
        <w:numPr>
          <w:ilvl w:val="0"/>
          <w:numId w:val="46"/>
        </w:numPr>
        <w:pBdr>
          <w:top w:val="nil"/>
          <w:left w:val="nil"/>
          <w:bottom w:val="nil"/>
          <w:right w:val="nil"/>
          <w:between w:val="nil"/>
        </w:pBdr>
        <w:spacing w:before="40"/>
      </w:pPr>
      <w:r w:rsidRPr="004122EF">
        <w:rPr>
          <w:color w:val="000000"/>
        </w:rPr>
        <w:t>Workload and working conditions and environment</w:t>
      </w:r>
    </w:p>
    <w:p w14:paraId="0E405770" w14:textId="77777777" w:rsidR="004122EF" w:rsidRDefault="004122EF" w:rsidP="00C81FD1">
      <w:pPr>
        <w:pStyle w:val="ListParagraph"/>
        <w:keepNext/>
        <w:keepLines/>
        <w:numPr>
          <w:ilvl w:val="0"/>
          <w:numId w:val="46"/>
        </w:numPr>
        <w:pBdr>
          <w:top w:val="nil"/>
          <w:left w:val="nil"/>
          <w:bottom w:val="nil"/>
          <w:right w:val="nil"/>
          <w:between w:val="nil"/>
        </w:pBdr>
      </w:pPr>
      <w:r w:rsidRPr="004122EF">
        <w:rPr>
          <w:color w:val="000000"/>
        </w:rPr>
        <w:t xml:space="preserve">Mental Health First Aid </w:t>
      </w:r>
    </w:p>
    <w:p w14:paraId="6F6EF23D" w14:textId="6A81CA3F" w:rsidR="004122EF" w:rsidRDefault="004122EF" w:rsidP="00C81FD1">
      <w:pPr>
        <w:pStyle w:val="ListParagraph"/>
        <w:keepNext/>
        <w:keepLines/>
        <w:numPr>
          <w:ilvl w:val="0"/>
          <w:numId w:val="46"/>
        </w:numPr>
        <w:pBdr>
          <w:top w:val="nil"/>
          <w:left w:val="nil"/>
          <w:bottom w:val="nil"/>
          <w:right w:val="nil"/>
          <w:between w:val="nil"/>
        </w:pBdr>
      </w:pPr>
      <w:r w:rsidRPr="004122EF">
        <w:rPr>
          <w:color w:val="000000"/>
        </w:rPr>
        <w:t>Activities, events, social opportunities and training</w:t>
      </w:r>
    </w:p>
    <w:p w14:paraId="69E825FF" w14:textId="77777777" w:rsidR="004122EF" w:rsidRDefault="004122EF" w:rsidP="004122EF">
      <w:pPr>
        <w:keepNext/>
        <w:keepLines/>
        <w:spacing w:before="40"/>
      </w:pPr>
    </w:p>
    <w:p w14:paraId="0E4FF20B" w14:textId="1038B0ED" w:rsidR="004122EF" w:rsidRDefault="004122EF" w:rsidP="004122EF">
      <w:pPr>
        <w:keepNext/>
        <w:keepLines/>
        <w:spacing w:before="40"/>
      </w:pPr>
      <w:r>
        <w:t xml:space="preserve">Any staff member can attend the Wellbeing Group meeting, however there should be at least two representatives for each of the three key areas agreed to facilitate the discussion, agree actions and take forward. </w:t>
      </w:r>
    </w:p>
    <w:p w14:paraId="42198D93" w14:textId="77777777" w:rsidR="004122EF" w:rsidRDefault="004122EF" w:rsidP="004122EF">
      <w:pPr>
        <w:rPr>
          <w:iCs/>
        </w:rPr>
      </w:pPr>
    </w:p>
    <w:p w14:paraId="2ACF1438" w14:textId="77777777" w:rsidR="004122EF" w:rsidRDefault="004122EF" w:rsidP="004122EF">
      <w:pPr>
        <w:pStyle w:val="Heading5"/>
      </w:pPr>
      <w:r>
        <w:t xml:space="preserve">3.6.2 Volunteering, work experience and apprenticeships </w:t>
      </w:r>
    </w:p>
    <w:p w14:paraId="65478328" w14:textId="77777777" w:rsidR="004122EF" w:rsidRDefault="004122EF" w:rsidP="004122EF">
      <w:r>
        <w:t xml:space="preserve">2024-25 has seen us maintain last year’s increase in volunteering hours. Overall, 209 volunteers supported activity across the Museum, Gardens and SCC (210 last year), with a total contribution of 12,839 hours (up from 12,596 the previous year). </w:t>
      </w:r>
    </w:p>
    <w:p w14:paraId="037F7512" w14:textId="77777777" w:rsidR="004122EF" w:rsidRDefault="004122EF" w:rsidP="004122EF"/>
    <w:p w14:paraId="4BBAD75B" w14:textId="77777777" w:rsidR="004122EF" w:rsidRDefault="004122EF" w:rsidP="004122EF">
      <w:r>
        <w:t xml:space="preserve">We are well on track to exceed our ambitious Nature + Love targets for volunteering by March 2027. To support volunteers engaging with visitors on the themes of Nature + Love, we developed and rolled out training on ‘Confident Conversations about Climate Change’, with the development and facilitation support of two volunteers, both with teaching experience and an avid interest in climate change and its impact. Conversations about the </w:t>
      </w:r>
      <w:r>
        <w:lastRenderedPageBreak/>
        <w:t>climate are increasing as the Nature + Love programme becomes more visible to visitors and volunteers have appreciated the opportunity to develop their confidence, knowledge and understanding.</w:t>
      </w:r>
    </w:p>
    <w:p w14:paraId="59E49127" w14:textId="77777777" w:rsidR="004122EF" w:rsidRDefault="004122EF" w:rsidP="004122EF"/>
    <w:p w14:paraId="30A16FDE" w14:textId="77777777" w:rsidR="004122EF" w:rsidRDefault="004122EF" w:rsidP="004122EF">
      <w:r>
        <w:t xml:space="preserve">The contribution of our inaugural communications volunteer in the volunteering team was recognised by her university, London School of Economics, when she won their prestigious Volunteer of the Year award. In June, we celebrated and thanked all our volunteers with various activities, including a garden-themed tea party. Surveys with volunteers and supervisors, and with consultation with Section Leads in October and November gave insight into the volunteer experience. We were particularly pleased to hear that volunteers reported a high level of satisfaction with their volunteering experience, and 100% felt proud to volunteer at the Horniman. Findings from the survey, internal consultation and data gathering have informed new strategic objectives for volunteering for 2025-2027. </w:t>
      </w:r>
    </w:p>
    <w:p w14:paraId="3C4D644D" w14:textId="77777777" w:rsidR="004122EF" w:rsidRDefault="004122EF" w:rsidP="004122EF">
      <w:pPr>
        <w:rPr>
          <w:sz w:val="22"/>
          <w:szCs w:val="22"/>
        </w:rPr>
      </w:pPr>
    </w:p>
    <w:p w14:paraId="1AFCF23C" w14:textId="77777777" w:rsidR="004122EF" w:rsidRDefault="004122EF" w:rsidP="004122EF">
      <w:pPr>
        <w:pStyle w:val="Heading5"/>
        <w:jc w:val="left"/>
      </w:pPr>
      <w:r>
        <w:t>3.6.3 Whistleblowing arrangements</w:t>
      </w:r>
    </w:p>
    <w:p w14:paraId="74E595CD" w14:textId="77777777" w:rsidR="004122EF" w:rsidRDefault="004122EF" w:rsidP="004122EF">
      <w:r>
        <w:t>The Horniman Museum is committed to conducting its business in a responsible way and to ensuring that the public interest is safeguarded. Arrangements for whistleblowing are set out in the staff handbook, which is available to all staff. The Museum encourages its employees to raise legitimate concerns in a responsible way, where they believe that there has been some form of malpractice and recognize that employees are protected by law from detrimental treatment arising from making such disclosures. Concerns should normally be raised in the first instance with line management, but if not appropriate or satisfactorily dealt with, may reach out to the Director of Finance and Corporate Services, the Chair of the Audit &amp; Risk Committee or in extreme cases, to the Head of Museums at DCMS. No such disclosures were made during the year.</w:t>
      </w:r>
    </w:p>
    <w:p w14:paraId="26B0C78B" w14:textId="77777777" w:rsidR="004122EF" w:rsidRDefault="004122EF" w:rsidP="004122EF"/>
    <w:p w14:paraId="66E3F2E4" w14:textId="77777777" w:rsidR="004122EF" w:rsidRDefault="004122EF" w:rsidP="004122EF">
      <w:pPr>
        <w:pStyle w:val="Heading5"/>
        <w:jc w:val="left"/>
      </w:pPr>
      <w:r>
        <w:t>3.6.4 Personal data</w:t>
      </w:r>
    </w:p>
    <w:p w14:paraId="51E9F509" w14:textId="77777777" w:rsidR="004122EF" w:rsidRDefault="004122EF" w:rsidP="004122EF">
      <w:r>
        <w:t>There was no known or reported loss of personal data during the year.</w:t>
      </w:r>
    </w:p>
    <w:p w14:paraId="176A3CCE" w14:textId="77777777" w:rsidR="004122EF" w:rsidRDefault="004122EF" w:rsidP="004122EF"/>
    <w:p w14:paraId="61AB58D7" w14:textId="77777777" w:rsidR="004122EF" w:rsidRDefault="004122EF" w:rsidP="004122EF">
      <w:pPr>
        <w:pStyle w:val="Heading5"/>
        <w:jc w:val="left"/>
      </w:pPr>
      <w:r>
        <w:t>3.6.5 Fundraising regulation</w:t>
      </w:r>
    </w:p>
    <w:p w14:paraId="057C1E2E" w14:textId="77777777" w:rsidR="004122EF" w:rsidRDefault="004122EF" w:rsidP="004122EF">
      <w:r>
        <w:t xml:space="preserve">During 2024/25 the Trust’s fundraising staff undertook activities to raise money from trusts and foundations, businesses, and individual supporters. These included writing bids and applications, cash and contactless collections on-site and the delivery of annual regular giving and In-Memoriam schemes. We did not receive any complaints about fundraising activity this year. </w:t>
      </w:r>
    </w:p>
    <w:p w14:paraId="059E77AC" w14:textId="77777777" w:rsidR="004122EF" w:rsidRDefault="004122EF" w:rsidP="004122EF"/>
    <w:p w14:paraId="2B61B45D" w14:textId="77777777" w:rsidR="004122EF" w:rsidRDefault="004122EF" w:rsidP="004122EF">
      <w:r>
        <w:t xml:space="preserve">The fundraising department has signed up to the Fundraising Regulator’s Code of Fundraising Practice, regularly reviews its Fundraising Ethics Policy and all our fundraising guidance and working practices have been updated so that they are compliant. All direct marketing is undertaken by the fundraising and communications teams to ensure that it is not unreasonably intrusive or persistent. All Trust marketing material contains clear instructions on how a person can be removed from mailing lists. </w:t>
      </w:r>
    </w:p>
    <w:p w14:paraId="5FD9BB78" w14:textId="77777777" w:rsidR="004122EF" w:rsidRDefault="004122EF" w:rsidP="004122EF">
      <w:pPr>
        <w:rPr>
          <w:iCs/>
        </w:rPr>
      </w:pPr>
    </w:p>
    <w:p w14:paraId="31D7DEA2" w14:textId="77777777" w:rsidR="004122EF" w:rsidRDefault="004122EF" w:rsidP="004122EF">
      <w:pPr>
        <w:pStyle w:val="Heading3"/>
      </w:pPr>
      <w:r>
        <w:t>4.0 Investment Policy</w:t>
      </w:r>
    </w:p>
    <w:p w14:paraId="4184A7F8" w14:textId="77777777" w:rsidR="004122EF" w:rsidRDefault="004122EF" w:rsidP="004122EF">
      <w:pPr>
        <w:rPr>
          <w:b/>
        </w:rPr>
      </w:pPr>
      <w:r>
        <w:t>The organisation’s Memorandum of Association gives the Trustees the power to ‘invest the monies of the organisation not immediately required for the furtherance of its objects in or upon such investments, securities or property as may be thought fit, but so that the organisation shall have no power to grant loans by way of investment otherwise than a commercial rate of interest and upon security bearing at least the full value of the loan’.</w:t>
      </w:r>
    </w:p>
    <w:p w14:paraId="192CBB00" w14:textId="77777777" w:rsidR="004122EF" w:rsidRDefault="004122EF" w:rsidP="004122EF">
      <w:pPr>
        <w:rPr>
          <w:b/>
        </w:rPr>
      </w:pPr>
    </w:p>
    <w:p w14:paraId="640EA3AC" w14:textId="77777777" w:rsidR="004122EF" w:rsidRDefault="004122EF" w:rsidP="004122EF">
      <w:pPr>
        <w:rPr>
          <w:b/>
        </w:rPr>
      </w:pPr>
      <w:r>
        <w:lastRenderedPageBreak/>
        <w:t xml:space="preserve">Due to the dependence upon external funding, which frequently cannot be claimed until after the expenditure has been incurred, the Museum needs to maintain a high level of liquidity. The Museum also wishes to invest ethically within the constraint of the requirement for liquidity. The investment policy is therefore to invest surplus funds, above the amount needed for monthly working capital purposes, in instant access deposit accounts, term deposits or other low risk investments with at least two responsible institutions.   </w:t>
      </w:r>
    </w:p>
    <w:p w14:paraId="20A9F1ED" w14:textId="77777777" w:rsidR="004122EF" w:rsidRDefault="004122EF" w:rsidP="004122EF">
      <w:pPr>
        <w:rPr>
          <w:b/>
        </w:rPr>
      </w:pPr>
    </w:p>
    <w:p w14:paraId="32B2CEEA" w14:textId="77777777" w:rsidR="004122EF" w:rsidRDefault="004122EF" w:rsidP="004122EF">
      <w:pPr>
        <w:rPr>
          <w:b/>
        </w:rPr>
      </w:pPr>
      <w:r>
        <w:t>The objectives of the investment policy are to balance:</w:t>
      </w:r>
    </w:p>
    <w:p w14:paraId="10B8BB3B" w14:textId="77777777" w:rsidR="004122EF" w:rsidRDefault="004122EF" w:rsidP="00C81FD1">
      <w:pPr>
        <w:numPr>
          <w:ilvl w:val="0"/>
          <w:numId w:val="34"/>
        </w:numPr>
        <w:pBdr>
          <w:top w:val="nil"/>
          <w:left w:val="nil"/>
          <w:bottom w:val="nil"/>
          <w:right w:val="nil"/>
          <w:between w:val="nil"/>
        </w:pBdr>
        <w:ind w:left="605"/>
      </w:pPr>
      <w:r>
        <w:rPr>
          <w:color w:val="000000"/>
        </w:rPr>
        <w:t>Meeting ethical standards</w:t>
      </w:r>
    </w:p>
    <w:p w14:paraId="19F38035" w14:textId="77777777" w:rsidR="004122EF" w:rsidRDefault="004122EF" w:rsidP="00C81FD1">
      <w:pPr>
        <w:numPr>
          <w:ilvl w:val="0"/>
          <w:numId w:val="34"/>
        </w:numPr>
        <w:pBdr>
          <w:top w:val="nil"/>
          <w:left w:val="nil"/>
          <w:bottom w:val="nil"/>
          <w:right w:val="nil"/>
          <w:between w:val="nil"/>
        </w:pBdr>
        <w:ind w:left="605"/>
      </w:pPr>
      <w:r>
        <w:rPr>
          <w:color w:val="000000"/>
        </w:rPr>
        <w:t>High level of liquidity</w:t>
      </w:r>
    </w:p>
    <w:p w14:paraId="2D8A2674" w14:textId="77777777" w:rsidR="004122EF" w:rsidRDefault="004122EF" w:rsidP="00C81FD1">
      <w:pPr>
        <w:numPr>
          <w:ilvl w:val="0"/>
          <w:numId w:val="34"/>
        </w:numPr>
        <w:pBdr>
          <w:top w:val="nil"/>
          <w:left w:val="nil"/>
          <w:bottom w:val="nil"/>
          <w:right w:val="nil"/>
          <w:between w:val="nil"/>
        </w:pBdr>
        <w:ind w:left="605"/>
      </w:pPr>
      <w:r>
        <w:rPr>
          <w:color w:val="000000"/>
        </w:rPr>
        <w:t>Maximum rate of return at acceptable level of risk.</w:t>
      </w:r>
    </w:p>
    <w:p w14:paraId="27F208A2" w14:textId="77777777" w:rsidR="004122EF" w:rsidRDefault="004122EF" w:rsidP="004122EF">
      <w:r>
        <w:t xml:space="preserve"> </w:t>
      </w:r>
    </w:p>
    <w:p w14:paraId="0B41F630" w14:textId="77777777" w:rsidR="004122EF" w:rsidRDefault="004122EF" w:rsidP="004122EF">
      <w:pPr>
        <w:pStyle w:val="Heading4"/>
        <w:jc w:val="left"/>
      </w:pPr>
      <w:r>
        <w:t>4.1 Reserves Policy</w:t>
      </w:r>
    </w:p>
    <w:p w14:paraId="7C8E3FEA" w14:textId="77777777" w:rsidR="004122EF" w:rsidRDefault="004122EF" w:rsidP="004122EF">
      <w:pPr>
        <w:rPr>
          <w:b/>
        </w:rPr>
      </w:pPr>
      <w:r>
        <w:t xml:space="preserve">The Trustees have considered the scale, complexity and risk profile of the Horniman Museum, and taken account of the funding base which consists of grant-in-aid from DCMS and self-generated income. The former has historically been reasonably foreseeable and a Framework Agreement for 2025-2028 has been finalised with DCMS. Grant-in-aid funding for 2025/26 was confirmed in March 2025. Self-generated income is always liable to fluctuation depending on economic circumstances and visitor activity.    </w:t>
      </w:r>
    </w:p>
    <w:p w14:paraId="7836E1D9" w14:textId="77777777" w:rsidR="004122EF" w:rsidRDefault="004122EF" w:rsidP="004122EF">
      <w:pPr>
        <w:rPr>
          <w:b/>
        </w:rPr>
      </w:pPr>
    </w:p>
    <w:p w14:paraId="6C834D1F" w14:textId="77777777" w:rsidR="004122EF" w:rsidRDefault="004122EF" w:rsidP="004122EF">
      <w:pPr>
        <w:rPr>
          <w:b/>
        </w:rPr>
      </w:pPr>
      <w:r>
        <w:t>The balance on Free Reserves (General Fund) is £2.6M. The Trustees have reviewed the level of Free Reserves and consider £700K to be a minimum level to consider the annual operational expenditure, to deal with fluctuations in income, to provide adequate working capital, to underpin budgetary risks arising from capital expenditure projects, and uncertainties over the level of future funding. The surplus of £1.9M over the minimum is available to meet any potential deficits arising in 2025/26 due to inflationary and cost increases above our public funding.</w:t>
      </w:r>
    </w:p>
    <w:p w14:paraId="043291E1" w14:textId="77777777" w:rsidR="004122EF" w:rsidRDefault="004122EF" w:rsidP="004122EF">
      <w:pPr>
        <w:rPr>
          <w:b/>
        </w:rPr>
      </w:pPr>
    </w:p>
    <w:p w14:paraId="231322B5" w14:textId="77777777" w:rsidR="004122EF" w:rsidRDefault="004122EF" w:rsidP="004122EF">
      <w:r>
        <w:t xml:space="preserve">This policy is reviewed on an annual basis by the Trustees as part of the corporate planning and budget process. </w:t>
      </w:r>
    </w:p>
    <w:p w14:paraId="3027358C" w14:textId="77777777" w:rsidR="004122EF" w:rsidRDefault="004122EF" w:rsidP="004122EF"/>
    <w:p w14:paraId="6B3E13BF" w14:textId="77777777" w:rsidR="004122EF" w:rsidRDefault="004122EF" w:rsidP="004122EF">
      <w:r>
        <w:t xml:space="preserve">The FRS102 valuation of the pension fund as of 31 March 2025 showed a surplus of £3,122K compared to a surplus of £1,044K </w:t>
      </w:r>
      <w:proofErr w:type="gramStart"/>
      <w:r>
        <w:t>at</w:t>
      </w:r>
      <w:proofErr w:type="gramEnd"/>
      <w:r>
        <w:t xml:space="preserve"> 31 March 2024. This surplus has not been recognised in the Balance Sheet in accordance with FRS102 as there is no unconditional right to recovery under the terms of the scheme. This improvement from the previous year is largely due to the significant increase in the discount rate and a decrease in the future inflation assumption. The FRS102 valuation is based on the triennial valuation </w:t>
      </w:r>
      <w:proofErr w:type="gramStart"/>
      <w:r>
        <w:t>at</w:t>
      </w:r>
      <w:proofErr w:type="gramEnd"/>
      <w:r>
        <w:t xml:space="preserve"> 31 March 2022, which showed an improvement in the level of funding of the scheme such that it is now fully funded. As a result, the Trust is no longer required to make any additional lump sum payments, but the future service rate has reduced to 14.4% (from 15.7%). The next valuation is due as </w:t>
      </w:r>
      <w:proofErr w:type="gramStart"/>
      <w:r>
        <w:t>at</w:t>
      </w:r>
      <w:proofErr w:type="gramEnd"/>
      <w:r>
        <w:t xml:space="preserve"> 31 March 2026. </w:t>
      </w:r>
    </w:p>
    <w:p w14:paraId="47888910" w14:textId="77777777" w:rsidR="004122EF" w:rsidRDefault="004122EF" w:rsidP="004122EF">
      <w:pPr>
        <w:rPr>
          <w:b/>
        </w:rPr>
      </w:pPr>
    </w:p>
    <w:p w14:paraId="5BFEFC42" w14:textId="77777777" w:rsidR="004122EF" w:rsidRDefault="004122EF" w:rsidP="004122EF">
      <w:pPr>
        <w:rPr>
          <w:b/>
        </w:rPr>
      </w:pPr>
      <w:r>
        <w:t>The categories of Reserves can be summarised as follows:</w:t>
      </w:r>
    </w:p>
    <w:tbl>
      <w:tblPr>
        <w:tblStyle w:val="5"/>
        <w:tblW w:w="9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ategories of reserves"/>
        <w:tblDescription w:val="A table showing the value of different types of reserves"/>
      </w:tblPr>
      <w:tblGrid>
        <w:gridCol w:w="8397"/>
        <w:gridCol w:w="1275"/>
      </w:tblGrid>
      <w:tr w:rsidR="0070017C" w14:paraId="4406410A" w14:textId="77777777" w:rsidTr="0070017C">
        <w:trPr>
          <w:trHeight w:val="271"/>
          <w:tblHeader/>
        </w:trPr>
        <w:tc>
          <w:tcPr>
            <w:tcW w:w="8397" w:type="dxa"/>
          </w:tcPr>
          <w:p w14:paraId="592E750E" w14:textId="4A310760" w:rsidR="0070017C" w:rsidRDefault="0070017C" w:rsidP="00D459AF">
            <w:pPr>
              <w:jc w:val="both"/>
            </w:pPr>
            <w:r>
              <w:lastRenderedPageBreak/>
              <w:t>Types of reserves</w:t>
            </w:r>
          </w:p>
        </w:tc>
        <w:tc>
          <w:tcPr>
            <w:tcW w:w="1275" w:type="dxa"/>
          </w:tcPr>
          <w:p w14:paraId="664D7173" w14:textId="77777777" w:rsidR="0070017C" w:rsidRDefault="0070017C" w:rsidP="00D459AF">
            <w:pPr>
              <w:jc w:val="right"/>
            </w:pPr>
            <w:r>
              <w:t>£’000</w:t>
            </w:r>
          </w:p>
        </w:tc>
      </w:tr>
      <w:tr w:rsidR="0070017C" w14:paraId="20988B03" w14:textId="77777777" w:rsidTr="0070017C">
        <w:trPr>
          <w:trHeight w:val="496"/>
          <w:tblHeader/>
        </w:trPr>
        <w:tc>
          <w:tcPr>
            <w:tcW w:w="8397" w:type="dxa"/>
          </w:tcPr>
          <w:p w14:paraId="3EF9E490" w14:textId="77777777" w:rsidR="0070017C" w:rsidRDefault="0070017C" w:rsidP="00D459AF">
            <w:pPr>
              <w:jc w:val="both"/>
            </w:pPr>
            <w:r>
              <w:t>Capital projects fund: representing income invested in fixed assets, adjusted for depreciation</w:t>
            </w:r>
          </w:p>
        </w:tc>
        <w:tc>
          <w:tcPr>
            <w:tcW w:w="1275" w:type="dxa"/>
          </w:tcPr>
          <w:p w14:paraId="13C2508A" w14:textId="77777777" w:rsidR="0070017C" w:rsidRDefault="0070017C" w:rsidP="00D459AF">
            <w:pPr>
              <w:jc w:val="right"/>
            </w:pPr>
            <w:r>
              <w:t>7,426</w:t>
            </w:r>
          </w:p>
        </w:tc>
      </w:tr>
      <w:tr w:rsidR="0070017C" w14:paraId="638B8862" w14:textId="77777777" w:rsidTr="0070017C">
        <w:trPr>
          <w:trHeight w:val="330"/>
          <w:tblHeader/>
        </w:trPr>
        <w:tc>
          <w:tcPr>
            <w:tcW w:w="8397" w:type="dxa"/>
          </w:tcPr>
          <w:p w14:paraId="1719B381" w14:textId="77777777" w:rsidR="0070017C" w:rsidRDefault="0070017C" w:rsidP="00D459AF">
            <w:pPr>
              <w:jc w:val="both"/>
            </w:pPr>
            <w:r>
              <w:t>Revaluation reserve: cumulative revaluation surpluses and deficits</w:t>
            </w:r>
          </w:p>
        </w:tc>
        <w:tc>
          <w:tcPr>
            <w:tcW w:w="1275" w:type="dxa"/>
          </w:tcPr>
          <w:p w14:paraId="5008254B" w14:textId="77777777" w:rsidR="0070017C" w:rsidRDefault="0070017C" w:rsidP="00D459AF">
            <w:pPr>
              <w:jc w:val="right"/>
            </w:pPr>
            <w:r>
              <w:t>12,866</w:t>
            </w:r>
          </w:p>
        </w:tc>
      </w:tr>
      <w:tr w:rsidR="0070017C" w14:paraId="098B54EB" w14:textId="77777777" w:rsidTr="0070017C">
        <w:trPr>
          <w:trHeight w:val="752"/>
          <w:tblHeader/>
        </w:trPr>
        <w:tc>
          <w:tcPr>
            <w:tcW w:w="8397" w:type="dxa"/>
          </w:tcPr>
          <w:p w14:paraId="7AFC0525" w14:textId="77777777" w:rsidR="0070017C" w:rsidRDefault="0070017C" w:rsidP="00D459AF">
            <w:pPr>
              <w:jc w:val="both"/>
            </w:pPr>
            <w:r>
              <w:t xml:space="preserve">Donated assets </w:t>
            </w:r>
            <w:proofErr w:type="gramStart"/>
            <w:r>
              <w:t>reserve:</w:t>
            </w:r>
            <w:proofErr w:type="gramEnd"/>
            <w:r>
              <w:t xml:space="preserve"> representing fixed assets purchased from grants and donations restricted by virtue of specific conditions or legal restrictions, adjusted for revaluation and depreciation</w:t>
            </w:r>
          </w:p>
        </w:tc>
        <w:tc>
          <w:tcPr>
            <w:tcW w:w="1275" w:type="dxa"/>
          </w:tcPr>
          <w:p w14:paraId="315E4BB6" w14:textId="77777777" w:rsidR="0070017C" w:rsidRDefault="0070017C" w:rsidP="00D459AF">
            <w:pPr>
              <w:jc w:val="right"/>
            </w:pPr>
            <w:r>
              <w:t xml:space="preserve">  31,011</w:t>
            </w:r>
          </w:p>
        </w:tc>
      </w:tr>
      <w:tr w:rsidR="0070017C" w14:paraId="6E128336" w14:textId="77777777" w:rsidTr="0070017C">
        <w:trPr>
          <w:trHeight w:val="511"/>
          <w:tblHeader/>
        </w:trPr>
        <w:tc>
          <w:tcPr>
            <w:tcW w:w="8397" w:type="dxa"/>
          </w:tcPr>
          <w:p w14:paraId="41458001" w14:textId="77777777" w:rsidR="0070017C" w:rsidRDefault="0070017C" w:rsidP="00D459AF">
            <w:pPr>
              <w:jc w:val="both"/>
            </w:pPr>
            <w:r>
              <w:t>Other restricted funds: unspent funds restricted by virtue of specific conditions or legal restrictions</w:t>
            </w:r>
          </w:p>
        </w:tc>
        <w:tc>
          <w:tcPr>
            <w:tcW w:w="1275" w:type="dxa"/>
          </w:tcPr>
          <w:p w14:paraId="224C8EE4" w14:textId="77777777" w:rsidR="0070017C" w:rsidRDefault="0070017C" w:rsidP="00D459AF">
            <w:pPr>
              <w:jc w:val="right"/>
            </w:pPr>
            <w:r>
              <w:t xml:space="preserve">627    </w:t>
            </w:r>
          </w:p>
        </w:tc>
      </w:tr>
      <w:tr w:rsidR="0070017C" w14:paraId="7C05A957" w14:textId="77777777" w:rsidTr="0070017C">
        <w:trPr>
          <w:trHeight w:val="256"/>
          <w:tblHeader/>
        </w:trPr>
        <w:tc>
          <w:tcPr>
            <w:tcW w:w="8397" w:type="dxa"/>
          </w:tcPr>
          <w:p w14:paraId="5740AC45" w14:textId="77777777" w:rsidR="0070017C" w:rsidRDefault="0070017C" w:rsidP="00D459AF">
            <w:pPr>
              <w:jc w:val="both"/>
            </w:pPr>
            <w:r>
              <w:t xml:space="preserve">Pensions </w:t>
            </w:r>
            <w:proofErr w:type="gramStart"/>
            <w:r>
              <w:t>reserve:</w:t>
            </w:r>
            <w:proofErr w:type="gramEnd"/>
            <w:r>
              <w:t xml:space="preserve"> representing the current FRS102 value of the pension fund deficit</w:t>
            </w:r>
          </w:p>
        </w:tc>
        <w:tc>
          <w:tcPr>
            <w:tcW w:w="1275" w:type="dxa"/>
          </w:tcPr>
          <w:p w14:paraId="671DC46E" w14:textId="77777777" w:rsidR="0070017C" w:rsidRDefault="0070017C" w:rsidP="00D459AF">
            <w:pPr>
              <w:jc w:val="right"/>
            </w:pPr>
            <w:r>
              <w:t>-</w:t>
            </w:r>
          </w:p>
        </w:tc>
      </w:tr>
      <w:tr w:rsidR="0070017C" w14:paraId="326AD9D8" w14:textId="77777777" w:rsidTr="0070017C">
        <w:trPr>
          <w:trHeight w:val="241"/>
          <w:tblHeader/>
        </w:trPr>
        <w:tc>
          <w:tcPr>
            <w:tcW w:w="8397" w:type="dxa"/>
          </w:tcPr>
          <w:p w14:paraId="003E78B4" w14:textId="77777777" w:rsidR="0070017C" w:rsidRDefault="0070017C" w:rsidP="00D459AF">
            <w:pPr>
              <w:jc w:val="both"/>
            </w:pPr>
            <w:r>
              <w:t>Designated funds for Museum Development</w:t>
            </w:r>
          </w:p>
        </w:tc>
        <w:tc>
          <w:tcPr>
            <w:tcW w:w="1275" w:type="dxa"/>
          </w:tcPr>
          <w:p w14:paraId="77A93BDF" w14:textId="77777777" w:rsidR="0070017C" w:rsidRDefault="0070017C" w:rsidP="00D459AF">
            <w:pPr>
              <w:jc w:val="right"/>
            </w:pPr>
            <w:r>
              <w:t xml:space="preserve">  1,546</w:t>
            </w:r>
          </w:p>
        </w:tc>
      </w:tr>
      <w:tr w:rsidR="0070017C" w14:paraId="606550AB" w14:textId="77777777" w:rsidTr="0070017C">
        <w:trPr>
          <w:trHeight w:val="271"/>
          <w:tblHeader/>
        </w:trPr>
        <w:tc>
          <w:tcPr>
            <w:tcW w:w="8397" w:type="dxa"/>
          </w:tcPr>
          <w:p w14:paraId="4833F0AF" w14:textId="77777777" w:rsidR="0070017C" w:rsidRDefault="0070017C" w:rsidP="00D459AF">
            <w:pPr>
              <w:jc w:val="both"/>
            </w:pPr>
            <w:r>
              <w:rPr>
                <w:b/>
              </w:rPr>
              <w:t>Free Reserves</w:t>
            </w:r>
          </w:p>
        </w:tc>
        <w:tc>
          <w:tcPr>
            <w:tcW w:w="1275" w:type="dxa"/>
          </w:tcPr>
          <w:p w14:paraId="0BA552C7" w14:textId="77777777" w:rsidR="0070017C" w:rsidRDefault="0070017C" w:rsidP="00D459AF">
            <w:pPr>
              <w:jc w:val="right"/>
            </w:pPr>
          </w:p>
        </w:tc>
      </w:tr>
      <w:tr w:rsidR="0070017C" w14:paraId="016C74E3" w14:textId="77777777" w:rsidTr="0070017C">
        <w:trPr>
          <w:trHeight w:val="526"/>
          <w:tblHeader/>
        </w:trPr>
        <w:tc>
          <w:tcPr>
            <w:tcW w:w="8397" w:type="dxa"/>
          </w:tcPr>
          <w:p w14:paraId="29D488B0" w14:textId="77777777" w:rsidR="0070017C" w:rsidRDefault="0070017C" w:rsidP="00D459AF">
            <w:pPr>
              <w:jc w:val="both"/>
            </w:pPr>
            <w:r>
              <w:t>Unrestricted reserves over which there are no restrictions or specific future spending intentions</w:t>
            </w:r>
          </w:p>
        </w:tc>
        <w:tc>
          <w:tcPr>
            <w:tcW w:w="1275" w:type="dxa"/>
          </w:tcPr>
          <w:p w14:paraId="598C963D" w14:textId="77777777" w:rsidR="0070017C" w:rsidRDefault="0070017C" w:rsidP="00D459AF">
            <w:pPr>
              <w:jc w:val="right"/>
            </w:pPr>
            <w:r>
              <w:t xml:space="preserve">   2,604</w:t>
            </w:r>
          </w:p>
        </w:tc>
      </w:tr>
      <w:tr w:rsidR="0070017C" w14:paraId="18D9EFCE" w14:textId="77777777" w:rsidTr="0070017C">
        <w:trPr>
          <w:trHeight w:val="271"/>
          <w:tblHeader/>
        </w:trPr>
        <w:tc>
          <w:tcPr>
            <w:tcW w:w="8397" w:type="dxa"/>
          </w:tcPr>
          <w:p w14:paraId="38CCC9F5" w14:textId="77777777" w:rsidR="0070017C" w:rsidRDefault="0070017C" w:rsidP="00D459AF">
            <w:pPr>
              <w:jc w:val="both"/>
            </w:pPr>
          </w:p>
        </w:tc>
        <w:tc>
          <w:tcPr>
            <w:tcW w:w="1275" w:type="dxa"/>
          </w:tcPr>
          <w:p w14:paraId="236C9D44" w14:textId="77777777" w:rsidR="0070017C" w:rsidRDefault="0070017C" w:rsidP="00D459AF">
            <w:pPr>
              <w:jc w:val="right"/>
              <w:rPr>
                <w:b/>
              </w:rPr>
            </w:pPr>
            <w:r>
              <w:rPr>
                <w:b/>
              </w:rPr>
              <w:t>56,085</w:t>
            </w:r>
          </w:p>
        </w:tc>
      </w:tr>
    </w:tbl>
    <w:p w14:paraId="0F6D4270" w14:textId="77777777" w:rsidR="004122EF" w:rsidRDefault="004122EF" w:rsidP="004122EF">
      <w:pPr>
        <w:rPr>
          <w:iCs/>
        </w:rPr>
      </w:pPr>
    </w:p>
    <w:p w14:paraId="03D0B2EB" w14:textId="77777777" w:rsidR="0015265F" w:rsidRDefault="0015265F" w:rsidP="0015265F">
      <w:pPr>
        <w:jc w:val="both"/>
      </w:pPr>
      <w:r>
        <w:t>Full details of these funds and their purpose are given in Note 25 of the accounts.</w:t>
      </w:r>
    </w:p>
    <w:p w14:paraId="786C9D3C" w14:textId="77777777" w:rsidR="0015265F" w:rsidRDefault="0015265F" w:rsidP="0015265F">
      <w:pPr>
        <w:jc w:val="both"/>
      </w:pPr>
    </w:p>
    <w:p w14:paraId="79D90C04" w14:textId="77777777" w:rsidR="0015265F" w:rsidRDefault="0015265F" w:rsidP="0015265F">
      <w:pPr>
        <w:pStyle w:val="Heading4"/>
      </w:pPr>
      <w:r>
        <w:t>4.2 Prompt Payment Policy</w:t>
      </w:r>
    </w:p>
    <w:p w14:paraId="16AEF429" w14:textId="77777777" w:rsidR="0015265F" w:rsidRDefault="0015265F" w:rsidP="0015265F">
      <w:pPr>
        <w:rPr>
          <w:b/>
        </w:rPr>
      </w:pPr>
      <w:r>
        <w:t>The Horniman Museum has adopted the Better Payment Practice Code and accordingly all contracts have complied with the Act. No interest payments have been made under the terms of the Act.</w:t>
      </w:r>
    </w:p>
    <w:p w14:paraId="50D9825D" w14:textId="77777777" w:rsidR="0015265F" w:rsidRDefault="0015265F" w:rsidP="0015265F">
      <w:pPr>
        <w:rPr>
          <w:b/>
        </w:rPr>
      </w:pPr>
    </w:p>
    <w:p w14:paraId="436B0FD6" w14:textId="77777777" w:rsidR="0015265F" w:rsidRDefault="0015265F" w:rsidP="0015265F">
      <w:r>
        <w:t>The Museum undertakes to pay bills, except for those under dispute, in accordance with the contract terms or otherwise within 30 days. During the year 76% (82% in 2023/24) of invoices not in dispute were paid within 30 days or supplier terms (target 95%).</w:t>
      </w:r>
    </w:p>
    <w:p w14:paraId="5BD3427C" w14:textId="77777777" w:rsidR="004122EF" w:rsidRDefault="004122EF" w:rsidP="0015265F">
      <w:pPr>
        <w:rPr>
          <w:iCs/>
        </w:rPr>
      </w:pPr>
    </w:p>
    <w:p w14:paraId="7F057C7D" w14:textId="77777777" w:rsidR="0015265F" w:rsidRDefault="0015265F" w:rsidP="0015265F">
      <w:pPr>
        <w:pStyle w:val="Heading3"/>
      </w:pPr>
      <w:r>
        <w:t>5.0 Principal risks and uncertainties</w:t>
      </w:r>
    </w:p>
    <w:p w14:paraId="1085D6C0" w14:textId="77777777" w:rsidR="0015265F" w:rsidRDefault="0015265F" w:rsidP="0015265F">
      <w:r>
        <w:t xml:space="preserve">A risk management policy and framework are in place for managing business risks, which are identified and monitored for each area of operation, as well as for major projects and significant new activities. The Senior Management Team review these risks regularly during the year. Trustees review the major risks to which the Museum is exposed, and the measures taken to mitigate them. </w:t>
      </w:r>
    </w:p>
    <w:p w14:paraId="798C49A8" w14:textId="77777777" w:rsidR="0015265F" w:rsidRDefault="0015265F" w:rsidP="0015265F"/>
    <w:p w14:paraId="15F29DEE" w14:textId="77777777" w:rsidR="0015265F" w:rsidRDefault="0015265F" w:rsidP="0015265F">
      <w:r>
        <w:t xml:space="preserve">The principal risks are presently the impact of inflationary changes, UK government changes, consequences of war and political instability in other countries, as well as other global events. </w:t>
      </w:r>
    </w:p>
    <w:p w14:paraId="17A17C85" w14:textId="77777777" w:rsidR="0015265F" w:rsidRDefault="0015265F" w:rsidP="0015265F">
      <w:r>
        <w:t>A further risk is around the capacity of our workforce to deliver the scope of projects outlined, particularly in the area of capital works. The Nature + Love project will add a substantial workload to many teams across the organisation over the next few years. This will need to be managed carefully to ensure other projects and day-to-day activities do not suffer as a consequence, and that the wellbeing of staff continues to be prioritised.</w:t>
      </w:r>
    </w:p>
    <w:p w14:paraId="7F59E5DB" w14:textId="77777777" w:rsidR="0015265F" w:rsidRDefault="0015265F" w:rsidP="0015265F">
      <w:pPr>
        <w:rPr>
          <w:iCs/>
        </w:rPr>
      </w:pPr>
    </w:p>
    <w:p w14:paraId="7CD157B9" w14:textId="4B256F07" w:rsidR="0015265F" w:rsidRDefault="0015265F" w:rsidP="0015265F">
      <w:pPr>
        <w:rPr>
          <w:iCs/>
        </w:rPr>
      </w:pPr>
      <w:r>
        <w:t>The Pension Scheme continues to be an item of continued risk despite the fund now being in surplus, as the annual position is susceptible to significant changes in several factors, in particular the discount rate, which is dependent on the wider economic position. This is considered to be low risk as it is highly unlikely that any liability would crystallise in the foreseeable future and as current contributions are affordable and have been built into current plans. This risk will continue to be monitored by the Board on an annual basis.</w:t>
      </w:r>
    </w:p>
    <w:p w14:paraId="14BE575A" w14:textId="344716A9" w:rsidR="00BE13A8" w:rsidRDefault="00D70530" w:rsidP="0015265F">
      <w:pPr>
        <w:pStyle w:val="Heading2"/>
      </w:pPr>
      <w:bookmarkStart w:id="9" w:name="_heading=h.ku2zq5xg8sy9" w:colFirst="0" w:colLast="0"/>
      <w:bookmarkEnd w:id="9"/>
      <w:r>
        <w:lastRenderedPageBreak/>
        <w:t>Structure,</w:t>
      </w:r>
      <w:r w:rsidR="00BF059B">
        <w:t xml:space="preserve"> </w:t>
      </w:r>
      <w:r>
        <w:t>Governance</w:t>
      </w:r>
      <w:r w:rsidR="00BF059B">
        <w:t xml:space="preserve"> </w:t>
      </w:r>
      <w:r>
        <w:t>and</w:t>
      </w:r>
      <w:r w:rsidR="00BF059B">
        <w:t xml:space="preserve"> </w:t>
      </w:r>
      <w:r>
        <w:t>Management</w:t>
      </w:r>
    </w:p>
    <w:p w14:paraId="6529E492" w14:textId="77777777" w:rsidR="00BE13A8" w:rsidRDefault="00BE13A8">
      <w:pPr>
        <w:rPr>
          <w:b/>
        </w:rPr>
      </w:pPr>
    </w:p>
    <w:p w14:paraId="13329CD1" w14:textId="4D5C6345" w:rsidR="00BE13A8" w:rsidRDefault="00D70530" w:rsidP="0015265F">
      <w:pPr>
        <w:pStyle w:val="Heading3"/>
      </w:pPr>
      <w:r>
        <w:t>Governing</w:t>
      </w:r>
      <w:r w:rsidR="00BF059B">
        <w:t xml:space="preserve"> </w:t>
      </w:r>
      <w:r>
        <w:t>Document</w:t>
      </w:r>
    </w:p>
    <w:p w14:paraId="17B6C75C" w14:textId="14D7F414" w:rsidR="00BE13A8" w:rsidRDefault="00D70530" w:rsidP="0015265F">
      <w:r>
        <w:t>The</w:t>
      </w:r>
      <w:r w:rsidR="00BF059B">
        <w:t xml:space="preserve"> </w:t>
      </w:r>
      <w:r>
        <w:t>Trust</w:t>
      </w:r>
      <w:r w:rsidR="00BF059B">
        <w:t xml:space="preserve"> </w:t>
      </w:r>
      <w:r>
        <w:t>was</w:t>
      </w:r>
      <w:r w:rsidR="00BF059B">
        <w:t xml:space="preserve"> </w:t>
      </w:r>
      <w:r>
        <w:t>incorporated</w:t>
      </w:r>
      <w:r w:rsidR="00BF059B">
        <w:t xml:space="preserve"> </w:t>
      </w:r>
      <w:r>
        <w:t>on</w:t>
      </w:r>
      <w:r w:rsidR="00BF059B">
        <w:t xml:space="preserve"> </w:t>
      </w:r>
      <w:r>
        <w:t>29</w:t>
      </w:r>
      <w:r w:rsidR="00BF059B">
        <w:t xml:space="preserve"> </w:t>
      </w:r>
      <w:r>
        <w:t>December</w:t>
      </w:r>
      <w:r w:rsidR="00BF059B">
        <w:t xml:space="preserve"> </w:t>
      </w:r>
      <w:r>
        <w:t>1989</w:t>
      </w:r>
      <w:r w:rsidR="00BF059B">
        <w:t xml:space="preserve"> </w:t>
      </w:r>
      <w:r>
        <w:t>as</w:t>
      </w:r>
      <w:r w:rsidR="00BF059B">
        <w:t xml:space="preserve"> </w:t>
      </w:r>
      <w:r>
        <w:t>a</w:t>
      </w:r>
      <w:r w:rsidR="00BF059B">
        <w:t xml:space="preserve"> </w:t>
      </w:r>
      <w:r>
        <w:t>company</w:t>
      </w:r>
      <w:r w:rsidR="00BF059B">
        <w:t xml:space="preserve"> </w:t>
      </w:r>
      <w:r>
        <w:t>limited</w:t>
      </w:r>
      <w:r w:rsidR="00BF059B">
        <w:t xml:space="preserve"> </w:t>
      </w:r>
      <w:r>
        <w:t>by</w:t>
      </w:r>
      <w:r w:rsidR="00BF059B">
        <w:t xml:space="preserve"> </w:t>
      </w:r>
      <w:r>
        <w:t>guarantee</w:t>
      </w:r>
      <w:r w:rsidR="00BF059B">
        <w:t xml:space="preserve"> </w:t>
      </w:r>
      <w:r>
        <w:t>and</w:t>
      </w:r>
      <w:r w:rsidR="00BF059B">
        <w:t xml:space="preserve"> </w:t>
      </w:r>
      <w:r>
        <w:t>is</w:t>
      </w:r>
      <w:r w:rsidR="00BF059B">
        <w:t xml:space="preserve"> </w:t>
      </w:r>
      <w:r>
        <w:t>governed</w:t>
      </w:r>
      <w:r w:rsidR="00BF059B">
        <w:t xml:space="preserve"> </w:t>
      </w:r>
      <w:r>
        <w:t>by</w:t>
      </w:r>
      <w:r w:rsidR="00BF059B">
        <w:t xml:space="preserve"> </w:t>
      </w:r>
      <w:r>
        <w:t>its</w:t>
      </w:r>
      <w:r w:rsidR="00BF059B">
        <w:t xml:space="preserve"> </w:t>
      </w:r>
      <w:r>
        <w:t>Memorandum</w:t>
      </w:r>
      <w:r w:rsidR="00BF059B">
        <w:t xml:space="preserve"> </w:t>
      </w:r>
      <w:r>
        <w:t>and</w:t>
      </w:r>
      <w:r w:rsidR="00BF059B">
        <w:t xml:space="preserve"> </w:t>
      </w:r>
      <w:r>
        <w:t>Articles</w:t>
      </w:r>
      <w:r w:rsidR="00BF059B">
        <w:t xml:space="preserve"> </w:t>
      </w:r>
      <w:r>
        <w:t>of</w:t>
      </w:r>
      <w:r w:rsidR="00BF059B">
        <w:t xml:space="preserve"> </w:t>
      </w:r>
      <w:r>
        <w:t>Association.</w:t>
      </w:r>
      <w:r w:rsidR="00BF059B">
        <w:t xml:space="preserve"> </w:t>
      </w:r>
      <w:r>
        <w:t>On</w:t>
      </w:r>
      <w:r w:rsidR="00BF059B">
        <w:t xml:space="preserve"> </w:t>
      </w:r>
      <w:r>
        <w:t>1</w:t>
      </w:r>
      <w:r w:rsidR="00BF059B">
        <w:t xml:space="preserve"> </w:t>
      </w:r>
      <w:r>
        <w:t>April</w:t>
      </w:r>
      <w:r w:rsidR="00BF059B">
        <w:t xml:space="preserve"> </w:t>
      </w:r>
      <w:r>
        <w:t>1992,</w:t>
      </w:r>
      <w:r w:rsidR="00BF059B">
        <w:t xml:space="preserve"> </w:t>
      </w:r>
      <w:r>
        <w:t>following</w:t>
      </w:r>
      <w:r w:rsidR="00BF059B">
        <w:t xml:space="preserve"> </w:t>
      </w:r>
      <w:r>
        <w:t>the</w:t>
      </w:r>
      <w:r w:rsidR="00BF059B">
        <w:t xml:space="preserve"> </w:t>
      </w:r>
      <w:r>
        <w:t>abolition</w:t>
      </w:r>
      <w:r w:rsidR="00BF059B">
        <w:t xml:space="preserve"> </w:t>
      </w:r>
      <w:r>
        <w:t>of</w:t>
      </w:r>
      <w:r w:rsidR="00BF059B">
        <w:t xml:space="preserve"> </w:t>
      </w:r>
      <w:r>
        <w:t>the</w:t>
      </w:r>
      <w:r w:rsidR="00BF059B">
        <w:t xml:space="preserve"> </w:t>
      </w:r>
      <w:r>
        <w:t>Inner</w:t>
      </w:r>
      <w:r w:rsidR="00BF059B">
        <w:t xml:space="preserve"> </w:t>
      </w:r>
      <w:r>
        <w:t>London</w:t>
      </w:r>
      <w:r w:rsidR="00BF059B">
        <w:t xml:space="preserve"> </w:t>
      </w:r>
      <w:r>
        <w:t>Education</w:t>
      </w:r>
      <w:r w:rsidR="00BF059B">
        <w:t xml:space="preserve"> </w:t>
      </w:r>
      <w:r>
        <w:t>Authority,</w:t>
      </w:r>
      <w:r w:rsidR="00BF059B">
        <w:t xml:space="preserve"> </w:t>
      </w:r>
      <w:r>
        <w:t>the</w:t>
      </w:r>
      <w:r w:rsidR="00BF059B">
        <w:t xml:space="preserve"> </w:t>
      </w:r>
      <w:r>
        <w:t>Trustees'</w:t>
      </w:r>
      <w:r w:rsidR="00BF059B">
        <w:t xml:space="preserve"> </w:t>
      </w:r>
      <w:r>
        <w:t>functions</w:t>
      </w:r>
      <w:r w:rsidR="00BF059B">
        <w:t xml:space="preserve"> </w:t>
      </w:r>
      <w:r>
        <w:t>relating</w:t>
      </w:r>
      <w:r w:rsidR="00BF059B">
        <w:t xml:space="preserve"> </w:t>
      </w:r>
      <w:r>
        <w:t>to</w:t>
      </w:r>
      <w:r w:rsidR="00BF059B">
        <w:t xml:space="preserve"> </w:t>
      </w:r>
      <w:r>
        <w:t>The</w:t>
      </w:r>
      <w:r w:rsidR="00BF059B">
        <w:t xml:space="preserve"> </w:t>
      </w:r>
      <w:r>
        <w:t>Horniman</w:t>
      </w:r>
      <w:r w:rsidR="00BF059B">
        <w:t xml:space="preserve"> </w:t>
      </w:r>
      <w:r>
        <w:t>Museum</w:t>
      </w:r>
      <w:r w:rsidR="00BF059B">
        <w:t xml:space="preserve"> </w:t>
      </w:r>
      <w:r>
        <w:t>and</w:t>
      </w:r>
      <w:r w:rsidR="00BF059B">
        <w:t xml:space="preserve"> </w:t>
      </w:r>
      <w:r>
        <w:t>Public</w:t>
      </w:r>
      <w:r w:rsidR="00BF059B">
        <w:t xml:space="preserve"> </w:t>
      </w:r>
      <w:r>
        <w:t>Park</w:t>
      </w:r>
      <w:r w:rsidR="00BF059B">
        <w:t xml:space="preserve"> </w:t>
      </w:r>
      <w:r>
        <w:t>Foundation</w:t>
      </w:r>
      <w:r w:rsidR="00BF059B">
        <w:t xml:space="preserve"> </w:t>
      </w:r>
      <w:r>
        <w:t>("the</w:t>
      </w:r>
      <w:r w:rsidR="00BF059B">
        <w:t xml:space="preserve"> </w:t>
      </w:r>
      <w:r>
        <w:t>Foundation")</w:t>
      </w:r>
      <w:r w:rsidR="00BF059B">
        <w:t xml:space="preserve"> </w:t>
      </w:r>
      <w:r>
        <w:t>were</w:t>
      </w:r>
      <w:r w:rsidR="00BF059B">
        <w:t xml:space="preserve"> </w:t>
      </w:r>
      <w:r>
        <w:t>transferred</w:t>
      </w:r>
      <w:r w:rsidR="00BF059B">
        <w:t xml:space="preserve"> </w:t>
      </w:r>
      <w:r>
        <w:t>to</w:t>
      </w:r>
      <w:r w:rsidR="00BF059B">
        <w:t xml:space="preserve"> </w:t>
      </w:r>
      <w:r>
        <w:t>the</w:t>
      </w:r>
      <w:r w:rsidR="00BF059B">
        <w:t xml:space="preserve"> </w:t>
      </w:r>
      <w:r>
        <w:t>new</w:t>
      </w:r>
      <w:r w:rsidR="00BF059B">
        <w:t xml:space="preserve"> </w:t>
      </w:r>
      <w:r>
        <w:t>charity</w:t>
      </w:r>
      <w:r w:rsidR="00BF059B">
        <w:t xml:space="preserve"> </w:t>
      </w:r>
      <w:r>
        <w:t>(The</w:t>
      </w:r>
      <w:r w:rsidR="00BF059B">
        <w:t xml:space="preserve"> </w:t>
      </w:r>
      <w:r>
        <w:t>Horniman</w:t>
      </w:r>
      <w:r w:rsidR="00BF059B">
        <w:t xml:space="preserve"> </w:t>
      </w:r>
      <w:r>
        <w:t>Public</w:t>
      </w:r>
      <w:r w:rsidR="00BF059B">
        <w:t xml:space="preserve"> </w:t>
      </w:r>
      <w:r>
        <w:t>Museum</w:t>
      </w:r>
      <w:r w:rsidR="00BF059B">
        <w:t xml:space="preserve"> </w:t>
      </w:r>
      <w:r>
        <w:t>and</w:t>
      </w:r>
      <w:r w:rsidR="00BF059B">
        <w:t xml:space="preserve"> </w:t>
      </w:r>
      <w:r>
        <w:t>Public</w:t>
      </w:r>
      <w:r w:rsidR="00BF059B">
        <w:t xml:space="preserve"> </w:t>
      </w:r>
      <w:r>
        <w:t>Park</w:t>
      </w:r>
      <w:r w:rsidR="00BF059B">
        <w:t xml:space="preserve"> </w:t>
      </w:r>
      <w:r>
        <w:t>Trust)</w:t>
      </w:r>
      <w:r w:rsidR="00BF059B">
        <w:t xml:space="preserve"> </w:t>
      </w:r>
      <w:r>
        <w:t>and</w:t>
      </w:r>
      <w:r w:rsidR="00BF059B">
        <w:t xml:space="preserve"> </w:t>
      </w:r>
      <w:r>
        <w:t>the</w:t>
      </w:r>
      <w:r w:rsidR="00BF059B">
        <w:t xml:space="preserve"> </w:t>
      </w:r>
      <w:r>
        <w:t>trust</w:t>
      </w:r>
      <w:r w:rsidR="00BF059B">
        <w:t xml:space="preserve"> </w:t>
      </w:r>
      <w:r>
        <w:t>property</w:t>
      </w:r>
      <w:r w:rsidR="00BF059B">
        <w:t xml:space="preserve"> </w:t>
      </w:r>
      <w:r>
        <w:t>of</w:t>
      </w:r>
      <w:r w:rsidR="00BF059B">
        <w:t xml:space="preserve"> </w:t>
      </w:r>
      <w:r>
        <w:t>the</w:t>
      </w:r>
      <w:r w:rsidR="00BF059B">
        <w:t xml:space="preserve"> </w:t>
      </w:r>
      <w:r>
        <w:t>Foundation</w:t>
      </w:r>
      <w:r w:rsidR="00BF059B">
        <w:t xml:space="preserve"> </w:t>
      </w:r>
      <w:r>
        <w:t>was</w:t>
      </w:r>
      <w:r w:rsidR="00BF059B">
        <w:t xml:space="preserve"> </w:t>
      </w:r>
      <w:r>
        <w:t>vested</w:t>
      </w:r>
      <w:r w:rsidR="00BF059B">
        <w:t xml:space="preserve"> </w:t>
      </w:r>
      <w:r>
        <w:t>in</w:t>
      </w:r>
      <w:r w:rsidR="00BF059B">
        <w:t xml:space="preserve"> </w:t>
      </w:r>
      <w:r>
        <w:t>the</w:t>
      </w:r>
      <w:r w:rsidR="00BF059B">
        <w:t xml:space="preserve"> </w:t>
      </w:r>
      <w:r>
        <w:t>new</w:t>
      </w:r>
      <w:r w:rsidR="00BF059B">
        <w:t xml:space="preserve"> </w:t>
      </w:r>
      <w:r>
        <w:t>charity,</w:t>
      </w:r>
      <w:r w:rsidR="00BF059B">
        <w:t xml:space="preserve"> </w:t>
      </w:r>
      <w:r>
        <w:t>to</w:t>
      </w:r>
      <w:r w:rsidR="00BF059B">
        <w:t xml:space="preserve"> </w:t>
      </w:r>
      <w:r>
        <w:t>be</w:t>
      </w:r>
      <w:r w:rsidR="00BF059B">
        <w:t xml:space="preserve"> </w:t>
      </w:r>
      <w:r>
        <w:t>held</w:t>
      </w:r>
      <w:r w:rsidR="00BF059B">
        <w:t xml:space="preserve"> </w:t>
      </w:r>
      <w:r>
        <w:t>on</w:t>
      </w:r>
      <w:r w:rsidR="00BF059B">
        <w:t xml:space="preserve"> </w:t>
      </w:r>
      <w:r>
        <w:t>existing</w:t>
      </w:r>
      <w:r w:rsidR="00BF059B">
        <w:t xml:space="preserve"> </w:t>
      </w:r>
      <w:r>
        <w:t>trusts,</w:t>
      </w:r>
      <w:r w:rsidR="00BF059B">
        <w:t xml:space="preserve"> </w:t>
      </w:r>
      <w:r>
        <w:t>under</w:t>
      </w:r>
      <w:r w:rsidR="00BF059B">
        <w:t xml:space="preserve"> </w:t>
      </w:r>
      <w:r>
        <w:t>the</w:t>
      </w:r>
      <w:r w:rsidR="00BF059B">
        <w:t xml:space="preserve"> </w:t>
      </w:r>
      <w:r>
        <w:t>terms</w:t>
      </w:r>
      <w:r w:rsidR="00BF059B">
        <w:t xml:space="preserve"> </w:t>
      </w:r>
      <w:r>
        <w:t>of</w:t>
      </w:r>
      <w:r w:rsidR="00BF059B">
        <w:t xml:space="preserve"> </w:t>
      </w:r>
      <w:r>
        <w:t>Statutory</w:t>
      </w:r>
      <w:r w:rsidR="00BF059B">
        <w:t xml:space="preserve"> </w:t>
      </w:r>
      <w:r>
        <w:t>Instrument</w:t>
      </w:r>
      <w:r w:rsidR="00BF059B">
        <w:t xml:space="preserve"> </w:t>
      </w:r>
      <w:r>
        <w:t>No.</w:t>
      </w:r>
      <w:r w:rsidR="00BF059B">
        <w:t xml:space="preserve"> </w:t>
      </w:r>
      <w:r>
        <w:t>437.</w:t>
      </w:r>
      <w:r w:rsidR="00BF059B">
        <w:t xml:space="preserve"> </w:t>
      </w:r>
      <w:r>
        <w:t>In</w:t>
      </w:r>
      <w:r w:rsidR="00BF059B">
        <w:t xml:space="preserve"> </w:t>
      </w:r>
      <w:r>
        <w:t>addition,</w:t>
      </w:r>
      <w:r w:rsidR="00BF059B">
        <w:t xml:space="preserve"> </w:t>
      </w:r>
      <w:r>
        <w:t>the</w:t>
      </w:r>
      <w:r w:rsidR="00BF059B">
        <w:t xml:space="preserve"> </w:t>
      </w:r>
      <w:r>
        <w:t>Statutory</w:t>
      </w:r>
      <w:r w:rsidR="00BF059B">
        <w:t xml:space="preserve"> </w:t>
      </w:r>
      <w:r>
        <w:t>Instrument</w:t>
      </w:r>
      <w:r w:rsidR="00BF059B">
        <w:t xml:space="preserve"> </w:t>
      </w:r>
      <w:r>
        <w:t>transferred</w:t>
      </w:r>
      <w:r w:rsidR="00BF059B">
        <w:t xml:space="preserve"> </w:t>
      </w:r>
      <w:r>
        <w:t>certain</w:t>
      </w:r>
      <w:r w:rsidR="00BF059B">
        <w:t xml:space="preserve"> </w:t>
      </w:r>
      <w:r>
        <w:t>former</w:t>
      </w:r>
      <w:r w:rsidR="00BF059B">
        <w:t xml:space="preserve"> </w:t>
      </w:r>
      <w:r>
        <w:t>local</w:t>
      </w:r>
      <w:r w:rsidR="00BF059B">
        <w:t xml:space="preserve"> </w:t>
      </w:r>
      <w:r>
        <w:t>authority</w:t>
      </w:r>
      <w:r w:rsidR="00BF059B">
        <w:t xml:space="preserve"> </w:t>
      </w:r>
      <w:r>
        <w:t>property</w:t>
      </w:r>
      <w:r w:rsidR="00BF059B">
        <w:t xml:space="preserve"> </w:t>
      </w:r>
      <w:r>
        <w:t>to</w:t>
      </w:r>
      <w:r w:rsidR="00BF059B">
        <w:t xml:space="preserve"> </w:t>
      </w:r>
      <w:r>
        <w:t>The</w:t>
      </w:r>
      <w:r w:rsidR="00BF059B">
        <w:t xml:space="preserve"> </w:t>
      </w:r>
      <w:r>
        <w:t>Horniman</w:t>
      </w:r>
      <w:r w:rsidR="00BF059B">
        <w:t xml:space="preserve"> </w:t>
      </w:r>
      <w:r>
        <w:t>Public</w:t>
      </w:r>
      <w:r w:rsidR="00BF059B">
        <w:t xml:space="preserve"> </w:t>
      </w:r>
      <w:r>
        <w:t>Museum</w:t>
      </w:r>
      <w:r w:rsidR="00BF059B">
        <w:t xml:space="preserve"> </w:t>
      </w:r>
      <w:r>
        <w:t>and</w:t>
      </w:r>
      <w:r w:rsidR="00BF059B">
        <w:t xml:space="preserve"> </w:t>
      </w:r>
      <w:r>
        <w:t>Public</w:t>
      </w:r>
      <w:r w:rsidR="00BF059B">
        <w:t xml:space="preserve"> </w:t>
      </w:r>
      <w:r>
        <w:t>Park</w:t>
      </w:r>
      <w:r w:rsidR="00BF059B">
        <w:t xml:space="preserve"> </w:t>
      </w:r>
      <w:r>
        <w:t>Trust</w:t>
      </w:r>
      <w:r w:rsidR="00BF059B">
        <w:t xml:space="preserve"> </w:t>
      </w:r>
      <w:r>
        <w:t>free</w:t>
      </w:r>
      <w:r w:rsidR="00BF059B">
        <w:t xml:space="preserve"> </w:t>
      </w:r>
      <w:r>
        <w:t>of</w:t>
      </w:r>
      <w:r w:rsidR="00BF059B">
        <w:t xml:space="preserve"> </w:t>
      </w:r>
      <w:r>
        <w:t>trusts.</w:t>
      </w:r>
      <w:r w:rsidR="00BF059B">
        <w:t xml:space="preserve"> </w:t>
      </w:r>
      <w:r>
        <w:t>The</w:t>
      </w:r>
      <w:r w:rsidR="00BF059B">
        <w:t xml:space="preserve"> </w:t>
      </w:r>
      <w:r>
        <w:t>Charity</w:t>
      </w:r>
      <w:r w:rsidR="00BF059B">
        <w:t xml:space="preserve"> </w:t>
      </w:r>
      <w:r>
        <w:t>Commissioners</w:t>
      </w:r>
      <w:r w:rsidR="00BF059B">
        <w:t xml:space="preserve"> </w:t>
      </w:r>
      <w:r>
        <w:t>have</w:t>
      </w:r>
      <w:r w:rsidR="00BF059B">
        <w:t xml:space="preserve"> </w:t>
      </w:r>
      <w:r>
        <w:t>agreed</w:t>
      </w:r>
      <w:r w:rsidR="00BF059B">
        <w:t xml:space="preserve"> </w:t>
      </w:r>
      <w:r>
        <w:t>that</w:t>
      </w:r>
      <w:r w:rsidR="00BF059B">
        <w:t xml:space="preserve"> </w:t>
      </w:r>
      <w:r>
        <w:t>the</w:t>
      </w:r>
      <w:r w:rsidR="00BF059B">
        <w:t xml:space="preserve"> </w:t>
      </w:r>
      <w:r>
        <w:t>Foundation</w:t>
      </w:r>
      <w:r w:rsidR="00BF059B">
        <w:t xml:space="preserve"> </w:t>
      </w:r>
      <w:r>
        <w:t>may</w:t>
      </w:r>
      <w:r w:rsidR="00BF059B">
        <w:t xml:space="preserve"> </w:t>
      </w:r>
      <w:r>
        <w:t>be</w:t>
      </w:r>
      <w:r w:rsidR="00BF059B">
        <w:t xml:space="preserve"> </w:t>
      </w:r>
      <w:r>
        <w:t>treated</w:t>
      </w:r>
      <w:r w:rsidR="00BF059B">
        <w:t xml:space="preserve"> </w:t>
      </w:r>
      <w:r>
        <w:t>as</w:t>
      </w:r>
      <w:r w:rsidR="00BF059B">
        <w:t xml:space="preserve"> </w:t>
      </w:r>
      <w:r>
        <w:t>a</w:t>
      </w:r>
      <w:r w:rsidR="00BF059B">
        <w:t xml:space="preserve"> </w:t>
      </w:r>
      <w:r>
        <w:t>subsidiary</w:t>
      </w:r>
      <w:r w:rsidR="00BF059B">
        <w:t xml:space="preserve"> </w:t>
      </w:r>
      <w:r>
        <w:t>charity</w:t>
      </w:r>
      <w:r w:rsidR="00BF059B">
        <w:t xml:space="preserve"> </w:t>
      </w:r>
      <w:r>
        <w:t>of</w:t>
      </w:r>
      <w:r w:rsidR="00BF059B">
        <w:t xml:space="preserve"> </w:t>
      </w:r>
      <w:r>
        <w:t>the</w:t>
      </w:r>
      <w:r w:rsidR="00BF059B">
        <w:t xml:space="preserve"> </w:t>
      </w:r>
      <w:r>
        <w:t>charitable</w:t>
      </w:r>
      <w:r w:rsidR="00BF059B">
        <w:t xml:space="preserve"> </w:t>
      </w:r>
      <w:r>
        <w:t>company</w:t>
      </w:r>
      <w:r w:rsidR="00BF059B">
        <w:t xml:space="preserve"> </w:t>
      </w:r>
      <w:r>
        <w:t>that</w:t>
      </w:r>
      <w:r w:rsidR="00BF059B">
        <w:t xml:space="preserve"> </w:t>
      </w:r>
      <w:r>
        <w:t>administers</w:t>
      </w:r>
      <w:r w:rsidR="00BF059B">
        <w:t xml:space="preserve"> </w:t>
      </w:r>
      <w:r>
        <w:t>the</w:t>
      </w:r>
      <w:r w:rsidR="00BF059B">
        <w:t xml:space="preserve"> </w:t>
      </w:r>
      <w:r>
        <w:t>property</w:t>
      </w:r>
      <w:r w:rsidR="00BF059B">
        <w:t xml:space="preserve"> </w:t>
      </w:r>
      <w:r>
        <w:t>of</w:t>
      </w:r>
      <w:r w:rsidR="00BF059B">
        <w:t xml:space="preserve"> </w:t>
      </w:r>
      <w:r>
        <w:t>both</w:t>
      </w:r>
      <w:r w:rsidR="00BF059B">
        <w:t xml:space="preserve"> </w:t>
      </w:r>
      <w:r>
        <w:t>charities.</w:t>
      </w:r>
      <w:r w:rsidR="00BF059B">
        <w:t xml:space="preserve">  </w:t>
      </w:r>
    </w:p>
    <w:p w14:paraId="5A0AC832" w14:textId="77777777" w:rsidR="00BE13A8" w:rsidRDefault="00BE13A8" w:rsidP="0015265F">
      <w:pPr>
        <w:rPr>
          <w:b/>
        </w:rPr>
      </w:pPr>
    </w:p>
    <w:p w14:paraId="6AAF13B5" w14:textId="70205055" w:rsidR="00BE13A8" w:rsidRDefault="00D70530" w:rsidP="0015265F">
      <w:pPr>
        <w:pStyle w:val="Heading3"/>
      </w:pPr>
      <w:r>
        <w:t>Form</w:t>
      </w:r>
      <w:r w:rsidR="00BF059B">
        <w:t xml:space="preserve"> </w:t>
      </w:r>
      <w:r>
        <w:t>of</w:t>
      </w:r>
      <w:r w:rsidR="00BF059B">
        <w:t xml:space="preserve"> </w:t>
      </w:r>
      <w:r>
        <w:t>Accounts</w:t>
      </w:r>
    </w:p>
    <w:p w14:paraId="5993F605" w14:textId="731C68BF" w:rsidR="00BE13A8" w:rsidRDefault="00D70530" w:rsidP="0015265F">
      <w:pPr>
        <w:rPr>
          <w:b/>
        </w:rPr>
      </w:pPr>
      <w:r>
        <w:t>The</w:t>
      </w:r>
      <w:r w:rsidR="00BF059B">
        <w:t xml:space="preserve"> </w:t>
      </w:r>
      <w:r>
        <w:t>Foundation</w:t>
      </w:r>
      <w:r w:rsidR="00BF059B">
        <w:t xml:space="preserve"> </w:t>
      </w:r>
      <w:r>
        <w:t>has</w:t>
      </w:r>
      <w:r w:rsidR="00BF059B">
        <w:t xml:space="preserve"> </w:t>
      </w:r>
      <w:r>
        <w:t>no</w:t>
      </w:r>
      <w:r w:rsidR="00BF059B">
        <w:t xml:space="preserve"> </w:t>
      </w:r>
      <w:r>
        <w:t>income</w:t>
      </w:r>
      <w:r w:rsidR="00BF059B">
        <w:t xml:space="preserve"> </w:t>
      </w:r>
      <w:r>
        <w:t>or</w:t>
      </w:r>
      <w:r w:rsidR="00BF059B">
        <w:t xml:space="preserve"> </w:t>
      </w:r>
      <w:r>
        <w:t>expenditure</w:t>
      </w:r>
      <w:r w:rsidR="00BF059B">
        <w:t xml:space="preserve"> </w:t>
      </w:r>
      <w:r>
        <w:t>of</w:t>
      </w:r>
      <w:r w:rsidR="00BF059B">
        <w:t xml:space="preserve"> </w:t>
      </w:r>
      <w:r>
        <w:t>its</w:t>
      </w:r>
      <w:r w:rsidR="00BF059B">
        <w:t xml:space="preserve"> </w:t>
      </w:r>
      <w:r>
        <w:t>own,</w:t>
      </w:r>
      <w:r w:rsidR="00BF059B">
        <w:t xml:space="preserve"> </w:t>
      </w:r>
      <w:r>
        <w:t>its</w:t>
      </w:r>
      <w:r w:rsidR="00BF059B">
        <w:t xml:space="preserve"> </w:t>
      </w:r>
      <w:r>
        <w:t>initial</w:t>
      </w:r>
      <w:r w:rsidR="00BF059B">
        <w:t xml:space="preserve"> </w:t>
      </w:r>
      <w:r>
        <w:t>assets</w:t>
      </w:r>
      <w:r w:rsidR="00BF059B">
        <w:t xml:space="preserve"> </w:t>
      </w:r>
      <w:r>
        <w:t>being</w:t>
      </w:r>
      <w:r w:rsidR="00BF059B">
        <w:t xml:space="preserve"> </w:t>
      </w:r>
      <w:r>
        <w:t>the</w:t>
      </w:r>
      <w:r w:rsidR="00BF059B">
        <w:t xml:space="preserve"> </w:t>
      </w:r>
      <w:r>
        <w:t>original</w:t>
      </w:r>
      <w:r w:rsidR="00BF059B">
        <w:t xml:space="preserve"> </w:t>
      </w:r>
      <w:r>
        <w:t>endowment</w:t>
      </w:r>
      <w:r w:rsidR="00BF059B">
        <w:t xml:space="preserve"> </w:t>
      </w:r>
      <w:r>
        <w:t>by</w:t>
      </w:r>
      <w:r w:rsidR="00BF059B">
        <w:t xml:space="preserve"> </w:t>
      </w:r>
      <w:r>
        <w:t>Frederick</w:t>
      </w:r>
      <w:r w:rsidR="00BF059B">
        <w:t xml:space="preserve"> </w:t>
      </w:r>
      <w:r>
        <w:t>Horniman.</w:t>
      </w:r>
      <w:r w:rsidR="00BF059B">
        <w:t xml:space="preserve"> </w:t>
      </w:r>
      <w:r>
        <w:t>The</w:t>
      </w:r>
      <w:r w:rsidR="00BF059B">
        <w:t xml:space="preserve"> </w:t>
      </w:r>
      <w:r>
        <w:t>Company</w:t>
      </w:r>
      <w:r w:rsidR="00BF059B">
        <w:t xml:space="preserve"> </w:t>
      </w:r>
      <w:r>
        <w:t>administers</w:t>
      </w:r>
      <w:r w:rsidR="00BF059B">
        <w:t xml:space="preserve"> </w:t>
      </w:r>
      <w:r>
        <w:t>the</w:t>
      </w:r>
      <w:r w:rsidR="00BF059B">
        <w:t xml:space="preserve"> </w:t>
      </w:r>
      <w:r>
        <w:t>property</w:t>
      </w:r>
      <w:r w:rsidR="00BF059B">
        <w:t xml:space="preserve"> </w:t>
      </w:r>
      <w:r>
        <w:t>of</w:t>
      </w:r>
      <w:r w:rsidR="00BF059B">
        <w:t xml:space="preserve"> </w:t>
      </w:r>
      <w:r>
        <w:t>both</w:t>
      </w:r>
      <w:r w:rsidR="00BF059B">
        <w:t xml:space="preserve"> </w:t>
      </w:r>
      <w:r>
        <w:t>charities</w:t>
      </w:r>
      <w:r w:rsidR="00BF059B">
        <w:t xml:space="preserve"> </w:t>
      </w:r>
      <w:r>
        <w:t>on</w:t>
      </w:r>
      <w:r w:rsidR="00BF059B">
        <w:t xml:space="preserve"> </w:t>
      </w:r>
      <w:r>
        <w:t>a</w:t>
      </w:r>
      <w:r w:rsidR="00BF059B">
        <w:t xml:space="preserve"> </w:t>
      </w:r>
      <w:r>
        <w:t>combined</w:t>
      </w:r>
      <w:r w:rsidR="00BF059B">
        <w:t xml:space="preserve"> </w:t>
      </w:r>
      <w:r>
        <w:t>basis,</w:t>
      </w:r>
      <w:r w:rsidR="00BF059B">
        <w:t xml:space="preserve"> </w:t>
      </w:r>
      <w:r>
        <w:t>and</w:t>
      </w:r>
      <w:r w:rsidR="00BF059B">
        <w:t xml:space="preserve"> </w:t>
      </w:r>
      <w:r>
        <w:t>the</w:t>
      </w:r>
      <w:r w:rsidR="00BF059B">
        <w:t xml:space="preserve"> </w:t>
      </w:r>
      <w:r>
        <w:t>Trustees</w:t>
      </w:r>
      <w:r w:rsidR="00BF059B">
        <w:t xml:space="preserve"> </w:t>
      </w:r>
      <w:r>
        <w:t>of</w:t>
      </w:r>
      <w:r w:rsidR="00BF059B">
        <w:t xml:space="preserve"> </w:t>
      </w:r>
      <w:r>
        <w:t>the</w:t>
      </w:r>
      <w:r w:rsidR="00BF059B">
        <w:t xml:space="preserve"> </w:t>
      </w:r>
      <w:r>
        <w:t>Charity</w:t>
      </w:r>
      <w:r w:rsidR="00BF059B">
        <w:t xml:space="preserve"> </w:t>
      </w:r>
      <w:r>
        <w:t>consider</w:t>
      </w:r>
      <w:r w:rsidR="00BF059B">
        <w:t xml:space="preserve"> </w:t>
      </w:r>
      <w:r>
        <w:t>it</w:t>
      </w:r>
      <w:r w:rsidR="00BF059B">
        <w:t xml:space="preserve"> </w:t>
      </w:r>
      <w:r>
        <w:t>impractical</w:t>
      </w:r>
      <w:r w:rsidR="00BF059B">
        <w:t xml:space="preserve"> </w:t>
      </w:r>
      <w:r>
        <w:t>to</w:t>
      </w:r>
      <w:r w:rsidR="00BF059B">
        <w:t xml:space="preserve"> </w:t>
      </w:r>
      <w:r>
        <w:t>segregate</w:t>
      </w:r>
      <w:r w:rsidR="00BF059B">
        <w:t xml:space="preserve"> </w:t>
      </w:r>
      <w:r>
        <w:t>the</w:t>
      </w:r>
      <w:r w:rsidR="00BF059B">
        <w:t xml:space="preserve"> </w:t>
      </w:r>
      <w:r>
        <w:t>results</w:t>
      </w:r>
      <w:r w:rsidR="00BF059B">
        <w:t xml:space="preserve"> </w:t>
      </w:r>
      <w:r>
        <w:t>of</w:t>
      </w:r>
      <w:r w:rsidR="00BF059B">
        <w:t xml:space="preserve"> </w:t>
      </w:r>
      <w:r>
        <w:t>the</w:t>
      </w:r>
      <w:r w:rsidR="00BF059B">
        <w:t xml:space="preserve"> </w:t>
      </w:r>
      <w:r>
        <w:t>two.</w:t>
      </w:r>
      <w:r w:rsidR="00BF059B">
        <w:t xml:space="preserve"> </w:t>
      </w:r>
      <w:r>
        <w:t>Consequently,</w:t>
      </w:r>
      <w:r w:rsidR="00BF059B">
        <w:t xml:space="preserve"> </w:t>
      </w:r>
      <w:r>
        <w:t>the</w:t>
      </w:r>
      <w:r w:rsidR="00BF059B">
        <w:t xml:space="preserve"> </w:t>
      </w:r>
      <w:r>
        <w:t>Foundation</w:t>
      </w:r>
      <w:r w:rsidR="00BF059B">
        <w:t xml:space="preserve"> </w:t>
      </w:r>
      <w:r>
        <w:t>has</w:t>
      </w:r>
      <w:r w:rsidR="00BF059B">
        <w:t xml:space="preserve"> </w:t>
      </w:r>
      <w:r>
        <w:t>been</w:t>
      </w:r>
      <w:r w:rsidR="00BF059B">
        <w:t xml:space="preserve"> </w:t>
      </w:r>
      <w:r>
        <w:t>treated</w:t>
      </w:r>
      <w:r w:rsidR="00BF059B">
        <w:t xml:space="preserve"> </w:t>
      </w:r>
      <w:r>
        <w:t>as</w:t>
      </w:r>
      <w:r w:rsidR="00BF059B">
        <w:t xml:space="preserve"> </w:t>
      </w:r>
      <w:r>
        <w:t>a</w:t>
      </w:r>
      <w:r w:rsidR="00BF059B">
        <w:t xml:space="preserve"> </w:t>
      </w:r>
      <w:r>
        <w:t>subsidiary</w:t>
      </w:r>
      <w:r w:rsidR="00BF059B">
        <w:t xml:space="preserve"> </w:t>
      </w:r>
      <w:r>
        <w:t>of</w:t>
      </w:r>
      <w:r w:rsidR="00BF059B">
        <w:t xml:space="preserve"> </w:t>
      </w:r>
      <w:r>
        <w:t>the</w:t>
      </w:r>
      <w:r w:rsidR="00BF059B">
        <w:t xml:space="preserve"> </w:t>
      </w:r>
      <w:proofErr w:type="gramStart"/>
      <w:r>
        <w:t>Charity</w:t>
      </w:r>
      <w:proofErr w:type="gramEnd"/>
      <w:r w:rsidR="00BF059B">
        <w:t xml:space="preserve"> </w:t>
      </w:r>
      <w:r>
        <w:t>and</w:t>
      </w:r>
      <w:r w:rsidR="00BF059B">
        <w:t xml:space="preserve"> </w:t>
      </w:r>
      <w:r>
        <w:t>the</w:t>
      </w:r>
      <w:r w:rsidR="00BF059B">
        <w:t xml:space="preserve"> </w:t>
      </w:r>
      <w:r>
        <w:t>results</w:t>
      </w:r>
      <w:r w:rsidR="00BF059B">
        <w:t xml:space="preserve"> </w:t>
      </w:r>
      <w:r>
        <w:t>have</w:t>
      </w:r>
      <w:r w:rsidR="00BF059B">
        <w:t xml:space="preserve"> </w:t>
      </w:r>
      <w:r>
        <w:t>been</w:t>
      </w:r>
      <w:r w:rsidR="00BF059B">
        <w:t xml:space="preserve"> </w:t>
      </w:r>
      <w:r>
        <w:t>consolidated</w:t>
      </w:r>
      <w:r w:rsidR="00BF059B">
        <w:t xml:space="preserve"> </w:t>
      </w:r>
      <w:r>
        <w:t>to</w:t>
      </w:r>
      <w:r w:rsidR="00BF059B">
        <w:t xml:space="preserve"> </w:t>
      </w:r>
      <w:r>
        <w:t>represent</w:t>
      </w:r>
      <w:r w:rsidR="00BF059B">
        <w:t xml:space="preserve"> </w:t>
      </w:r>
      <w:r>
        <w:t>their</w:t>
      </w:r>
      <w:r w:rsidR="00BF059B">
        <w:t xml:space="preserve"> </w:t>
      </w:r>
      <w:r>
        <w:t>combined</w:t>
      </w:r>
      <w:r w:rsidR="00BF059B">
        <w:t xml:space="preserve"> </w:t>
      </w:r>
      <w:r>
        <w:t>activities</w:t>
      </w:r>
      <w:r w:rsidR="00BF059B">
        <w:t xml:space="preserve"> </w:t>
      </w:r>
      <w:r>
        <w:t>(described</w:t>
      </w:r>
      <w:r w:rsidR="00BF059B">
        <w:t xml:space="preserve"> </w:t>
      </w:r>
      <w:r>
        <w:t>as</w:t>
      </w:r>
      <w:r w:rsidR="00BF059B">
        <w:t xml:space="preserve"> </w:t>
      </w:r>
      <w:r>
        <w:t>‘Museum’</w:t>
      </w:r>
      <w:r w:rsidR="00BF059B">
        <w:t xml:space="preserve"> </w:t>
      </w:r>
      <w:r>
        <w:t>in</w:t>
      </w:r>
      <w:r w:rsidR="00BF059B">
        <w:t xml:space="preserve"> </w:t>
      </w:r>
      <w:r>
        <w:t>the</w:t>
      </w:r>
      <w:r w:rsidR="00BF059B">
        <w:t xml:space="preserve"> </w:t>
      </w:r>
      <w:r>
        <w:t>accounts</w:t>
      </w:r>
      <w:r w:rsidR="00BF059B">
        <w:t xml:space="preserve"> </w:t>
      </w:r>
      <w:r>
        <w:t>and</w:t>
      </w:r>
      <w:r w:rsidR="00BF059B">
        <w:t xml:space="preserve"> </w:t>
      </w:r>
      <w:r>
        <w:t>notes).</w:t>
      </w:r>
      <w:r w:rsidR="00BF059B">
        <w:t xml:space="preserve"> </w:t>
      </w:r>
      <w:r>
        <w:t>The</w:t>
      </w:r>
      <w:r w:rsidR="00BF059B">
        <w:t xml:space="preserve"> </w:t>
      </w:r>
      <w:r>
        <w:t>collection</w:t>
      </w:r>
      <w:r w:rsidR="00BF059B">
        <w:t xml:space="preserve"> </w:t>
      </w:r>
      <w:r>
        <w:t>of</w:t>
      </w:r>
      <w:r w:rsidR="00BF059B">
        <w:t xml:space="preserve"> </w:t>
      </w:r>
      <w:r>
        <w:t>exhibits</w:t>
      </w:r>
      <w:r w:rsidR="00BF059B">
        <w:t xml:space="preserve"> </w:t>
      </w:r>
      <w:r>
        <w:t>given</w:t>
      </w:r>
      <w:r w:rsidR="00BF059B">
        <w:t xml:space="preserve"> </w:t>
      </w:r>
      <w:r>
        <w:t>in</w:t>
      </w:r>
      <w:r w:rsidR="00BF059B">
        <w:t xml:space="preserve"> </w:t>
      </w:r>
      <w:r>
        <w:t>the</w:t>
      </w:r>
      <w:r w:rsidR="00BF059B">
        <w:t xml:space="preserve"> </w:t>
      </w:r>
      <w:r>
        <w:t>original</w:t>
      </w:r>
      <w:r w:rsidR="00BF059B">
        <w:t xml:space="preserve"> </w:t>
      </w:r>
      <w:r>
        <w:t>indenture</w:t>
      </w:r>
      <w:r w:rsidR="00BF059B">
        <w:t xml:space="preserve"> </w:t>
      </w:r>
      <w:r>
        <w:t>is</w:t>
      </w:r>
      <w:r w:rsidR="00BF059B">
        <w:t xml:space="preserve"> </w:t>
      </w:r>
      <w:r>
        <w:t>considered</w:t>
      </w:r>
      <w:r w:rsidR="00BF059B">
        <w:t xml:space="preserve"> </w:t>
      </w:r>
      <w:r>
        <w:t>inalienable.</w:t>
      </w:r>
      <w:r w:rsidR="00BF059B">
        <w:t xml:space="preserve"> </w:t>
      </w:r>
      <w:r>
        <w:t>In</w:t>
      </w:r>
      <w:r w:rsidR="00BF059B">
        <w:t xml:space="preserve"> </w:t>
      </w:r>
      <w:r>
        <w:t>addition,</w:t>
      </w:r>
      <w:r w:rsidR="00BF059B">
        <w:t xml:space="preserve"> </w:t>
      </w:r>
      <w:r>
        <w:t>the</w:t>
      </w:r>
      <w:r w:rsidR="00BF059B">
        <w:t xml:space="preserve"> </w:t>
      </w:r>
      <w:r>
        <w:t>original</w:t>
      </w:r>
      <w:r w:rsidR="00BF059B">
        <w:t xml:space="preserve"> </w:t>
      </w:r>
      <w:r>
        <w:t>property</w:t>
      </w:r>
      <w:r w:rsidR="00BF059B">
        <w:t xml:space="preserve"> </w:t>
      </w:r>
      <w:r>
        <w:t>given</w:t>
      </w:r>
      <w:r w:rsidR="00BF059B">
        <w:t xml:space="preserve"> </w:t>
      </w:r>
      <w:r>
        <w:t>under</w:t>
      </w:r>
      <w:r w:rsidR="00BF059B">
        <w:t xml:space="preserve"> </w:t>
      </w:r>
      <w:r>
        <w:t>the</w:t>
      </w:r>
      <w:r w:rsidR="00BF059B">
        <w:t xml:space="preserve"> </w:t>
      </w:r>
      <w:r>
        <w:t>endowment</w:t>
      </w:r>
      <w:r w:rsidR="00BF059B">
        <w:t xml:space="preserve"> </w:t>
      </w:r>
      <w:r>
        <w:t>has</w:t>
      </w:r>
      <w:r w:rsidR="00BF059B">
        <w:t xml:space="preserve"> </w:t>
      </w:r>
      <w:r>
        <w:t>been</w:t>
      </w:r>
      <w:r w:rsidR="00BF059B">
        <w:t xml:space="preserve"> </w:t>
      </w:r>
      <w:r>
        <w:t>so</w:t>
      </w:r>
      <w:r w:rsidR="00BF059B">
        <w:t xml:space="preserve"> </w:t>
      </w:r>
      <w:r>
        <w:t>fundamentally</w:t>
      </w:r>
      <w:r w:rsidR="00BF059B">
        <w:t xml:space="preserve"> </w:t>
      </w:r>
      <w:r>
        <w:t>altered</w:t>
      </w:r>
      <w:r w:rsidR="00BF059B">
        <w:t xml:space="preserve"> </w:t>
      </w:r>
      <w:r>
        <w:t>since</w:t>
      </w:r>
      <w:r w:rsidR="00BF059B">
        <w:t xml:space="preserve"> </w:t>
      </w:r>
      <w:r>
        <w:t>1901</w:t>
      </w:r>
      <w:r w:rsidR="00BF059B">
        <w:t xml:space="preserve"> </w:t>
      </w:r>
      <w:r>
        <w:t>that</w:t>
      </w:r>
      <w:r w:rsidR="00BF059B">
        <w:t xml:space="preserve"> </w:t>
      </w:r>
      <w:r>
        <w:t>only</w:t>
      </w:r>
      <w:r w:rsidR="00BF059B">
        <w:t xml:space="preserve"> </w:t>
      </w:r>
      <w:r>
        <w:t>an</w:t>
      </w:r>
      <w:r w:rsidR="00BF059B">
        <w:t xml:space="preserve"> </w:t>
      </w:r>
      <w:r>
        <w:t>immaterial</w:t>
      </w:r>
      <w:r w:rsidR="00BF059B">
        <w:t xml:space="preserve"> </w:t>
      </w:r>
      <w:r>
        <w:t>part</w:t>
      </w:r>
      <w:r w:rsidR="00BF059B">
        <w:t xml:space="preserve"> </w:t>
      </w:r>
      <w:r>
        <w:t>of</w:t>
      </w:r>
      <w:r w:rsidR="00BF059B">
        <w:t xml:space="preserve"> </w:t>
      </w:r>
      <w:proofErr w:type="gramStart"/>
      <w:r>
        <w:t>its</w:t>
      </w:r>
      <w:proofErr w:type="gramEnd"/>
      <w:r w:rsidR="00BF059B">
        <w:t xml:space="preserve"> </w:t>
      </w:r>
      <w:r>
        <w:t>carrying</w:t>
      </w:r>
      <w:r w:rsidR="00BF059B">
        <w:t xml:space="preserve"> </w:t>
      </w:r>
      <w:r>
        <w:t>value</w:t>
      </w:r>
      <w:r w:rsidR="00BF059B">
        <w:t xml:space="preserve"> </w:t>
      </w:r>
      <w:r>
        <w:t>relates</w:t>
      </w:r>
      <w:r w:rsidR="00BF059B">
        <w:t xml:space="preserve"> </w:t>
      </w:r>
      <w:r>
        <w:t>to</w:t>
      </w:r>
      <w:r w:rsidR="00BF059B">
        <w:t xml:space="preserve"> </w:t>
      </w:r>
      <w:r>
        <w:t>the</w:t>
      </w:r>
      <w:r w:rsidR="00BF059B">
        <w:t xml:space="preserve"> </w:t>
      </w:r>
      <w:r>
        <w:t>original</w:t>
      </w:r>
      <w:r w:rsidR="00BF059B">
        <w:t xml:space="preserve"> </w:t>
      </w:r>
      <w:r>
        <w:t>indenture</w:t>
      </w:r>
      <w:r w:rsidR="00BF059B">
        <w:t xml:space="preserve"> </w:t>
      </w:r>
      <w:r>
        <w:t>property.</w:t>
      </w:r>
      <w:r w:rsidR="00BF059B">
        <w:t xml:space="preserve"> </w:t>
      </w:r>
      <w:r>
        <w:t>The</w:t>
      </w:r>
      <w:r w:rsidR="00BF059B">
        <w:t xml:space="preserve"> </w:t>
      </w:r>
      <w:r>
        <w:t>Trustees</w:t>
      </w:r>
      <w:r w:rsidR="00BF059B">
        <w:t xml:space="preserve"> </w:t>
      </w:r>
      <w:r>
        <w:t>consider</w:t>
      </w:r>
      <w:r w:rsidR="00BF059B">
        <w:t xml:space="preserve"> </w:t>
      </w:r>
      <w:r>
        <w:t>that</w:t>
      </w:r>
      <w:r w:rsidR="00BF059B">
        <w:t xml:space="preserve"> </w:t>
      </w:r>
      <w:r>
        <w:t>the</w:t>
      </w:r>
      <w:r w:rsidR="00BF059B">
        <w:t xml:space="preserve"> </w:t>
      </w:r>
      <w:r>
        <w:t>costs</w:t>
      </w:r>
      <w:r w:rsidR="00BF059B">
        <w:t xml:space="preserve"> </w:t>
      </w:r>
      <w:r>
        <w:t>of</w:t>
      </w:r>
      <w:r w:rsidR="00BF059B">
        <w:t xml:space="preserve"> </w:t>
      </w:r>
      <w:r>
        <w:t>establishing</w:t>
      </w:r>
      <w:r w:rsidR="00BF059B">
        <w:t xml:space="preserve"> </w:t>
      </w:r>
      <w:r>
        <w:t>a</w:t>
      </w:r>
      <w:r w:rsidR="00BF059B">
        <w:t xml:space="preserve"> </w:t>
      </w:r>
      <w:r>
        <w:t>separate</w:t>
      </w:r>
      <w:r w:rsidR="00BF059B">
        <w:t xml:space="preserve"> </w:t>
      </w:r>
      <w:r>
        <w:t>value</w:t>
      </w:r>
      <w:r w:rsidR="00BF059B">
        <w:t xml:space="preserve"> </w:t>
      </w:r>
      <w:r>
        <w:t>for</w:t>
      </w:r>
      <w:r w:rsidR="00BF059B">
        <w:t xml:space="preserve"> </w:t>
      </w:r>
      <w:r>
        <w:t>this</w:t>
      </w:r>
      <w:r w:rsidR="00BF059B">
        <w:t xml:space="preserve"> </w:t>
      </w:r>
      <w:r>
        <w:t>property</w:t>
      </w:r>
      <w:r w:rsidR="00BF059B">
        <w:t xml:space="preserve"> </w:t>
      </w:r>
      <w:r>
        <w:t>would</w:t>
      </w:r>
      <w:r w:rsidR="00BF059B">
        <w:t xml:space="preserve"> </w:t>
      </w:r>
      <w:r>
        <w:t>be</w:t>
      </w:r>
      <w:r w:rsidR="00BF059B">
        <w:t xml:space="preserve"> </w:t>
      </w:r>
      <w:r>
        <w:t>onerous</w:t>
      </w:r>
      <w:r w:rsidR="00BF059B">
        <w:t xml:space="preserve"> </w:t>
      </w:r>
      <w:r>
        <w:t>compared</w:t>
      </w:r>
      <w:r w:rsidR="00BF059B">
        <w:t xml:space="preserve"> </w:t>
      </w:r>
      <w:r>
        <w:t>to</w:t>
      </w:r>
      <w:r w:rsidR="00BF059B">
        <w:t xml:space="preserve"> </w:t>
      </w:r>
      <w:r>
        <w:t>the</w:t>
      </w:r>
      <w:r w:rsidR="00BF059B">
        <w:t xml:space="preserve"> </w:t>
      </w:r>
      <w:r>
        <w:t>additional</w:t>
      </w:r>
      <w:r w:rsidR="00BF059B">
        <w:t xml:space="preserve"> </w:t>
      </w:r>
      <w:r>
        <w:t>benefits.</w:t>
      </w:r>
      <w:r w:rsidR="00BF059B">
        <w:t xml:space="preserve"> </w:t>
      </w:r>
      <w:r>
        <w:t>This</w:t>
      </w:r>
      <w:r w:rsidR="00BF059B">
        <w:t xml:space="preserve"> </w:t>
      </w:r>
      <w:r>
        <w:t>entire</w:t>
      </w:r>
      <w:r w:rsidR="00BF059B">
        <w:t xml:space="preserve"> </w:t>
      </w:r>
      <w:r>
        <w:t>property</w:t>
      </w:r>
      <w:r w:rsidR="00BF059B">
        <w:t xml:space="preserve"> </w:t>
      </w:r>
      <w:r>
        <w:t>is</w:t>
      </w:r>
      <w:r w:rsidR="00BF059B">
        <w:t xml:space="preserve"> </w:t>
      </w:r>
      <w:r>
        <w:t>therefore,</w:t>
      </w:r>
      <w:r w:rsidR="00BF059B">
        <w:t xml:space="preserve"> </w:t>
      </w:r>
      <w:r>
        <w:t>included</w:t>
      </w:r>
      <w:r w:rsidR="00BF059B">
        <w:t xml:space="preserve"> </w:t>
      </w:r>
      <w:r>
        <w:t>in</w:t>
      </w:r>
      <w:r w:rsidR="00BF059B">
        <w:t xml:space="preserve"> </w:t>
      </w:r>
      <w:r>
        <w:t>the</w:t>
      </w:r>
      <w:r w:rsidR="00BF059B">
        <w:t xml:space="preserve"> </w:t>
      </w:r>
      <w:r>
        <w:t>value</w:t>
      </w:r>
      <w:r w:rsidR="00BF059B">
        <w:t xml:space="preserve"> </w:t>
      </w:r>
      <w:r>
        <w:t>of</w:t>
      </w:r>
      <w:r w:rsidR="00BF059B">
        <w:t xml:space="preserve"> </w:t>
      </w:r>
      <w:r>
        <w:t>the</w:t>
      </w:r>
      <w:r w:rsidR="00BF059B">
        <w:t xml:space="preserve"> </w:t>
      </w:r>
      <w:r>
        <w:t>Museum’s</w:t>
      </w:r>
      <w:r w:rsidR="00BF059B">
        <w:t xml:space="preserve"> </w:t>
      </w:r>
      <w:r>
        <w:t>freehold</w:t>
      </w:r>
      <w:r w:rsidR="00BF059B">
        <w:t xml:space="preserve"> </w:t>
      </w:r>
      <w:r>
        <w:t>properties</w:t>
      </w:r>
      <w:r w:rsidR="00BF059B">
        <w:t xml:space="preserve"> </w:t>
      </w:r>
      <w:r>
        <w:t>and</w:t>
      </w:r>
      <w:r w:rsidR="00BF059B">
        <w:t xml:space="preserve"> </w:t>
      </w:r>
      <w:r>
        <w:t>is</w:t>
      </w:r>
      <w:r w:rsidR="00BF059B">
        <w:t xml:space="preserve"> </w:t>
      </w:r>
      <w:r>
        <w:t>held</w:t>
      </w:r>
      <w:r w:rsidR="00BF059B">
        <w:t xml:space="preserve"> </w:t>
      </w:r>
      <w:r>
        <w:t>as</w:t>
      </w:r>
      <w:r w:rsidR="00BF059B">
        <w:t xml:space="preserve"> </w:t>
      </w:r>
      <w:r>
        <w:t>part</w:t>
      </w:r>
      <w:r w:rsidR="00BF059B">
        <w:t xml:space="preserve"> </w:t>
      </w:r>
      <w:r>
        <w:t>of</w:t>
      </w:r>
      <w:r w:rsidR="00BF059B">
        <w:t xml:space="preserve"> </w:t>
      </w:r>
      <w:r>
        <w:t>Designated</w:t>
      </w:r>
      <w:r w:rsidR="00BF059B">
        <w:t xml:space="preserve"> </w:t>
      </w:r>
      <w:r>
        <w:t>Funds</w:t>
      </w:r>
      <w:r w:rsidR="00BF059B">
        <w:t xml:space="preserve"> </w:t>
      </w:r>
      <w:r>
        <w:t>(Capital</w:t>
      </w:r>
      <w:r w:rsidR="00BF059B">
        <w:t xml:space="preserve"> </w:t>
      </w:r>
      <w:r>
        <w:t>Projects</w:t>
      </w:r>
      <w:r w:rsidR="00BF059B">
        <w:t xml:space="preserve"> </w:t>
      </w:r>
      <w:r>
        <w:t>Account).</w:t>
      </w:r>
    </w:p>
    <w:p w14:paraId="1C5213E8" w14:textId="77777777" w:rsidR="00BE13A8" w:rsidRDefault="00BE13A8" w:rsidP="0015265F">
      <w:pPr>
        <w:rPr>
          <w:b/>
        </w:rPr>
      </w:pPr>
    </w:p>
    <w:p w14:paraId="13D268F3" w14:textId="5326C6AC" w:rsidR="00BE13A8" w:rsidRDefault="00D70530" w:rsidP="0015265F">
      <w:pPr>
        <w:keepNext/>
        <w:keepLines/>
      </w:pPr>
      <w:r>
        <w:t>Horniman</w:t>
      </w:r>
      <w:r w:rsidR="00BF059B">
        <w:t xml:space="preserve"> </w:t>
      </w:r>
      <w:r>
        <w:t>Museum</w:t>
      </w:r>
      <w:r w:rsidR="00BF059B">
        <w:t xml:space="preserve"> </w:t>
      </w:r>
      <w:r>
        <w:t>Enterprises</w:t>
      </w:r>
      <w:r w:rsidR="00BF059B">
        <w:t xml:space="preserve"> </w:t>
      </w:r>
      <w:r>
        <w:t>Limited,</w:t>
      </w:r>
      <w:r w:rsidR="00BF059B">
        <w:t xml:space="preserve"> </w:t>
      </w:r>
      <w:r>
        <w:t>a</w:t>
      </w:r>
      <w:r w:rsidR="00BF059B">
        <w:t xml:space="preserve"> </w:t>
      </w:r>
      <w:r>
        <w:t>wholly</w:t>
      </w:r>
      <w:r w:rsidR="00BF059B">
        <w:t xml:space="preserve"> </w:t>
      </w:r>
      <w:r>
        <w:t>owned</w:t>
      </w:r>
      <w:r w:rsidR="00BF059B">
        <w:t xml:space="preserve"> </w:t>
      </w:r>
      <w:r>
        <w:t>subsidiary,</w:t>
      </w:r>
      <w:r w:rsidR="00BF059B">
        <w:t xml:space="preserve"> </w:t>
      </w:r>
      <w:r>
        <w:t>began</w:t>
      </w:r>
      <w:r w:rsidR="00BF059B">
        <w:t xml:space="preserve"> </w:t>
      </w:r>
      <w:r>
        <w:t>trading</w:t>
      </w:r>
      <w:r w:rsidR="00BF059B">
        <w:t xml:space="preserve"> </w:t>
      </w:r>
      <w:r>
        <w:t>on</w:t>
      </w:r>
      <w:r w:rsidR="00BF059B">
        <w:t xml:space="preserve"> </w:t>
      </w:r>
      <w:r>
        <w:t>1</w:t>
      </w:r>
      <w:r w:rsidR="00BF059B">
        <w:t xml:space="preserve"> </w:t>
      </w:r>
      <w:r>
        <w:t>April</w:t>
      </w:r>
      <w:r w:rsidR="00BF059B">
        <w:t xml:space="preserve"> </w:t>
      </w:r>
      <w:r>
        <w:t>2005</w:t>
      </w:r>
      <w:r w:rsidR="00BF059B">
        <w:t xml:space="preserve"> </w:t>
      </w:r>
      <w:r>
        <w:t>and</w:t>
      </w:r>
      <w:r w:rsidR="00BF059B">
        <w:t xml:space="preserve"> </w:t>
      </w:r>
      <w:r>
        <w:t>its</w:t>
      </w:r>
      <w:r w:rsidR="00BF059B">
        <w:t xml:space="preserve"> </w:t>
      </w:r>
      <w:r>
        <w:t>results</w:t>
      </w:r>
      <w:r w:rsidR="00BF059B">
        <w:t xml:space="preserve"> </w:t>
      </w:r>
      <w:r>
        <w:t>have</w:t>
      </w:r>
      <w:r w:rsidR="00BF059B">
        <w:t xml:space="preserve"> </w:t>
      </w:r>
      <w:r>
        <w:t>been</w:t>
      </w:r>
      <w:r w:rsidR="00BF059B">
        <w:t xml:space="preserve"> </w:t>
      </w:r>
      <w:r>
        <w:t>consolidated</w:t>
      </w:r>
      <w:r w:rsidR="00BF059B">
        <w:t xml:space="preserve"> </w:t>
      </w:r>
      <w:r>
        <w:t>from</w:t>
      </w:r>
      <w:r w:rsidR="00BF059B">
        <w:t xml:space="preserve"> </w:t>
      </w:r>
      <w:r>
        <w:t>that</w:t>
      </w:r>
      <w:r w:rsidR="00BF059B">
        <w:t xml:space="preserve"> </w:t>
      </w:r>
      <w:r>
        <w:t>date.</w:t>
      </w:r>
    </w:p>
    <w:p w14:paraId="0A10F890" w14:textId="77777777" w:rsidR="00BE13A8" w:rsidRDefault="00BE13A8" w:rsidP="0015265F">
      <w:pPr>
        <w:keepNext/>
        <w:keepLines/>
      </w:pPr>
    </w:p>
    <w:p w14:paraId="481C6E53" w14:textId="567B4397" w:rsidR="00BE13A8" w:rsidRDefault="00D70530" w:rsidP="0015265F">
      <w:pPr>
        <w:pStyle w:val="Heading3"/>
      </w:pPr>
      <w:r>
        <w:t>Corporate</w:t>
      </w:r>
      <w:r w:rsidR="00BF059B">
        <w:t xml:space="preserve"> </w:t>
      </w:r>
      <w:r>
        <w:t>Governance</w:t>
      </w:r>
    </w:p>
    <w:p w14:paraId="05C140F8" w14:textId="144B5F0A" w:rsidR="00BE13A8" w:rsidRDefault="00D70530" w:rsidP="0015265F">
      <w:r>
        <w:t>The</w:t>
      </w:r>
      <w:r w:rsidR="00BF059B">
        <w:t xml:space="preserve"> </w:t>
      </w:r>
      <w:r>
        <w:t>Board</w:t>
      </w:r>
      <w:r w:rsidR="00BF059B">
        <w:t xml:space="preserve"> </w:t>
      </w:r>
      <w:r>
        <w:t>of</w:t>
      </w:r>
      <w:r w:rsidR="00BF059B">
        <w:t xml:space="preserve"> </w:t>
      </w:r>
      <w:r>
        <w:t>Trustees,</w:t>
      </w:r>
      <w:r w:rsidR="00BF059B">
        <w:t xml:space="preserve"> </w:t>
      </w:r>
      <w:r>
        <w:t>which</w:t>
      </w:r>
      <w:r w:rsidR="00BF059B">
        <w:t xml:space="preserve"> </w:t>
      </w:r>
      <w:r>
        <w:t>meets</w:t>
      </w:r>
      <w:r w:rsidR="00BF059B">
        <w:t xml:space="preserve"> </w:t>
      </w:r>
      <w:r>
        <w:t>at</w:t>
      </w:r>
      <w:r w:rsidR="00BF059B">
        <w:t xml:space="preserve"> </w:t>
      </w:r>
      <w:r>
        <w:t>least</w:t>
      </w:r>
      <w:r w:rsidR="00BF059B">
        <w:t xml:space="preserve"> </w:t>
      </w:r>
      <w:r>
        <w:t>quarterly,</w:t>
      </w:r>
      <w:r w:rsidR="00BF059B">
        <w:t xml:space="preserve"> </w:t>
      </w:r>
      <w:r>
        <w:t>is</w:t>
      </w:r>
      <w:r w:rsidR="00BF059B">
        <w:t xml:space="preserve"> </w:t>
      </w:r>
      <w:r>
        <w:t>responsible</w:t>
      </w:r>
      <w:r w:rsidR="00BF059B">
        <w:t xml:space="preserve"> </w:t>
      </w:r>
      <w:r>
        <w:t>for</w:t>
      </w:r>
      <w:r w:rsidR="00BF059B">
        <w:t xml:space="preserve"> </w:t>
      </w:r>
      <w:r>
        <w:t>the</w:t>
      </w:r>
      <w:r w:rsidR="00BF059B">
        <w:t xml:space="preserve"> </w:t>
      </w:r>
      <w:r>
        <w:t>charity.</w:t>
      </w:r>
      <w:r w:rsidR="00BF059B">
        <w:t xml:space="preserve"> </w:t>
      </w:r>
      <w:r>
        <w:t>There</w:t>
      </w:r>
      <w:r w:rsidR="00BF059B">
        <w:t xml:space="preserve"> </w:t>
      </w:r>
      <w:r>
        <w:t>are</w:t>
      </w:r>
      <w:r w:rsidR="00BF059B">
        <w:t xml:space="preserve"> </w:t>
      </w:r>
      <w:r>
        <w:t>up</w:t>
      </w:r>
      <w:r w:rsidR="00BF059B">
        <w:t xml:space="preserve"> </w:t>
      </w:r>
      <w:r>
        <w:t>to</w:t>
      </w:r>
      <w:r w:rsidR="00BF059B">
        <w:t xml:space="preserve"> </w:t>
      </w:r>
      <w:r>
        <w:t>12</w:t>
      </w:r>
      <w:r w:rsidR="00BF059B">
        <w:t xml:space="preserve"> </w:t>
      </w:r>
      <w:r>
        <w:t>Trustees,</w:t>
      </w:r>
      <w:r w:rsidR="00BF059B">
        <w:t xml:space="preserve"> </w:t>
      </w:r>
      <w:r>
        <w:t>four</w:t>
      </w:r>
      <w:r w:rsidR="00BF059B">
        <w:t xml:space="preserve"> </w:t>
      </w:r>
      <w:r>
        <w:t>of</w:t>
      </w:r>
      <w:r w:rsidR="00BF059B">
        <w:t xml:space="preserve"> </w:t>
      </w:r>
      <w:r>
        <w:t>whom,</w:t>
      </w:r>
      <w:r w:rsidR="00BF059B">
        <w:t xml:space="preserve"> </w:t>
      </w:r>
      <w:r>
        <w:t>including</w:t>
      </w:r>
      <w:r w:rsidR="00BF059B">
        <w:t xml:space="preserve"> </w:t>
      </w:r>
      <w:r>
        <w:t>the</w:t>
      </w:r>
      <w:r w:rsidR="00BF059B">
        <w:t xml:space="preserve"> </w:t>
      </w:r>
      <w:r>
        <w:t>Chair,</w:t>
      </w:r>
      <w:r w:rsidR="00BF059B">
        <w:t xml:space="preserve"> </w:t>
      </w:r>
      <w:r>
        <w:t>are</w:t>
      </w:r>
      <w:r w:rsidR="00BF059B">
        <w:t xml:space="preserve"> </w:t>
      </w:r>
      <w:r>
        <w:t>nominated</w:t>
      </w:r>
      <w:r w:rsidR="00BF059B">
        <w:t xml:space="preserve"> </w:t>
      </w:r>
      <w:r>
        <w:t>by</w:t>
      </w:r>
      <w:r w:rsidR="00BF059B">
        <w:t xml:space="preserve"> </w:t>
      </w:r>
      <w:r>
        <w:t>the</w:t>
      </w:r>
      <w:r w:rsidR="00BF059B">
        <w:t xml:space="preserve"> </w:t>
      </w:r>
      <w:r>
        <w:t>Secretary</w:t>
      </w:r>
      <w:r w:rsidR="00BF059B">
        <w:t xml:space="preserve"> </w:t>
      </w:r>
      <w:r>
        <w:t>of</w:t>
      </w:r>
      <w:r w:rsidR="00BF059B">
        <w:t xml:space="preserve"> </w:t>
      </w:r>
      <w:r>
        <w:t>State</w:t>
      </w:r>
      <w:r w:rsidR="00BF059B">
        <w:t xml:space="preserve"> </w:t>
      </w:r>
      <w:r>
        <w:t>for</w:t>
      </w:r>
      <w:r w:rsidR="00BF059B">
        <w:t xml:space="preserve"> </w:t>
      </w:r>
      <w:r>
        <w:t>DCMS.</w:t>
      </w:r>
      <w:r w:rsidR="00BF059B">
        <w:t xml:space="preserve"> </w:t>
      </w:r>
      <w:r>
        <w:t>They</w:t>
      </w:r>
      <w:r w:rsidR="00BF059B">
        <w:t xml:space="preserve"> </w:t>
      </w:r>
      <w:r>
        <w:t>serve</w:t>
      </w:r>
      <w:r w:rsidR="00BF059B">
        <w:t xml:space="preserve"> </w:t>
      </w:r>
      <w:r>
        <w:t>for</w:t>
      </w:r>
      <w:r w:rsidR="00BF059B">
        <w:t xml:space="preserve"> </w:t>
      </w:r>
      <w:r>
        <w:t>a</w:t>
      </w:r>
      <w:r w:rsidR="00BF059B">
        <w:t xml:space="preserve"> </w:t>
      </w:r>
      <w:r>
        <w:t>four-year</w:t>
      </w:r>
      <w:r w:rsidR="00BF059B">
        <w:t xml:space="preserve"> </w:t>
      </w:r>
      <w:r>
        <w:t>term,</w:t>
      </w:r>
      <w:r w:rsidR="00BF059B">
        <w:t xml:space="preserve"> </w:t>
      </w:r>
      <w:r>
        <w:t>after</w:t>
      </w:r>
      <w:r w:rsidR="00BF059B">
        <w:t xml:space="preserve"> </w:t>
      </w:r>
      <w:r>
        <w:t>which</w:t>
      </w:r>
      <w:r w:rsidR="00BF059B">
        <w:t xml:space="preserve"> </w:t>
      </w:r>
      <w:r>
        <w:t>they</w:t>
      </w:r>
      <w:r w:rsidR="00BF059B">
        <w:t xml:space="preserve"> </w:t>
      </w:r>
      <w:r>
        <w:t>may</w:t>
      </w:r>
      <w:r w:rsidR="00BF059B">
        <w:t xml:space="preserve"> </w:t>
      </w:r>
      <w:r>
        <w:t>be</w:t>
      </w:r>
      <w:r w:rsidR="00BF059B">
        <w:t xml:space="preserve"> </w:t>
      </w:r>
      <w:r>
        <w:t>re-elected</w:t>
      </w:r>
      <w:r w:rsidR="00BF059B">
        <w:t xml:space="preserve"> </w:t>
      </w:r>
      <w:r>
        <w:t>for</w:t>
      </w:r>
      <w:r w:rsidR="00BF059B">
        <w:t xml:space="preserve"> </w:t>
      </w:r>
      <w:r>
        <w:t>a</w:t>
      </w:r>
      <w:r w:rsidR="00BF059B">
        <w:t xml:space="preserve"> </w:t>
      </w:r>
      <w:r>
        <w:t>further</w:t>
      </w:r>
      <w:r w:rsidR="00BF059B">
        <w:t xml:space="preserve"> </w:t>
      </w:r>
      <w:r>
        <w:t>four</w:t>
      </w:r>
      <w:r w:rsidR="00BF059B">
        <w:t xml:space="preserve"> </w:t>
      </w:r>
      <w:r>
        <w:t>years</w:t>
      </w:r>
      <w:r w:rsidR="00BF059B">
        <w:t xml:space="preserve"> </w:t>
      </w:r>
      <w:r>
        <w:t>at</w:t>
      </w:r>
      <w:r w:rsidR="00BF059B">
        <w:t xml:space="preserve"> </w:t>
      </w:r>
      <w:r>
        <w:t>the</w:t>
      </w:r>
      <w:r w:rsidR="00BF059B">
        <w:t xml:space="preserve"> </w:t>
      </w:r>
      <w:r>
        <w:t>Annual</w:t>
      </w:r>
      <w:r w:rsidR="00BF059B">
        <w:t xml:space="preserve"> </w:t>
      </w:r>
      <w:r>
        <w:t>General</w:t>
      </w:r>
      <w:r w:rsidR="00BF059B">
        <w:t xml:space="preserve"> </w:t>
      </w:r>
      <w:r>
        <w:t>Meeting</w:t>
      </w:r>
      <w:r w:rsidR="00BF059B">
        <w:t xml:space="preserve"> </w:t>
      </w:r>
      <w:r>
        <w:t>of</w:t>
      </w:r>
      <w:r w:rsidR="00BF059B">
        <w:t xml:space="preserve"> </w:t>
      </w:r>
      <w:r>
        <w:t>the</w:t>
      </w:r>
      <w:r w:rsidR="00BF059B">
        <w:t xml:space="preserve"> </w:t>
      </w:r>
      <w:r>
        <w:t>Trust.</w:t>
      </w:r>
      <w:r w:rsidR="00BF059B">
        <w:t xml:space="preserve">  </w:t>
      </w:r>
      <w:r>
        <w:t>In</w:t>
      </w:r>
      <w:r w:rsidR="00BF059B">
        <w:t xml:space="preserve"> </w:t>
      </w:r>
      <w:r>
        <w:t>addition,</w:t>
      </w:r>
      <w:r w:rsidR="00BF059B">
        <w:t xml:space="preserve"> </w:t>
      </w:r>
      <w:r>
        <w:t>during</w:t>
      </w:r>
      <w:r w:rsidR="00BF059B">
        <w:t xml:space="preserve"> </w:t>
      </w:r>
      <w:r>
        <w:t>the</w:t>
      </w:r>
      <w:r w:rsidR="00BF059B">
        <w:t xml:space="preserve"> </w:t>
      </w:r>
      <w:r>
        <w:t>year</w:t>
      </w:r>
      <w:r w:rsidR="00BF059B">
        <w:t xml:space="preserve"> </w:t>
      </w:r>
      <w:r>
        <w:t>a</w:t>
      </w:r>
      <w:r w:rsidR="00BF059B">
        <w:t xml:space="preserve"> </w:t>
      </w:r>
      <w:r>
        <w:t>Board</w:t>
      </w:r>
      <w:r w:rsidR="00BF059B">
        <w:t xml:space="preserve"> </w:t>
      </w:r>
      <w:r>
        <w:t>Apprentice</w:t>
      </w:r>
      <w:r w:rsidR="00BF059B">
        <w:t xml:space="preserve"> </w:t>
      </w:r>
      <w:r>
        <w:t>was</w:t>
      </w:r>
      <w:r w:rsidR="00BF059B">
        <w:t xml:space="preserve"> </w:t>
      </w:r>
      <w:r>
        <w:t>appointed</w:t>
      </w:r>
      <w:r w:rsidR="00BF059B">
        <w:t xml:space="preserve"> </w:t>
      </w:r>
      <w:r>
        <w:t>under</w:t>
      </w:r>
      <w:r w:rsidR="00BF059B">
        <w:t xml:space="preserve"> </w:t>
      </w:r>
      <w:r>
        <w:t>the</w:t>
      </w:r>
      <w:r w:rsidR="00BF059B">
        <w:t xml:space="preserve"> </w:t>
      </w:r>
      <w:r>
        <w:t>UK</w:t>
      </w:r>
      <w:r w:rsidR="00BF059B">
        <w:t xml:space="preserve"> </w:t>
      </w:r>
      <w:r>
        <w:t>Boardroom</w:t>
      </w:r>
      <w:r w:rsidR="00BF059B">
        <w:t xml:space="preserve"> </w:t>
      </w:r>
      <w:r>
        <w:t>Apprentice</w:t>
      </w:r>
      <w:r w:rsidR="00BF059B">
        <w:t xml:space="preserve"> </w:t>
      </w:r>
      <w:r>
        <w:t>Programme</w:t>
      </w:r>
      <w:r w:rsidR="00BF059B">
        <w:t xml:space="preserve"> </w:t>
      </w:r>
      <w:r>
        <w:t>2025</w:t>
      </w:r>
      <w:r w:rsidR="00BF059B">
        <w:t xml:space="preserve"> </w:t>
      </w:r>
      <w:r>
        <w:t>for</w:t>
      </w:r>
      <w:r w:rsidR="00BF059B">
        <w:t xml:space="preserve"> </w:t>
      </w:r>
      <w:r>
        <w:t>a</w:t>
      </w:r>
      <w:r w:rsidR="00BF059B">
        <w:t xml:space="preserve"> </w:t>
      </w:r>
      <w:r>
        <w:t>period</w:t>
      </w:r>
      <w:r w:rsidR="00BF059B">
        <w:t xml:space="preserve"> </w:t>
      </w:r>
      <w:r>
        <w:t>of</w:t>
      </w:r>
      <w:r w:rsidR="00BF059B">
        <w:t xml:space="preserve"> </w:t>
      </w:r>
      <w:r>
        <w:t>one</w:t>
      </w:r>
      <w:r w:rsidR="00BF059B">
        <w:t xml:space="preserve"> </w:t>
      </w:r>
      <w:r>
        <w:t>year.</w:t>
      </w:r>
    </w:p>
    <w:p w14:paraId="4C97734F" w14:textId="77777777" w:rsidR="0015265F" w:rsidRDefault="0015265F" w:rsidP="0015265F"/>
    <w:p w14:paraId="61E62343" w14:textId="32B712B6" w:rsidR="00BE13A8" w:rsidRDefault="00D70530" w:rsidP="0015265F">
      <w:r>
        <w:t>Induction</w:t>
      </w:r>
      <w:r w:rsidR="00BF059B">
        <w:t xml:space="preserve"> </w:t>
      </w:r>
      <w:r>
        <w:t>programmes</w:t>
      </w:r>
      <w:r w:rsidR="00BF059B">
        <w:t xml:space="preserve"> </w:t>
      </w:r>
      <w:r>
        <w:t>are</w:t>
      </w:r>
      <w:r w:rsidR="00BF059B">
        <w:t xml:space="preserve"> </w:t>
      </w:r>
      <w:r>
        <w:t>arranged</w:t>
      </w:r>
      <w:r w:rsidR="00BF059B">
        <w:t xml:space="preserve"> </w:t>
      </w:r>
      <w:r>
        <w:t>for</w:t>
      </w:r>
      <w:r w:rsidR="00BF059B">
        <w:t xml:space="preserve"> </w:t>
      </w:r>
      <w:r>
        <w:t>all</w:t>
      </w:r>
      <w:r w:rsidR="00BF059B">
        <w:t xml:space="preserve"> </w:t>
      </w:r>
      <w:r>
        <w:t>newly</w:t>
      </w:r>
      <w:r w:rsidR="00BF059B">
        <w:t xml:space="preserve"> </w:t>
      </w:r>
      <w:r>
        <w:t>appointed</w:t>
      </w:r>
      <w:r w:rsidR="00BF059B">
        <w:t xml:space="preserve"> </w:t>
      </w:r>
      <w:r>
        <w:t>Trustees</w:t>
      </w:r>
      <w:r w:rsidR="00BF059B">
        <w:t xml:space="preserve"> </w:t>
      </w:r>
      <w:r>
        <w:t>covering</w:t>
      </w:r>
      <w:r w:rsidR="00BF059B">
        <w:t xml:space="preserve"> </w:t>
      </w:r>
      <w:r>
        <w:t>the</w:t>
      </w:r>
      <w:r w:rsidR="00BF059B">
        <w:t xml:space="preserve"> </w:t>
      </w:r>
      <w:r>
        <w:t>work</w:t>
      </w:r>
      <w:r w:rsidR="00BF059B">
        <w:t xml:space="preserve"> </w:t>
      </w:r>
      <w:r>
        <w:t>and</w:t>
      </w:r>
      <w:r w:rsidR="00BF059B">
        <w:t xml:space="preserve"> </w:t>
      </w:r>
      <w:r>
        <w:t>governance</w:t>
      </w:r>
      <w:r w:rsidR="00BF059B">
        <w:t xml:space="preserve"> </w:t>
      </w:r>
      <w:r>
        <w:t>of</w:t>
      </w:r>
      <w:r w:rsidR="00BF059B">
        <w:t xml:space="preserve"> </w:t>
      </w:r>
      <w:r>
        <w:t>the</w:t>
      </w:r>
      <w:r w:rsidR="00BF059B">
        <w:t xml:space="preserve"> </w:t>
      </w:r>
      <w:r>
        <w:t>Horniman</w:t>
      </w:r>
      <w:r w:rsidR="00BF059B">
        <w:t xml:space="preserve"> </w:t>
      </w:r>
      <w:r>
        <w:t>and</w:t>
      </w:r>
      <w:r w:rsidR="00BF059B">
        <w:t xml:space="preserve"> </w:t>
      </w:r>
      <w:r>
        <w:t>their</w:t>
      </w:r>
      <w:r w:rsidR="00BF059B">
        <w:t xml:space="preserve"> </w:t>
      </w:r>
      <w:r>
        <w:t>responsibilities</w:t>
      </w:r>
      <w:r w:rsidR="00BF059B">
        <w:t xml:space="preserve"> </w:t>
      </w:r>
      <w:r>
        <w:t>as</w:t>
      </w:r>
      <w:r w:rsidR="00BF059B">
        <w:t xml:space="preserve"> </w:t>
      </w:r>
      <w:r>
        <w:t>Trustees.</w:t>
      </w:r>
      <w:r w:rsidR="00BF059B">
        <w:t xml:space="preserve">  </w:t>
      </w:r>
      <w:r>
        <w:t>In</w:t>
      </w:r>
      <w:r w:rsidR="00BF059B">
        <w:t xml:space="preserve"> </w:t>
      </w:r>
      <w:r>
        <w:t>addition,</w:t>
      </w:r>
      <w:r w:rsidR="00BF059B">
        <w:t xml:space="preserve"> </w:t>
      </w:r>
      <w:r>
        <w:t>regular</w:t>
      </w:r>
      <w:r w:rsidR="00BF059B">
        <w:t xml:space="preserve"> </w:t>
      </w:r>
      <w:r>
        <w:t>briefings</w:t>
      </w:r>
      <w:r w:rsidR="00BF059B">
        <w:t xml:space="preserve"> </w:t>
      </w:r>
      <w:r>
        <w:t>on</w:t>
      </w:r>
      <w:r w:rsidR="00BF059B">
        <w:t xml:space="preserve"> </w:t>
      </w:r>
      <w:r>
        <w:t>the</w:t>
      </w:r>
      <w:r w:rsidR="00BF059B">
        <w:t xml:space="preserve"> </w:t>
      </w:r>
      <w:r>
        <w:t>work</w:t>
      </w:r>
      <w:r w:rsidR="00BF059B">
        <w:t xml:space="preserve"> </w:t>
      </w:r>
      <w:r>
        <w:t>of</w:t>
      </w:r>
      <w:r w:rsidR="00BF059B">
        <w:t xml:space="preserve"> </w:t>
      </w:r>
      <w:r>
        <w:t>the</w:t>
      </w:r>
      <w:r w:rsidR="00BF059B">
        <w:t xml:space="preserve"> </w:t>
      </w:r>
      <w:r>
        <w:t>Horniman</w:t>
      </w:r>
      <w:r w:rsidR="00BF059B">
        <w:t xml:space="preserve"> </w:t>
      </w:r>
      <w:r>
        <w:t>and</w:t>
      </w:r>
      <w:r w:rsidR="00BF059B">
        <w:t xml:space="preserve"> </w:t>
      </w:r>
      <w:r>
        <w:t>the</w:t>
      </w:r>
      <w:r w:rsidR="00BF059B">
        <w:t xml:space="preserve"> </w:t>
      </w:r>
      <w:r>
        <w:t>challenges</w:t>
      </w:r>
      <w:r w:rsidR="00BF059B">
        <w:t xml:space="preserve"> </w:t>
      </w:r>
      <w:r>
        <w:t>it</w:t>
      </w:r>
      <w:r w:rsidR="00BF059B">
        <w:t xml:space="preserve"> </w:t>
      </w:r>
      <w:r>
        <w:t>faces</w:t>
      </w:r>
      <w:r w:rsidR="00BF059B">
        <w:t xml:space="preserve"> </w:t>
      </w:r>
      <w:r>
        <w:t>are</w:t>
      </w:r>
      <w:r w:rsidR="00BF059B">
        <w:t xml:space="preserve"> </w:t>
      </w:r>
      <w:r>
        <w:t>scheduled</w:t>
      </w:r>
      <w:r w:rsidR="00BF059B">
        <w:t xml:space="preserve"> </w:t>
      </w:r>
      <w:r>
        <w:t>to</w:t>
      </w:r>
      <w:r w:rsidR="00BF059B">
        <w:t xml:space="preserve"> </w:t>
      </w:r>
      <w:r>
        <w:t>coincide</w:t>
      </w:r>
      <w:r w:rsidR="00BF059B">
        <w:t xml:space="preserve"> </w:t>
      </w:r>
      <w:r>
        <w:t>with</w:t>
      </w:r>
      <w:r w:rsidR="00BF059B">
        <w:t xml:space="preserve"> </w:t>
      </w:r>
      <w:r>
        <w:t>quarterly</w:t>
      </w:r>
      <w:r w:rsidR="00BF059B">
        <w:t xml:space="preserve"> </w:t>
      </w:r>
      <w:r>
        <w:t>Trustee</w:t>
      </w:r>
      <w:r w:rsidR="00BF059B">
        <w:t xml:space="preserve"> </w:t>
      </w:r>
      <w:r>
        <w:t>meetings.</w:t>
      </w:r>
    </w:p>
    <w:p w14:paraId="54E3B1E2" w14:textId="77777777" w:rsidR="00BE13A8" w:rsidRDefault="00BE13A8" w:rsidP="0015265F"/>
    <w:p w14:paraId="3E2BFE33" w14:textId="77469ABC" w:rsidR="00BE13A8" w:rsidRDefault="00D70530" w:rsidP="0015265F">
      <w:r>
        <w:t>None</w:t>
      </w:r>
      <w:r w:rsidR="00BF059B">
        <w:t xml:space="preserve"> </w:t>
      </w:r>
      <w:r>
        <w:t>of</w:t>
      </w:r>
      <w:r w:rsidR="00BF059B">
        <w:t xml:space="preserve"> </w:t>
      </w:r>
      <w:r>
        <w:t>the</w:t>
      </w:r>
      <w:r w:rsidR="00BF059B">
        <w:t xml:space="preserve"> </w:t>
      </w:r>
      <w:r>
        <w:t>Trustees</w:t>
      </w:r>
      <w:r w:rsidR="00BF059B">
        <w:t xml:space="preserve"> </w:t>
      </w:r>
      <w:r>
        <w:t>has</w:t>
      </w:r>
      <w:r w:rsidR="00BF059B">
        <w:t xml:space="preserve"> </w:t>
      </w:r>
      <w:r>
        <w:t>any</w:t>
      </w:r>
      <w:r w:rsidR="00BF059B">
        <w:t xml:space="preserve"> </w:t>
      </w:r>
      <w:r>
        <w:t>material</w:t>
      </w:r>
      <w:r w:rsidR="00BF059B">
        <w:t xml:space="preserve"> </w:t>
      </w:r>
      <w:r>
        <w:t>interest</w:t>
      </w:r>
      <w:r w:rsidR="00BF059B">
        <w:t xml:space="preserve"> </w:t>
      </w:r>
      <w:r>
        <w:t>in</w:t>
      </w:r>
      <w:r w:rsidR="00BF059B">
        <w:t xml:space="preserve"> </w:t>
      </w:r>
      <w:r>
        <w:t>the</w:t>
      </w:r>
      <w:r w:rsidR="00BF059B">
        <w:t xml:space="preserve"> </w:t>
      </w:r>
      <w:r>
        <w:t>charity</w:t>
      </w:r>
      <w:r w:rsidR="00BF059B">
        <w:t xml:space="preserve"> </w:t>
      </w:r>
      <w:r>
        <w:t>or</w:t>
      </w:r>
      <w:r w:rsidR="00BF059B">
        <w:t xml:space="preserve"> </w:t>
      </w:r>
      <w:r>
        <w:t>any</w:t>
      </w:r>
      <w:r w:rsidR="00BF059B">
        <w:t xml:space="preserve"> </w:t>
      </w:r>
      <w:r>
        <w:t>company</w:t>
      </w:r>
      <w:r w:rsidR="00BF059B">
        <w:t xml:space="preserve"> </w:t>
      </w:r>
      <w:r>
        <w:t>directorships</w:t>
      </w:r>
      <w:r w:rsidR="00BF059B">
        <w:t xml:space="preserve"> </w:t>
      </w:r>
      <w:r>
        <w:t>or</w:t>
      </w:r>
      <w:r w:rsidR="00BF059B">
        <w:t xml:space="preserve"> </w:t>
      </w:r>
      <w:r>
        <w:t>other</w:t>
      </w:r>
      <w:r w:rsidR="00BF059B">
        <w:t xml:space="preserve"> </w:t>
      </w:r>
      <w:r>
        <w:t>significant</w:t>
      </w:r>
      <w:r w:rsidR="00BF059B">
        <w:t xml:space="preserve"> </w:t>
      </w:r>
      <w:r>
        <w:t>interests</w:t>
      </w:r>
      <w:r w:rsidR="00BF059B">
        <w:t xml:space="preserve"> </w:t>
      </w:r>
      <w:r>
        <w:t>that</w:t>
      </w:r>
      <w:r w:rsidR="00BF059B">
        <w:t xml:space="preserve"> </w:t>
      </w:r>
      <w:r>
        <w:t>may</w:t>
      </w:r>
      <w:r w:rsidR="00BF059B">
        <w:t xml:space="preserve"> </w:t>
      </w:r>
      <w:r>
        <w:t>cause</w:t>
      </w:r>
      <w:r w:rsidR="00BF059B">
        <w:t xml:space="preserve"> </w:t>
      </w:r>
      <w:r>
        <w:t>conflict</w:t>
      </w:r>
      <w:r w:rsidR="00BF059B">
        <w:t xml:space="preserve"> </w:t>
      </w:r>
      <w:r>
        <w:t>with</w:t>
      </w:r>
      <w:r w:rsidR="00BF059B">
        <w:t xml:space="preserve"> </w:t>
      </w:r>
      <w:r>
        <w:t>their</w:t>
      </w:r>
      <w:r w:rsidR="00BF059B">
        <w:t xml:space="preserve"> </w:t>
      </w:r>
      <w:r>
        <w:t>duties</w:t>
      </w:r>
      <w:r w:rsidR="00BF059B">
        <w:t xml:space="preserve"> </w:t>
      </w:r>
      <w:r>
        <w:t>as</w:t>
      </w:r>
      <w:r w:rsidR="00BF059B">
        <w:t xml:space="preserve"> </w:t>
      </w:r>
      <w:r>
        <w:t>Trustees.</w:t>
      </w:r>
      <w:r w:rsidR="00BF059B">
        <w:t xml:space="preserve"> </w:t>
      </w:r>
      <w:r>
        <w:t>A</w:t>
      </w:r>
      <w:r w:rsidR="00BF059B">
        <w:t xml:space="preserve"> </w:t>
      </w:r>
      <w:r>
        <w:t>notice</w:t>
      </w:r>
      <w:r w:rsidR="00BF059B">
        <w:t xml:space="preserve"> </w:t>
      </w:r>
      <w:r>
        <w:t>of</w:t>
      </w:r>
      <w:r w:rsidR="00BF059B">
        <w:t xml:space="preserve"> </w:t>
      </w:r>
      <w:r>
        <w:t>where</w:t>
      </w:r>
      <w:r w:rsidR="00BF059B">
        <w:t xml:space="preserve"> </w:t>
      </w:r>
      <w:r>
        <w:t>the</w:t>
      </w:r>
      <w:r w:rsidR="00BF059B">
        <w:t xml:space="preserve"> </w:t>
      </w:r>
      <w:r>
        <w:t>Register</w:t>
      </w:r>
      <w:r w:rsidR="00BF059B">
        <w:t xml:space="preserve"> </w:t>
      </w:r>
      <w:r>
        <w:t>of</w:t>
      </w:r>
      <w:r w:rsidR="00BF059B">
        <w:t xml:space="preserve"> </w:t>
      </w:r>
      <w:r>
        <w:t>Trustees’</w:t>
      </w:r>
      <w:r w:rsidR="00BF059B">
        <w:t xml:space="preserve"> </w:t>
      </w:r>
      <w:r>
        <w:t>Interests</w:t>
      </w:r>
      <w:r w:rsidR="00BF059B">
        <w:t xml:space="preserve"> </w:t>
      </w:r>
      <w:r>
        <w:t>can</w:t>
      </w:r>
      <w:r w:rsidR="00BF059B">
        <w:t xml:space="preserve"> </w:t>
      </w:r>
      <w:r>
        <w:t>be</w:t>
      </w:r>
      <w:r w:rsidR="00BF059B">
        <w:t xml:space="preserve"> </w:t>
      </w:r>
      <w:r>
        <w:t>viewed</w:t>
      </w:r>
      <w:r w:rsidR="00BF059B">
        <w:t xml:space="preserve"> </w:t>
      </w:r>
      <w:r>
        <w:t>can</w:t>
      </w:r>
      <w:r w:rsidR="00BF059B">
        <w:t xml:space="preserve"> </w:t>
      </w:r>
      <w:r>
        <w:t>be</w:t>
      </w:r>
      <w:r w:rsidR="00BF059B">
        <w:t xml:space="preserve"> </w:t>
      </w:r>
      <w:r>
        <w:t>found</w:t>
      </w:r>
      <w:r w:rsidR="00BF059B">
        <w:t xml:space="preserve"> </w:t>
      </w:r>
      <w:r>
        <w:t>on</w:t>
      </w:r>
      <w:r w:rsidR="00BF059B">
        <w:t xml:space="preserve"> </w:t>
      </w:r>
      <w:r>
        <w:t>the</w:t>
      </w:r>
      <w:r w:rsidR="00BF059B">
        <w:t xml:space="preserve"> </w:t>
      </w:r>
      <w:r>
        <w:t>Trust’s</w:t>
      </w:r>
      <w:r w:rsidR="00BF059B">
        <w:t xml:space="preserve"> </w:t>
      </w:r>
      <w:r>
        <w:t>website</w:t>
      </w:r>
      <w:r w:rsidR="00BF059B">
        <w:t xml:space="preserve"> </w:t>
      </w:r>
      <w:r>
        <w:t>at</w:t>
      </w:r>
      <w:r w:rsidR="00BF059B">
        <w:t xml:space="preserve"> </w:t>
      </w:r>
      <w:r>
        <w:t>www.horniman.ac.uk.</w:t>
      </w:r>
      <w:r w:rsidR="00BF059B">
        <w:t xml:space="preserve"> </w:t>
      </w:r>
      <w:r>
        <w:t>Trustees</w:t>
      </w:r>
      <w:r w:rsidR="00BF059B">
        <w:t xml:space="preserve"> </w:t>
      </w:r>
      <w:r>
        <w:t>receive</w:t>
      </w:r>
      <w:r w:rsidR="00BF059B">
        <w:t xml:space="preserve"> </w:t>
      </w:r>
      <w:r>
        <w:t>no</w:t>
      </w:r>
      <w:r w:rsidR="00BF059B">
        <w:t xml:space="preserve"> </w:t>
      </w:r>
      <w:r>
        <w:t>payment</w:t>
      </w:r>
      <w:r w:rsidR="00BF059B">
        <w:t xml:space="preserve"> </w:t>
      </w:r>
      <w:r>
        <w:t>but</w:t>
      </w:r>
      <w:r w:rsidR="00BF059B">
        <w:t xml:space="preserve"> </w:t>
      </w:r>
      <w:r>
        <w:t>may</w:t>
      </w:r>
      <w:r w:rsidR="00BF059B">
        <w:t xml:space="preserve"> </w:t>
      </w:r>
      <w:r>
        <w:t>claim</w:t>
      </w:r>
      <w:r w:rsidR="00BF059B">
        <w:t xml:space="preserve"> </w:t>
      </w:r>
      <w:r>
        <w:t>travel</w:t>
      </w:r>
      <w:r w:rsidR="00BF059B">
        <w:t xml:space="preserve"> </w:t>
      </w:r>
      <w:r>
        <w:t>and</w:t>
      </w:r>
      <w:r w:rsidR="00BF059B">
        <w:t xml:space="preserve"> </w:t>
      </w:r>
      <w:r>
        <w:t>subsistence</w:t>
      </w:r>
      <w:r w:rsidR="00BF059B">
        <w:t xml:space="preserve"> </w:t>
      </w:r>
      <w:r>
        <w:t>expenses</w:t>
      </w:r>
      <w:r w:rsidR="00BF059B">
        <w:t xml:space="preserve"> </w:t>
      </w:r>
      <w:r>
        <w:t>for</w:t>
      </w:r>
      <w:r w:rsidR="00BF059B">
        <w:t xml:space="preserve"> </w:t>
      </w:r>
      <w:r>
        <w:t>attending</w:t>
      </w:r>
      <w:r w:rsidR="00BF059B">
        <w:t xml:space="preserve"> </w:t>
      </w:r>
      <w:r>
        <w:t>meetings.</w:t>
      </w:r>
    </w:p>
    <w:p w14:paraId="38C3AEDD" w14:textId="77777777" w:rsidR="00BE13A8" w:rsidRDefault="00BE13A8" w:rsidP="0015265F">
      <w:pPr>
        <w:rPr>
          <w:i/>
        </w:rPr>
      </w:pPr>
    </w:p>
    <w:p w14:paraId="461820F0" w14:textId="552FA01D" w:rsidR="00BE13A8" w:rsidRDefault="00D70530" w:rsidP="0015265F">
      <w:r>
        <w:t>The</w:t>
      </w:r>
      <w:r w:rsidR="00BF059B">
        <w:t xml:space="preserve"> </w:t>
      </w:r>
      <w:r>
        <w:t>Board</w:t>
      </w:r>
      <w:r w:rsidR="00BF059B">
        <w:t xml:space="preserve"> </w:t>
      </w:r>
      <w:r>
        <w:t>of</w:t>
      </w:r>
      <w:r w:rsidR="00BF059B">
        <w:t xml:space="preserve"> </w:t>
      </w:r>
      <w:r>
        <w:t>Trustees</w:t>
      </w:r>
      <w:r w:rsidR="00BF059B">
        <w:t xml:space="preserve"> </w:t>
      </w:r>
      <w:r>
        <w:t>has</w:t>
      </w:r>
      <w:r w:rsidR="00BF059B">
        <w:t xml:space="preserve"> </w:t>
      </w:r>
      <w:r>
        <w:t>established</w:t>
      </w:r>
      <w:r w:rsidR="00BF059B">
        <w:t xml:space="preserve"> </w:t>
      </w:r>
      <w:r>
        <w:t>an</w:t>
      </w:r>
      <w:r w:rsidR="00BF059B">
        <w:t xml:space="preserve"> </w:t>
      </w:r>
      <w:r>
        <w:t>Audit</w:t>
      </w:r>
      <w:r w:rsidR="00BF059B">
        <w:t xml:space="preserve"> </w:t>
      </w:r>
      <w:r>
        <w:t>&amp;</w:t>
      </w:r>
      <w:r w:rsidR="00BF059B">
        <w:t xml:space="preserve"> </w:t>
      </w:r>
      <w:r>
        <w:t>Risk</w:t>
      </w:r>
      <w:r w:rsidR="00BF059B">
        <w:t xml:space="preserve"> </w:t>
      </w:r>
      <w:r>
        <w:t>Committee</w:t>
      </w:r>
      <w:r w:rsidR="00BF059B">
        <w:t xml:space="preserve"> </w:t>
      </w:r>
      <w:r>
        <w:t>to</w:t>
      </w:r>
      <w:r w:rsidR="00BF059B">
        <w:t xml:space="preserve"> </w:t>
      </w:r>
      <w:r>
        <w:t>support</w:t>
      </w:r>
      <w:r w:rsidR="00BF059B">
        <w:t xml:space="preserve"> </w:t>
      </w:r>
      <w:r>
        <w:t>them</w:t>
      </w:r>
      <w:r w:rsidR="00BF059B">
        <w:t xml:space="preserve"> </w:t>
      </w:r>
      <w:r>
        <w:t>in</w:t>
      </w:r>
      <w:r w:rsidR="00BF059B">
        <w:t xml:space="preserve"> </w:t>
      </w:r>
      <w:r>
        <w:t>their</w:t>
      </w:r>
      <w:r w:rsidR="00BF059B">
        <w:t xml:space="preserve"> </w:t>
      </w:r>
      <w:r>
        <w:t>responsibilities</w:t>
      </w:r>
      <w:r w:rsidR="00BF059B">
        <w:t xml:space="preserve"> </w:t>
      </w:r>
      <w:r>
        <w:t>relating</w:t>
      </w:r>
      <w:r w:rsidR="00BF059B">
        <w:t xml:space="preserve"> </w:t>
      </w:r>
      <w:r>
        <w:t>to</w:t>
      </w:r>
      <w:r w:rsidR="00BF059B">
        <w:t xml:space="preserve"> </w:t>
      </w:r>
      <w:r>
        <w:t>risk</w:t>
      </w:r>
      <w:r w:rsidR="00BF059B">
        <w:t xml:space="preserve"> </w:t>
      </w:r>
      <w:r>
        <w:t>control</w:t>
      </w:r>
      <w:r w:rsidR="00BF059B">
        <w:t xml:space="preserve"> </w:t>
      </w:r>
      <w:r>
        <w:t>and</w:t>
      </w:r>
      <w:r w:rsidR="00BF059B">
        <w:t xml:space="preserve"> </w:t>
      </w:r>
      <w:r>
        <w:t>governance;</w:t>
      </w:r>
      <w:r w:rsidR="00BF059B">
        <w:t xml:space="preserve"> </w:t>
      </w:r>
      <w:r>
        <w:t>including</w:t>
      </w:r>
      <w:r w:rsidR="00BF059B">
        <w:t xml:space="preserve"> </w:t>
      </w:r>
      <w:r>
        <w:t>the</w:t>
      </w:r>
      <w:r w:rsidR="00BF059B">
        <w:t xml:space="preserve"> </w:t>
      </w:r>
      <w:r>
        <w:t>review</w:t>
      </w:r>
      <w:r w:rsidR="00BF059B">
        <w:t xml:space="preserve"> </w:t>
      </w:r>
      <w:r>
        <w:t>of</w:t>
      </w:r>
      <w:r w:rsidR="00BF059B">
        <w:t xml:space="preserve"> </w:t>
      </w:r>
      <w:r>
        <w:t>the</w:t>
      </w:r>
      <w:r w:rsidR="00BF059B">
        <w:t xml:space="preserve"> </w:t>
      </w:r>
      <w:r>
        <w:t>comprehensiveness,</w:t>
      </w:r>
      <w:r w:rsidR="00BF059B">
        <w:t xml:space="preserve"> </w:t>
      </w:r>
      <w:r>
        <w:t>reliability</w:t>
      </w:r>
      <w:r w:rsidR="00BF059B">
        <w:t xml:space="preserve"> </w:t>
      </w:r>
      <w:r>
        <w:t>and</w:t>
      </w:r>
      <w:r w:rsidR="00BF059B">
        <w:t xml:space="preserve"> </w:t>
      </w:r>
      <w:r>
        <w:t>integrity</w:t>
      </w:r>
      <w:r w:rsidR="00BF059B">
        <w:t xml:space="preserve"> </w:t>
      </w:r>
      <w:r>
        <w:t>of</w:t>
      </w:r>
      <w:r w:rsidR="00BF059B">
        <w:t xml:space="preserve"> </w:t>
      </w:r>
      <w:r>
        <w:t>assurances</w:t>
      </w:r>
      <w:r w:rsidR="00BF059B">
        <w:t xml:space="preserve"> </w:t>
      </w:r>
      <w:r>
        <w:t>required</w:t>
      </w:r>
      <w:r w:rsidR="00BF059B">
        <w:t xml:space="preserve"> </w:t>
      </w:r>
      <w:r>
        <w:t>by</w:t>
      </w:r>
      <w:r w:rsidR="00BF059B">
        <w:t xml:space="preserve"> </w:t>
      </w:r>
      <w:r>
        <w:t>the</w:t>
      </w:r>
      <w:r w:rsidR="00BF059B">
        <w:t xml:space="preserve"> </w:t>
      </w:r>
      <w:r>
        <w:t>Board</w:t>
      </w:r>
      <w:r w:rsidR="00BF059B">
        <w:t xml:space="preserve"> </w:t>
      </w:r>
      <w:r>
        <w:t>and</w:t>
      </w:r>
      <w:r w:rsidR="00BF059B">
        <w:t xml:space="preserve"> </w:t>
      </w:r>
      <w:r>
        <w:t>Accounting</w:t>
      </w:r>
      <w:r w:rsidR="00BF059B">
        <w:t xml:space="preserve"> </w:t>
      </w:r>
      <w:r>
        <w:t>Officer.</w:t>
      </w:r>
      <w:r w:rsidR="00BF059B">
        <w:t xml:space="preserve"> </w:t>
      </w:r>
      <w:r>
        <w:t>This</w:t>
      </w:r>
      <w:r w:rsidR="00BF059B">
        <w:t xml:space="preserve"> </w:t>
      </w:r>
      <w:r>
        <w:t>includes</w:t>
      </w:r>
      <w:r w:rsidR="00BF059B">
        <w:t xml:space="preserve"> </w:t>
      </w:r>
      <w:r>
        <w:t>the</w:t>
      </w:r>
      <w:r w:rsidR="00BF059B">
        <w:t xml:space="preserve"> </w:t>
      </w:r>
      <w:r>
        <w:t>detailed</w:t>
      </w:r>
      <w:r w:rsidR="00BF059B">
        <w:t xml:space="preserve"> </w:t>
      </w:r>
      <w:r>
        <w:t>perusal</w:t>
      </w:r>
      <w:r w:rsidR="00BF059B">
        <w:t xml:space="preserve"> </w:t>
      </w:r>
      <w:r>
        <w:t>of</w:t>
      </w:r>
      <w:r w:rsidR="00BF059B">
        <w:t xml:space="preserve"> </w:t>
      </w:r>
      <w:r>
        <w:t>the</w:t>
      </w:r>
      <w:r w:rsidR="00BF059B">
        <w:t xml:space="preserve"> </w:t>
      </w:r>
      <w:r>
        <w:t>Annual</w:t>
      </w:r>
      <w:r w:rsidR="00BF059B">
        <w:t xml:space="preserve"> </w:t>
      </w:r>
      <w:r>
        <w:t>Accounts</w:t>
      </w:r>
      <w:r w:rsidR="00BF059B">
        <w:t xml:space="preserve"> </w:t>
      </w:r>
      <w:r>
        <w:t>and</w:t>
      </w:r>
      <w:r w:rsidR="00BF059B">
        <w:t xml:space="preserve"> </w:t>
      </w:r>
      <w:r>
        <w:t>consideration</w:t>
      </w:r>
      <w:r w:rsidR="00BF059B">
        <w:t xml:space="preserve"> </w:t>
      </w:r>
      <w:r>
        <w:t>of</w:t>
      </w:r>
      <w:r w:rsidR="00BF059B">
        <w:t xml:space="preserve"> </w:t>
      </w:r>
      <w:r>
        <w:t>Internal</w:t>
      </w:r>
      <w:r w:rsidR="00BF059B">
        <w:t xml:space="preserve"> </w:t>
      </w:r>
      <w:r>
        <w:t>Audit</w:t>
      </w:r>
      <w:r w:rsidR="00BF059B">
        <w:t xml:space="preserve"> </w:t>
      </w:r>
      <w:r>
        <w:t>Reports.</w:t>
      </w:r>
      <w:r w:rsidR="00BF059B">
        <w:t xml:space="preserve">  </w:t>
      </w:r>
    </w:p>
    <w:p w14:paraId="26B46A0F" w14:textId="77777777" w:rsidR="00BE13A8" w:rsidRDefault="00BE13A8" w:rsidP="0015265F">
      <w:pPr>
        <w:rPr>
          <w:i/>
        </w:rPr>
      </w:pPr>
    </w:p>
    <w:p w14:paraId="7255973D" w14:textId="157AA345" w:rsidR="00BE13A8" w:rsidRDefault="00D70530" w:rsidP="0015265F">
      <w:r>
        <w:t>The</w:t>
      </w:r>
      <w:r w:rsidR="00BF059B">
        <w:t xml:space="preserve"> </w:t>
      </w:r>
      <w:r>
        <w:t>Remuneration</w:t>
      </w:r>
      <w:r w:rsidR="00BF059B">
        <w:t xml:space="preserve"> </w:t>
      </w:r>
      <w:r>
        <w:t>Committee</w:t>
      </w:r>
      <w:r w:rsidR="00BF059B">
        <w:t xml:space="preserve"> </w:t>
      </w:r>
      <w:r>
        <w:t>considered</w:t>
      </w:r>
      <w:r w:rsidR="00BF059B">
        <w:t xml:space="preserve"> </w:t>
      </w:r>
      <w:r>
        <w:t>matters</w:t>
      </w:r>
      <w:r w:rsidR="00BF059B">
        <w:t xml:space="preserve"> </w:t>
      </w:r>
      <w:r>
        <w:t>relating</w:t>
      </w:r>
      <w:r w:rsidR="00BF059B">
        <w:t xml:space="preserve"> </w:t>
      </w:r>
      <w:r>
        <w:t>to</w:t>
      </w:r>
      <w:r w:rsidR="00BF059B">
        <w:t xml:space="preserve"> </w:t>
      </w:r>
      <w:r>
        <w:t>the</w:t>
      </w:r>
      <w:r w:rsidR="00BF059B">
        <w:t xml:space="preserve"> </w:t>
      </w:r>
      <w:r>
        <w:t>remuneration</w:t>
      </w:r>
      <w:r w:rsidR="00BF059B">
        <w:t xml:space="preserve"> </w:t>
      </w:r>
      <w:r>
        <w:t>of</w:t>
      </w:r>
      <w:r w:rsidR="00BF059B">
        <w:t xml:space="preserve"> </w:t>
      </w:r>
      <w:r>
        <w:t>the</w:t>
      </w:r>
      <w:r w:rsidR="00BF059B">
        <w:t xml:space="preserve"> </w:t>
      </w:r>
      <w:r>
        <w:t>Chief</w:t>
      </w:r>
      <w:r w:rsidR="00BF059B">
        <w:t xml:space="preserve"> </w:t>
      </w:r>
      <w:r>
        <w:t>Executive</w:t>
      </w:r>
      <w:r w:rsidR="00BF059B">
        <w:t xml:space="preserve"> </w:t>
      </w:r>
      <w:r>
        <w:t>and</w:t>
      </w:r>
      <w:r w:rsidR="00BF059B">
        <w:t xml:space="preserve"> </w:t>
      </w:r>
      <w:r>
        <w:t>make</w:t>
      </w:r>
      <w:r w:rsidR="00BF059B">
        <w:t xml:space="preserve"> </w:t>
      </w:r>
      <w:r>
        <w:t>recommendations</w:t>
      </w:r>
      <w:r w:rsidR="00BF059B">
        <w:t xml:space="preserve"> </w:t>
      </w:r>
      <w:r>
        <w:t>to</w:t>
      </w:r>
      <w:r w:rsidR="00BF059B">
        <w:t xml:space="preserve"> </w:t>
      </w:r>
      <w:r>
        <w:t>the</w:t>
      </w:r>
      <w:r w:rsidR="00BF059B">
        <w:t xml:space="preserve"> </w:t>
      </w:r>
      <w:r>
        <w:t>Board</w:t>
      </w:r>
      <w:r w:rsidR="00BF059B">
        <w:t xml:space="preserve"> </w:t>
      </w:r>
      <w:r>
        <w:t>thereon.</w:t>
      </w:r>
      <w:r w:rsidR="00BF059B">
        <w:t xml:space="preserve"> </w:t>
      </w:r>
    </w:p>
    <w:p w14:paraId="5897FE89" w14:textId="77777777" w:rsidR="00BE13A8" w:rsidRDefault="00BE13A8" w:rsidP="0015265F"/>
    <w:p w14:paraId="5A0CC5E1" w14:textId="655119EF" w:rsidR="00BE13A8" w:rsidRDefault="00D70530" w:rsidP="0015265F">
      <w:r>
        <w:t>The</w:t>
      </w:r>
      <w:r w:rsidR="00BF059B">
        <w:t xml:space="preserve"> </w:t>
      </w:r>
      <w:r>
        <w:t>Capital</w:t>
      </w:r>
      <w:r w:rsidR="00BF059B">
        <w:t xml:space="preserve"> </w:t>
      </w:r>
      <w:r>
        <w:t>Projects</w:t>
      </w:r>
      <w:r w:rsidR="00BF059B">
        <w:t xml:space="preserve"> </w:t>
      </w:r>
      <w:r>
        <w:t>Board</w:t>
      </w:r>
      <w:r w:rsidR="00BF059B">
        <w:t xml:space="preserve"> </w:t>
      </w:r>
      <w:r>
        <w:t>considers</w:t>
      </w:r>
      <w:r w:rsidR="00BF059B">
        <w:t xml:space="preserve"> </w:t>
      </w:r>
      <w:r>
        <w:t>matters</w:t>
      </w:r>
      <w:r w:rsidR="00BF059B">
        <w:t xml:space="preserve"> </w:t>
      </w:r>
      <w:r>
        <w:t>relating</w:t>
      </w:r>
      <w:r w:rsidR="00BF059B">
        <w:t xml:space="preserve"> </w:t>
      </w:r>
      <w:r>
        <w:t>to</w:t>
      </w:r>
      <w:r w:rsidR="00BF059B">
        <w:t xml:space="preserve"> </w:t>
      </w:r>
      <w:r>
        <w:t>the</w:t>
      </w:r>
      <w:r w:rsidR="00BF059B">
        <w:t xml:space="preserve"> </w:t>
      </w:r>
      <w:r>
        <w:t>execution</w:t>
      </w:r>
      <w:r w:rsidR="00BF059B">
        <w:t xml:space="preserve"> </w:t>
      </w:r>
      <w:r>
        <w:t>and</w:t>
      </w:r>
      <w:r w:rsidR="00BF059B">
        <w:t xml:space="preserve"> </w:t>
      </w:r>
      <w:r>
        <w:t>monitoring</w:t>
      </w:r>
      <w:r w:rsidR="00BF059B">
        <w:t xml:space="preserve"> </w:t>
      </w:r>
      <w:r>
        <w:t>of</w:t>
      </w:r>
      <w:r w:rsidR="00BF059B">
        <w:t xml:space="preserve"> </w:t>
      </w:r>
      <w:r>
        <w:t>capital</w:t>
      </w:r>
      <w:r w:rsidR="00BF059B">
        <w:t xml:space="preserve"> </w:t>
      </w:r>
      <w:r>
        <w:t>projects</w:t>
      </w:r>
      <w:r w:rsidR="00BF059B">
        <w:t xml:space="preserve"> </w:t>
      </w:r>
      <w:r>
        <w:t>and</w:t>
      </w:r>
      <w:r w:rsidR="00BF059B">
        <w:t xml:space="preserve"> </w:t>
      </w:r>
      <w:r>
        <w:t>reports</w:t>
      </w:r>
      <w:r w:rsidR="00BF059B">
        <w:t xml:space="preserve"> </w:t>
      </w:r>
      <w:r>
        <w:t>progress</w:t>
      </w:r>
      <w:r w:rsidR="00BF059B">
        <w:t xml:space="preserve"> </w:t>
      </w:r>
      <w:r>
        <w:t>to</w:t>
      </w:r>
      <w:r w:rsidR="00BF059B">
        <w:t xml:space="preserve"> </w:t>
      </w:r>
      <w:r>
        <w:t>the</w:t>
      </w:r>
      <w:r w:rsidR="00BF059B">
        <w:t xml:space="preserve"> </w:t>
      </w:r>
      <w:r>
        <w:t>Board.</w:t>
      </w:r>
    </w:p>
    <w:p w14:paraId="37102919" w14:textId="77777777" w:rsidR="00BE13A8" w:rsidRDefault="00BE13A8" w:rsidP="0015265F"/>
    <w:p w14:paraId="02056E31" w14:textId="193255B9" w:rsidR="00BE13A8" w:rsidRDefault="00D70530" w:rsidP="0015265F">
      <w:r>
        <w:t>The</w:t>
      </w:r>
      <w:r w:rsidR="00BF059B">
        <w:t xml:space="preserve"> </w:t>
      </w:r>
      <w:r>
        <w:t>Restitution</w:t>
      </w:r>
      <w:r w:rsidR="00BF059B">
        <w:t xml:space="preserve"> </w:t>
      </w:r>
      <w:r>
        <w:t>and</w:t>
      </w:r>
      <w:r w:rsidR="00BF059B">
        <w:t xml:space="preserve"> </w:t>
      </w:r>
      <w:r>
        <w:t>Repatriation</w:t>
      </w:r>
      <w:r w:rsidR="00BF059B">
        <w:t xml:space="preserve"> </w:t>
      </w:r>
      <w:r>
        <w:t>Sub-Committee</w:t>
      </w:r>
      <w:r w:rsidR="00BF059B">
        <w:t xml:space="preserve"> </w:t>
      </w:r>
      <w:r>
        <w:t>considers</w:t>
      </w:r>
      <w:r w:rsidR="00BF059B">
        <w:t xml:space="preserve"> </w:t>
      </w:r>
      <w:r>
        <w:t>requests</w:t>
      </w:r>
      <w:r w:rsidR="00BF059B">
        <w:t xml:space="preserve"> </w:t>
      </w:r>
      <w:r>
        <w:t>made</w:t>
      </w:r>
      <w:r w:rsidR="00BF059B">
        <w:t xml:space="preserve"> </w:t>
      </w:r>
      <w:r>
        <w:t>by</w:t>
      </w:r>
      <w:r w:rsidR="00BF059B">
        <w:t xml:space="preserve"> </w:t>
      </w:r>
      <w:r>
        <w:t>third</w:t>
      </w:r>
      <w:r w:rsidR="00BF059B">
        <w:t xml:space="preserve"> </w:t>
      </w:r>
      <w:r>
        <w:t>parties</w:t>
      </w:r>
      <w:r w:rsidR="00BF059B">
        <w:t xml:space="preserve"> </w:t>
      </w:r>
      <w:r>
        <w:t>for</w:t>
      </w:r>
      <w:r w:rsidR="00BF059B">
        <w:t xml:space="preserve"> </w:t>
      </w:r>
      <w:r>
        <w:t>the</w:t>
      </w:r>
      <w:r w:rsidR="00BF059B">
        <w:t xml:space="preserve"> </w:t>
      </w:r>
      <w:r>
        <w:t>restitution</w:t>
      </w:r>
      <w:r w:rsidR="00BF059B">
        <w:t xml:space="preserve"> </w:t>
      </w:r>
      <w:r>
        <w:t>or</w:t>
      </w:r>
      <w:r w:rsidR="00BF059B">
        <w:t xml:space="preserve"> </w:t>
      </w:r>
      <w:r>
        <w:t>repatriation</w:t>
      </w:r>
      <w:r w:rsidR="00BF059B">
        <w:t xml:space="preserve"> </w:t>
      </w:r>
      <w:r>
        <w:t>of</w:t>
      </w:r>
      <w:r w:rsidR="00BF059B">
        <w:t xml:space="preserve"> </w:t>
      </w:r>
      <w:r>
        <w:t>any</w:t>
      </w:r>
      <w:r w:rsidR="00BF059B">
        <w:t xml:space="preserve"> </w:t>
      </w:r>
      <w:r>
        <w:t>object(s)</w:t>
      </w:r>
      <w:r w:rsidR="00BF059B">
        <w:t xml:space="preserve"> </w:t>
      </w:r>
      <w:r>
        <w:t>in</w:t>
      </w:r>
      <w:r w:rsidR="00BF059B">
        <w:t xml:space="preserve"> </w:t>
      </w:r>
      <w:r>
        <w:t>the</w:t>
      </w:r>
      <w:r w:rsidR="00BF059B">
        <w:t xml:space="preserve"> </w:t>
      </w:r>
      <w:r>
        <w:t>Horniman’s</w:t>
      </w:r>
      <w:r w:rsidR="00BF059B">
        <w:t xml:space="preserve"> </w:t>
      </w:r>
      <w:r>
        <w:t>collections.</w:t>
      </w:r>
      <w:r w:rsidR="00BF059B">
        <w:t xml:space="preserve"> </w:t>
      </w:r>
    </w:p>
    <w:p w14:paraId="2560F391" w14:textId="77777777" w:rsidR="00BE13A8" w:rsidRDefault="00BE13A8" w:rsidP="0015265F">
      <w:pPr>
        <w:rPr>
          <w:color w:val="FF0000"/>
        </w:rPr>
      </w:pPr>
    </w:p>
    <w:p w14:paraId="136CCA23" w14:textId="21998314" w:rsidR="00BE13A8" w:rsidRDefault="00D70530" w:rsidP="0015265F">
      <w:r>
        <w:t>The</w:t>
      </w:r>
      <w:r w:rsidR="00BF059B">
        <w:t xml:space="preserve"> </w:t>
      </w:r>
      <w:r>
        <w:t>Chief</w:t>
      </w:r>
      <w:r w:rsidR="00BF059B">
        <w:t xml:space="preserve"> </w:t>
      </w:r>
      <w:r>
        <w:t>Executive</w:t>
      </w:r>
      <w:r w:rsidR="00BF059B">
        <w:t xml:space="preserve"> </w:t>
      </w:r>
      <w:r>
        <w:t>is</w:t>
      </w:r>
      <w:r w:rsidR="00BF059B">
        <w:t xml:space="preserve"> </w:t>
      </w:r>
      <w:r>
        <w:t>appointed</w:t>
      </w:r>
      <w:r w:rsidR="00BF059B">
        <w:t xml:space="preserve"> </w:t>
      </w:r>
      <w:r>
        <w:t>by</w:t>
      </w:r>
      <w:r w:rsidR="00BF059B">
        <w:t xml:space="preserve"> </w:t>
      </w:r>
      <w:r>
        <w:t>the</w:t>
      </w:r>
      <w:r w:rsidR="00BF059B">
        <w:t xml:space="preserve"> </w:t>
      </w:r>
      <w:r>
        <w:t>Board</w:t>
      </w:r>
      <w:r w:rsidR="00BF059B">
        <w:t xml:space="preserve"> </w:t>
      </w:r>
      <w:r>
        <w:t>and</w:t>
      </w:r>
      <w:r w:rsidR="00BF059B">
        <w:t xml:space="preserve"> </w:t>
      </w:r>
      <w:r>
        <w:t>has</w:t>
      </w:r>
      <w:r w:rsidR="00BF059B">
        <w:t xml:space="preserve"> </w:t>
      </w:r>
      <w:r>
        <w:t>delegated</w:t>
      </w:r>
      <w:r w:rsidR="00BF059B">
        <w:t xml:space="preserve"> </w:t>
      </w:r>
      <w:r>
        <w:t>authority,</w:t>
      </w:r>
      <w:r w:rsidR="00BF059B">
        <w:t xml:space="preserve"> </w:t>
      </w:r>
      <w:r>
        <w:t>within</w:t>
      </w:r>
      <w:r w:rsidR="00BF059B">
        <w:t xml:space="preserve"> </w:t>
      </w:r>
      <w:r>
        <w:t>the</w:t>
      </w:r>
      <w:r w:rsidR="00BF059B">
        <w:t xml:space="preserve"> </w:t>
      </w:r>
      <w:r>
        <w:t>terms</w:t>
      </w:r>
      <w:r w:rsidR="00BF059B">
        <w:t xml:space="preserve"> </w:t>
      </w:r>
      <w:r>
        <w:t>of</w:t>
      </w:r>
      <w:r w:rsidR="00BF059B">
        <w:t xml:space="preserve"> </w:t>
      </w:r>
      <w:r>
        <w:t>delegation</w:t>
      </w:r>
      <w:r w:rsidR="00BF059B">
        <w:t xml:space="preserve"> </w:t>
      </w:r>
      <w:r>
        <w:t>approved</w:t>
      </w:r>
      <w:r w:rsidR="00BF059B">
        <w:t xml:space="preserve"> </w:t>
      </w:r>
      <w:r>
        <w:t>by</w:t>
      </w:r>
      <w:r w:rsidR="00BF059B">
        <w:t xml:space="preserve"> </w:t>
      </w:r>
      <w:r>
        <w:t>the</w:t>
      </w:r>
      <w:r w:rsidR="00BF059B">
        <w:t xml:space="preserve"> </w:t>
      </w:r>
      <w:r>
        <w:t>Trustees,</w:t>
      </w:r>
      <w:r w:rsidR="00BF059B">
        <w:t xml:space="preserve"> </w:t>
      </w:r>
      <w:r>
        <w:t>for</w:t>
      </w:r>
      <w:r w:rsidR="00BF059B">
        <w:t xml:space="preserve"> </w:t>
      </w:r>
      <w:r>
        <w:t>operational</w:t>
      </w:r>
      <w:r w:rsidR="00BF059B">
        <w:t xml:space="preserve"> </w:t>
      </w:r>
      <w:r>
        <w:t>matters.</w:t>
      </w:r>
      <w:r w:rsidR="00BF059B">
        <w:t xml:space="preserve"> </w:t>
      </w:r>
      <w:r>
        <w:t>The</w:t>
      </w:r>
      <w:r w:rsidR="00BF059B">
        <w:t xml:space="preserve"> </w:t>
      </w:r>
      <w:r>
        <w:t>Chief</w:t>
      </w:r>
      <w:r w:rsidR="00BF059B">
        <w:t xml:space="preserve"> </w:t>
      </w:r>
      <w:r>
        <w:t>Executive</w:t>
      </w:r>
      <w:r w:rsidR="00BF059B">
        <w:t xml:space="preserve"> </w:t>
      </w:r>
      <w:r>
        <w:t>is</w:t>
      </w:r>
      <w:r w:rsidR="00BF059B">
        <w:t xml:space="preserve"> </w:t>
      </w:r>
      <w:r>
        <w:t>also</w:t>
      </w:r>
      <w:r w:rsidR="00BF059B">
        <w:t xml:space="preserve"> </w:t>
      </w:r>
      <w:r>
        <w:t>the</w:t>
      </w:r>
      <w:r w:rsidR="00BF059B">
        <w:t xml:space="preserve"> </w:t>
      </w:r>
      <w:r>
        <w:t>appointed</w:t>
      </w:r>
      <w:r w:rsidR="00BF059B">
        <w:t xml:space="preserve"> </w:t>
      </w:r>
      <w:r>
        <w:t>Accounting</w:t>
      </w:r>
      <w:r w:rsidR="00BF059B">
        <w:t xml:space="preserve"> </w:t>
      </w:r>
      <w:r>
        <w:t>Officer</w:t>
      </w:r>
      <w:r w:rsidR="00BF059B">
        <w:t xml:space="preserve"> </w:t>
      </w:r>
      <w:r>
        <w:t>and</w:t>
      </w:r>
      <w:r w:rsidR="00BF059B">
        <w:t xml:space="preserve"> </w:t>
      </w:r>
      <w:r>
        <w:t>as</w:t>
      </w:r>
      <w:r w:rsidR="00BF059B">
        <w:t xml:space="preserve"> </w:t>
      </w:r>
      <w:r>
        <w:t>such</w:t>
      </w:r>
      <w:r w:rsidR="00BF059B">
        <w:t xml:space="preserve"> </w:t>
      </w:r>
      <w:r>
        <w:t>is</w:t>
      </w:r>
      <w:r w:rsidR="00BF059B">
        <w:t xml:space="preserve"> </w:t>
      </w:r>
      <w:r>
        <w:t>responsible</w:t>
      </w:r>
      <w:r w:rsidR="00BF059B">
        <w:t xml:space="preserve"> </w:t>
      </w:r>
      <w:r>
        <w:t>for</w:t>
      </w:r>
      <w:r w:rsidR="00BF059B">
        <w:t xml:space="preserve"> </w:t>
      </w:r>
      <w:r>
        <w:t>the</w:t>
      </w:r>
      <w:r w:rsidR="00BF059B">
        <w:t xml:space="preserve"> </w:t>
      </w:r>
      <w:r>
        <w:t>proper</w:t>
      </w:r>
      <w:r w:rsidR="00BF059B">
        <w:t xml:space="preserve"> </w:t>
      </w:r>
      <w:r>
        <w:t>use</w:t>
      </w:r>
      <w:r w:rsidR="00BF059B">
        <w:t xml:space="preserve"> </w:t>
      </w:r>
      <w:r>
        <w:t>of</w:t>
      </w:r>
      <w:r w:rsidR="00BF059B">
        <w:t xml:space="preserve"> </w:t>
      </w:r>
      <w:r>
        <w:t>the</w:t>
      </w:r>
      <w:r w:rsidR="00BF059B">
        <w:t xml:space="preserve"> </w:t>
      </w:r>
      <w:r>
        <w:t>grant-in-aid</w:t>
      </w:r>
      <w:r w:rsidR="00BF059B">
        <w:t xml:space="preserve"> </w:t>
      </w:r>
      <w:r>
        <w:t>given</w:t>
      </w:r>
      <w:r w:rsidR="00BF059B">
        <w:t xml:space="preserve"> </w:t>
      </w:r>
      <w:r>
        <w:t>by</w:t>
      </w:r>
      <w:r w:rsidR="00BF059B">
        <w:t xml:space="preserve"> </w:t>
      </w:r>
      <w:r>
        <w:t>DCMS.</w:t>
      </w:r>
      <w:r w:rsidR="00BF059B">
        <w:t xml:space="preserve">  </w:t>
      </w:r>
    </w:p>
    <w:p w14:paraId="4F935DA2" w14:textId="77777777" w:rsidR="00BE13A8" w:rsidRDefault="00BE13A8" w:rsidP="0015265F">
      <w:pPr>
        <w:rPr>
          <w:i/>
        </w:rPr>
      </w:pPr>
    </w:p>
    <w:p w14:paraId="637BDD2D" w14:textId="6140E2D4" w:rsidR="00BE13A8" w:rsidRDefault="00D70530" w:rsidP="0015265F">
      <w:pPr>
        <w:rPr>
          <w:b/>
          <w:i/>
          <w:color w:val="FF0000"/>
        </w:rPr>
      </w:pPr>
      <w:r>
        <w:t>Horniman</w:t>
      </w:r>
      <w:r w:rsidR="00BF059B">
        <w:t xml:space="preserve"> </w:t>
      </w:r>
      <w:r>
        <w:t>Museum</w:t>
      </w:r>
      <w:r w:rsidR="00BF059B">
        <w:t xml:space="preserve"> </w:t>
      </w:r>
      <w:r>
        <w:t>Enterprises</w:t>
      </w:r>
      <w:r w:rsidR="00BF059B">
        <w:t xml:space="preserve"> </w:t>
      </w:r>
      <w:r>
        <w:t>(HME)</w:t>
      </w:r>
      <w:r w:rsidR="00BF059B">
        <w:t xml:space="preserve"> </w:t>
      </w:r>
      <w:r>
        <w:t>Limited</w:t>
      </w:r>
      <w:r w:rsidR="00BF059B">
        <w:t xml:space="preserve"> </w:t>
      </w:r>
      <w:r>
        <w:t>is</w:t>
      </w:r>
      <w:r w:rsidR="00BF059B">
        <w:t xml:space="preserve"> </w:t>
      </w:r>
      <w:r>
        <w:t>governed</w:t>
      </w:r>
      <w:r w:rsidR="00BF059B">
        <w:t xml:space="preserve"> </w:t>
      </w:r>
      <w:r>
        <w:t>by</w:t>
      </w:r>
      <w:r w:rsidR="00BF059B">
        <w:t xml:space="preserve"> </w:t>
      </w:r>
      <w:r>
        <w:t>its</w:t>
      </w:r>
      <w:r w:rsidR="00BF059B">
        <w:t xml:space="preserve"> </w:t>
      </w:r>
      <w:r>
        <w:t>Board</w:t>
      </w:r>
      <w:r w:rsidR="00BF059B">
        <w:t xml:space="preserve"> </w:t>
      </w:r>
      <w:r>
        <w:t>of</w:t>
      </w:r>
      <w:r w:rsidR="00BF059B">
        <w:t xml:space="preserve"> </w:t>
      </w:r>
      <w:r>
        <w:t>Directors,</w:t>
      </w:r>
      <w:r w:rsidR="00BF059B">
        <w:t xml:space="preserve"> </w:t>
      </w:r>
      <w:r>
        <w:t>which</w:t>
      </w:r>
      <w:r w:rsidR="00BF059B">
        <w:t xml:space="preserve"> </w:t>
      </w:r>
      <w:r>
        <w:t>meets</w:t>
      </w:r>
      <w:r w:rsidR="00BF059B">
        <w:t xml:space="preserve"> </w:t>
      </w:r>
      <w:r>
        <w:t>quarterly.</w:t>
      </w:r>
      <w:r w:rsidR="00BF059B">
        <w:t xml:space="preserve"> </w:t>
      </w:r>
      <w:r>
        <w:t>There</w:t>
      </w:r>
      <w:r w:rsidR="00BF059B">
        <w:t xml:space="preserve"> </w:t>
      </w:r>
      <w:r>
        <w:t>are</w:t>
      </w:r>
      <w:r w:rsidR="00BF059B">
        <w:t xml:space="preserve"> </w:t>
      </w:r>
      <w:r>
        <w:t>currently</w:t>
      </w:r>
      <w:r w:rsidR="00BF059B">
        <w:t xml:space="preserve"> </w:t>
      </w:r>
      <w:r>
        <w:t>four</w:t>
      </w:r>
      <w:r w:rsidR="00BF059B">
        <w:t xml:space="preserve"> </w:t>
      </w:r>
      <w:r>
        <w:t>Directors,</w:t>
      </w:r>
      <w:r w:rsidR="00BF059B">
        <w:t xml:space="preserve"> </w:t>
      </w:r>
      <w:r>
        <w:t>one</w:t>
      </w:r>
      <w:r w:rsidR="00BF059B">
        <w:t xml:space="preserve"> </w:t>
      </w:r>
      <w:r>
        <w:t>of</w:t>
      </w:r>
      <w:r w:rsidR="00BF059B">
        <w:t xml:space="preserve"> </w:t>
      </w:r>
      <w:r>
        <w:t>whom,</w:t>
      </w:r>
      <w:r w:rsidR="00BF059B">
        <w:t xml:space="preserve"> </w:t>
      </w:r>
      <w:r>
        <w:t>including</w:t>
      </w:r>
      <w:r w:rsidR="00BF059B">
        <w:t xml:space="preserve"> </w:t>
      </w:r>
      <w:r>
        <w:t>the</w:t>
      </w:r>
      <w:r w:rsidR="00BF059B">
        <w:t xml:space="preserve"> </w:t>
      </w:r>
      <w:r>
        <w:t>Chair,</w:t>
      </w:r>
      <w:r w:rsidR="00BF059B">
        <w:t xml:space="preserve"> </w:t>
      </w:r>
      <w:r>
        <w:t>is</w:t>
      </w:r>
      <w:r w:rsidR="00BF059B">
        <w:t xml:space="preserve"> </w:t>
      </w:r>
      <w:r>
        <w:t>appointed</w:t>
      </w:r>
      <w:r w:rsidR="00BF059B">
        <w:t xml:space="preserve"> </w:t>
      </w:r>
      <w:r>
        <w:t>by</w:t>
      </w:r>
      <w:r w:rsidR="00BF059B">
        <w:t xml:space="preserve"> </w:t>
      </w:r>
      <w:r>
        <w:t>the</w:t>
      </w:r>
      <w:r w:rsidR="00BF059B">
        <w:t xml:space="preserve"> </w:t>
      </w:r>
      <w:r>
        <w:t>Board</w:t>
      </w:r>
      <w:r w:rsidR="00BF059B">
        <w:t xml:space="preserve"> </w:t>
      </w:r>
      <w:r>
        <w:t>of</w:t>
      </w:r>
      <w:r w:rsidR="00BF059B">
        <w:t xml:space="preserve"> </w:t>
      </w:r>
      <w:r>
        <w:t>Trustees.</w:t>
      </w:r>
      <w:r w:rsidR="00BF059B">
        <w:t xml:space="preserve"> </w:t>
      </w:r>
      <w:r>
        <w:t>The</w:t>
      </w:r>
      <w:r w:rsidR="00BF059B">
        <w:t xml:space="preserve"> </w:t>
      </w:r>
      <w:r>
        <w:t>Chair</w:t>
      </w:r>
      <w:r w:rsidR="00BF059B">
        <w:t xml:space="preserve"> </w:t>
      </w:r>
      <w:r>
        <w:t>has</w:t>
      </w:r>
      <w:r w:rsidR="00BF059B">
        <w:t xml:space="preserve"> </w:t>
      </w:r>
      <w:r>
        <w:t>the</w:t>
      </w:r>
      <w:r w:rsidR="00BF059B">
        <w:t xml:space="preserve"> </w:t>
      </w:r>
      <w:r>
        <w:t>casting</w:t>
      </w:r>
      <w:r w:rsidR="00BF059B">
        <w:t xml:space="preserve"> </w:t>
      </w:r>
      <w:r>
        <w:t>vote.</w:t>
      </w:r>
      <w:r w:rsidR="00BF059B">
        <w:t xml:space="preserve"> </w:t>
      </w:r>
      <w:r>
        <w:t>The</w:t>
      </w:r>
      <w:r w:rsidR="00BF059B">
        <w:t xml:space="preserve"> </w:t>
      </w:r>
      <w:r>
        <w:t>Directors</w:t>
      </w:r>
      <w:r w:rsidR="00BF059B">
        <w:t xml:space="preserve"> </w:t>
      </w:r>
      <w:r>
        <w:t>serve</w:t>
      </w:r>
      <w:r w:rsidR="00BF059B">
        <w:t xml:space="preserve"> </w:t>
      </w:r>
      <w:r>
        <w:t>a</w:t>
      </w:r>
      <w:r w:rsidR="00BF059B">
        <w:t xml:space="preserve"> </w:t>
      </w:r>
      <w:r>
        <w:t>four-year</w:t>
      </w:r>
      <w:r w:rsidR="00BF059B">
        <w:t xml:space="preserve"> </w:t>
      </w:r>
      <w:r>
        <w:t>term,</w:t>
      </w:r>
      <w:r w:rsidR="00BF059B">
        <w:t xml:space="preserve"> </w:t>
      </w:r>
      <w:r>
        <w:t>after</w:t>
      </w:r>
      <w:r w:rsidR="00BF059B">
        <w:t xml:space="preserve"> </w:t>
      </w:r>
      <w:r>
        <w:t>which</w:t>
      </w:r>
      <w:r w:rsidR="00BF059B">
        <w:t xml:space="preserve"> </w:t>
      </w:r>
      <w:r>
        <w:t>they</w:t>
      </w:r>
      <w:r w:rsidR="00BF059B">
        <w:t xml:space="preserve"> </w:t>
      </w:r>
      <w:r>
        <w:t>may</w:t>
      </w:r>
      <w:r w:rsidR="00BF059B">
        <w:t xml:space="preserve"> </w:t>
      </w:r>
      <w:r>
        <w:t>be</w:t>
      </w:r>
      <w:r w:rsidR="00BF059B">
        <w:t xml:space="preserve"> </w:t>
      </w:r>
      <w:r>
        <w:t>re-elected</w:t>
      </w:r>
      <w:r w:rsidR="00BF059B">
        <w:t xml:space="preserve"> </w:t>
      </w:r>
      <w:r>
        <w:t>for</w:t>
      </w:r>
      <w:r w:rsidR="00BF059B">
        <w:t xml:space="preserve"> </w:t>
      </w:r>
      <w:r>
        <w:t>a</w:t>
      </w:r>
      <w:r w:rsidR="00BF059B">
        <w:t xml:space="preserve"> </w:t>
      </w:r>
      <w:r>
        <w:t>further</w:t>
      </w:r>
      <w:r w:rsidR="00BF059B">
        <w:t xml:space="preserve"> </w:t>
      </w:r>
      <w:r>
        <w:t>four</w:t>
      </w:r>
      <w:r w:rsidR="00BF059B">
        <w:t xml:space="preserve"> </w:t>
      </w:r>
      <w:r>
        <w:t>years.</w:t>
      </w:r>
      <w:r w:rsidR="00BF059B">
        <w:t xml:space="preserve"> </w:t>
      </w:r>
      <w:r>
        <w:t>The</w:t>
      </w:r>
      <w:r w:rsidR="00BF059B">
        <w:t xml:space="preserve"> </w:t>
      </w:r>
      <w:r>
        <w:t>company</w:t>
      </w:r>
      <w:r w:rsidR="00BF059B">
        <w:t xml:space="preserve"> </w:t>
      </w:r>
      <w:r>
        <w:t>has</w:t>
      </w:r>
      <w:r w:rsidR="00BF059B">
        <w:t xml:space="preserve"> </w:t>
      </w:r>
      <w:r>
        <w:t>taken</w:t>
      </w:r>
      <w:r w:rsidR="00BF059B">
        <w:t xml:space="preserve"> </w:t>
      </w:r>
      <w:r>
        <w:t>advantage</w:t>
      </w:r>
      <w:r w:rsidR="00BF059B">
        <w:t xml:space="preserve"> </w:t>
      </w:r>
      <w:r>
        <w:t>of</w:t>
      </w:r>
      <w:r w:rsidR="00BF059B">
        <w:t xml:space="preserve"> </w:t>
      </w:r>
      <w:r>
        <w:t>the</w:t>
      </w:r>
      <w:r w:rsidR="00BF059B">
        <w:t xml:space="preserve"> </w:t>
      </w:r>
      <w:r>
        <w:t>exemption</w:t>
      </w:r>
      <w:r w:rsidR="00BF059B">
        <w:t xml:space="preserve"> </w:t>
      </w:r>
      <w:r>
        <w:t>available</w:t>
      </w:r>
      <w:r w:rsidR="00BF059B">
        <w:t xml:space="preserve"> </w:t>
      </w:r>
      <w:r>
        <w:t>to</w:t>
      </w:r>
      <w:r w:rsidR="00BF059B">
        <w:t xml:space="preserve"> </w:t>
      </w:r>
      <w:r>
        <w:t>small</w:t>
      </w:r>
      <w:r w:rsidR="00BF059B">
        <w:t xml:space="preserve"> </w:t>
      </w:r>
      <w:r>
        <w:t>companies</w:t>
      </w:r>
      <w:r w:rsidR="00BF059B">
        <w:t xml:space="preserve"> </w:t>
      </w:r>
      <w:r>
        <w:t>not</w:t>
      </w:r>
      <w:r w:rsidR="00BF059B">
        <w:t xml:space="preserve"> </w:t>
      </w:r>
      <w:r>
        <w:t>to</w:t>
      </w:r>
      <w:r w:rsidR="00BF059B">
        <w:t xml:space="preserve"> </w:t>
      </w:r>
      <w:r>
        <w:t>have</w:t>
      </w:r>
      <w:r w:rsidR="00BF059B">
        <w:t xml:space="preserve"> </w:t>
      </w:r>
      <w:r>
        <w:t>an</w:t>
      </w:r>
      <w:r w:rsidR="00BF059B">
        <w:t xml:space="preserve"> </w:t>
      </w:r>
      <w:r>
        <w:t>AGM.</w:t>
      </w:r>
      <w:r w:rsidR="00BF059B">
        <w:t xml:space="preserve"> </w:t>
      </w:r>
      <w:r>
        <w:t>All</w:t>
      </w:r>
      <w:r w:rsidR="00BF059B">
        <w:t xml:space="preserve"> </w:t>
      </w:r>
      <w:r>
        <w:t>profits</w:t>
      </w:r>
      <w:r w:rsidR="00BF059B">
        <w:t xml:space="preserve"> </w:t>
      </w:r>
      <w:r>
        <w:t>of</w:t>
      </w:r>
      <w:r w:rsidR="00BF059B">
        <w:t xml:space="preserve"> </w:t>
      </w:r>
      <w:r>
        <w:t>the</w:t>
      </w:r>
      <w:r w:rsidR="00BF059B">
        <w:t xml:space="preserve"> </w:t>
      </w:r>
      <w:r>
        <w:t>trading</w:t>
      </w:r>
      <w:r w:rsidR="00BF059B">
        <w:t xml:space="preserve"> </w:t>
      </w:r>
      <w:r>
        <w:t>subsidiary</w:t>
      </w:r>
      <w:r w:rsidR="00BF059B">
        <w:t xml:space="preserve"> </w:t>
      </w:r>
      <w:r>
        <w:t>are</w:t>
      </w:r>
      <w:r w:rsidR="00BF059B">
        <w:t xml:space="preserve"> </w:t>
      </w:r>
      <w:r>
        <w:t>gift</w:t>
      </w:r>
      <w:r w:rsidR="00BF059B">
        <w:t xml:space="preserve"> </w:t>
      </w:r>
      <w:r>
        <w:t>aided</w:t>
      </w:r>
      <w:r w:rsidR="00BF059B">
        <w:t xml:space="preserve"> </w:t>
      </w:r>
      <w:r>
        <w:t>annually</w:t>
      </w:r>
      <w:r w:rsidR="00BF059B">
        <w:t xml:space="preserve"> </w:t>
      </w:r>
      <w:r>
        <w:t>to</w:t>
      </w:r>
      <w:r w:rsidR="00BF059B">
        <w:t xml:space="preserve"> </w:t>
      </w:r>
      <w:r>
        <w:t>the</w:t>
      </w:r>
      <w:r w:rsidR="00BF059B">
        <w:t xml:space="preserve"> </w:t>
      </w:r>
      <w:r>
        <w:t>Trust</w:t>
      </w:r>
      <w:r w:rsidR="00BF059B">
        <w:t xml:space="preserve"> </w:t>
      </w:r>
      <w:r>
        <w:t>through</w:t>
      </w:r>
      <w:r w:rsidR="00BF059B">
        <w:t xml:space="preserve"> </w:t>
      </w:r>
      <w:r>
        <w:t>a</w:t>
      </w:r>
      <w:r w:rsidR="00BF059B">
        <w:t xml:space="preserve"> </w:t>
      </w:r>
      <w:r>
        <w:t>deed</w:t>
      </w:r>
      <w:r w:rsidR="00BF059B">
        <w:t xml:space="preserve"> </w:t>
      </w:r>
      <w:r>
        <w:t>of</w:t>
      </w:r>
      <w:r w:rsidR="00BF059B">
        <w:t xml:space="preserve"> </w:t>
      </w:r>
      <w:r>
        <w:t>covenant.</w:t>
      </w:r>
      <w:r w:rsidR="00BF059B">
        <w:t xml:space="preserve"> </w:t>
      </w:r>
    </w:p>
    <w:p w14:paraId="21E0F292" w14:textId="77777777" w:rsidR="00BE13A8" w:rsidRDefault="00BE13A8" w:rsidP="0015265F">
      <w:pPr>
        <w:rPr>
          <w:b/>
          <w:i/>
          <w:color w:val="FF0000"/>
        </w:rPr>
      </w:pPr>
    </w:p>
    <w:p w14:paraId="0349A47F" w14:textId="2F139851" w:rsidR="00BE13A8" w:rsidRDefault="00D70530" w:rsidP="0015265F">
      <w:pPr>
        <w:rPr>
          <w:color w:val="000000"/>
        </w:rPr>
      </w:pPr>
      <w:r>
        <w:rPr>
          <w:color w:val="000000"/>
        </w:rPr>
        <w:t>The</w:t>
      </w:r>
      <w:r w:rsidR="00BF059B">
        <w:rPr>
          <w:color w:val="000000"/>
        </w:rPr>
        <w:t xml:space="preserve"> </w:t>
      </w:r>
      <w:r>
        <w:rPr>
          <w:color w:val="000000"/>
        </w:rPr>
        <w:t>Trustees’</w:t>
      </w:r>
      <w:r w:rsidR="00BF059B">
        <w:rPr>
          <w:color w:val="000000"/>
        </w:rPr>
        <w:t xml:space="preserve"> </w:t>
      </w:r>
      <w:r>
        <w:rPr>
          <w:color w:val="000000"/>
        </w:rPr>
        <w:t>Report</w:t>
      </w:r>
      <w:r w:rsidR="00BF059B">
        <w:rPr>
          <w:color w:val="000000"/>
        </w:rPr>
        <w:t xml:space="preserve"> </w:t>
      </w:r>
      <w:r>
        <w:rPr>
          <w:color w:val="000000"/>
        </w:rPr>
        <w:t>has</w:t>
      </w:r>
      <w:r w:rsidR="00BF059B">
        <w:rPr>
          <w:color w:val="000000"/>
        </w:rPr>
        <w:t xml:space="preserve"> </w:t>
      </w:r>
      <w:r>
        <w:rPr>
          <w:color w:val="000000"/>
        </w:rPr>
        <w:t>been</w:t>
      </w:r>
      <w:r w:rsidR="00BF059B">
        <w:rPr>
          <w:color w:val="000000"/>
        </w:rPr>
        <w:t xml:space="preserve"> </w:t>
      </w:r>
      <w:r>
        <w:rPr>
          <w:color w:val="000000"/>
        </w:rPr>
        <w:t>approved</w:t>
      </w:r>
      <w:r w:rsidR="00BF059B">
        <w:rPr>
          <w:color w:val="000000"/>
        </w:rPr>
        <w:t xml:space="preserve"> </w:t>
      </w:r>
      <w:r>
        <w:rPr>
          <w:color w:val="000000"/>
        </w:rPr>
        <w:t>by</w:t>
      </w:r>
      <w:r w:rsidR="00BF059B">
        <w:rPr>
          <w:color w:val="000000"/>
        </w:rPr>
        <w:t xml:space="preserve"> </w:t>
      </w:r>
      <w:r>
        <w:rPr>
          <w:color w:val="000000"/>
        </w:rPr>
        <w:t>the</w:t>
      </w:r>
      <w:r w:rsidR="00BF059B">
        <w:rPr>
          <w:color w:val="000000"/>
        </w:rPr>
        <w:t xml:space="preserve"> </w:t>
      </w:r>
      <w:r>
        <w:rPr>
          <w:color w:val="000000"/>
        </w:rPr>
        <w:t>Board</w:t>
      </w:r>
      <w:r w:rsidR="00BF059B">
        <w:rPr>
          <w:color w:val="000000"/>
        </w:rPr>
        <w:t xml:space="preserve"> </w:t>
      </w:r>
      <w:r>
        <w:rPr>
          <w:color w:val="000000"/>
        </w:rPr>
        <w:t>of</w:t>
      </w:r>
      <w:r w:rsidR="00BF059B">
        <w:rPr>
          <w:color w:val="000000"/>
        </w:rPr>
        <w:t xml:space="preserve"> </w:t>
      </w:r>
      <w:r>
        <w:rPr>
          <w:color w:val="000000"/>
        </w:rPr>
        <w:t>Trustees</w:t>
      </w:r>
      <w:r w:rsidR="00BF059B">
        <w:rPr>
          <w:color w:val="000000"/>
        </w:rPr>
        <w:t xml:space="preserve"> </w:t>
      </w:r>
      <w:r>
        <w:rPr>
          <w:color w:val="000000"/>
        </w:rPr>
        <w:t>and</w:t>
      </w:r>
      <w:r w:rsidR="00BF059B">
        <w:rPr>
          <w:color w:val="000000"/>
        </w:rPr>
        <w:t xml:space="preserve"> </w:t>
      </w:r>
      <w:r>
        <w:rPr>
          <w:color w:val="000000"/>
        </w:rPr>
        <w:t>signed</w:t>
      </w:r>
      <w:r w:rsidR="00BF059B">
        <w:rPr>
          <w:color w:val="000000"/>
        </w:rPr>
        <w:t xml:space="preserve"> </w:t>
      </w:r>
      <w:r>
        <w:rPr>
          <w:color w:val="000000"/>
        </w:rPr>
        <w:t>on</w:t>
      </w:r>
      <w:r w:rsidR="00BF059B">
        <w:rPr>
          <w:color w:val="000000"/>
        </w:rPr>
        <w:t xml:space="preserve"> </w:t>
      </w:r>
      <w:r>
        <w:rPr>
          <w:color w:val="000000"/>
        </w:rPr>
        <w:t>their</w:t>
      </w:r>
      <w:r w:rsidR="00BF059B">
        <w:rPr>
          <w:color w:val="000000"/>
        </w:rPr>
        <w:t xml:space="preserve"> </w:t>
      </w:r>
      <w:r>
        <w:rPr>
          <w:color w:val="000000"/>
        </w:rPr>
        <w:t>behalf</w:t>
      </w:r>
      <w:r w:rsidR="0015265F">
        <w:rPr>
          <w:color w:val="000000"/>
        </w:rPr>
        <w:t>.</w:t>
      </w:r>
    </w:p>
    <w:p w14:paraId="3B3850BD" w14:textId="77777777" w:rsidR="00BE13A8" w:rsidRDefault="00BE13A8">
      <w:pPr>
        <w:rPr>
          <w:color w:val="000000"/>
        </w:rPr>
      </w:pPr>
    </w:p>
    <w:p w14:paraId="7A7E29C4" w14:textId="65DC0B4C" w:rsidR="00BE13A8" w:rsidRDefault="00D70530">
      <w:pPr>
        <w:rPr>
          <w:color w:val="000000"/>
        </w:rPr>
      </w:pPr>
      <w:r>
        <w:rPr>
          <w:color w:val="000000"/>
        </w:rPr>
        <w:t>Michael</w:t>
      </w:r>
      <w:r w:rsidR="00BF059B">
        <w:rPr>
          <w:color w:val="000000"/>
        </w:rPr>
        <w:t xml:space="preserve"> </w:t>
      </w:r>
      <w:r>
        <w:rPr>
          <w:color w:val="000000"/>
        </w:rPr>
        <w:t>Salter-Church</w:t>
      </w:r>
    </w:p>
    <w:p w14:paraId="55154381" w14:textId="215570FB" w:rsidR="00BE13A8" w:rsidRDefault="00D70530">
      <w:pPr>
        <w:tabs>
          <w:tab w:val="left" w:pos="5954"/>
        </w:tabs>
        <w:rPr>
          <w:color w:val="000000"/>
        </w:rPr>
      </w:pPr>
      <w:r>
        <w:rPr>
          <w:color w:val="000000"/>
        </w:rPr>
        <w:t>Chair</w:t>
      </w:r>
      <w:r w:rsidR="00BF059B">
        <w:rPr>
          <w:color w:val="000000"/>
        </w:rPr>
        <w:t xml:space="preserve"> </w:t>
      </w:r>
    </w:p>
    <w:p w14:paraId="2BCB9D15" w14:textId="5DA45E41" w:rsidR="00BE13A8" w:rsidRDefault="00D70530">
      <w:pPr>
        <w:tabs>
          <w:tab w:val="left" w:pos="5954"/>
        </w:tabs>
      </w:pPr>
      <w:r>
        <w:t>Date:</w:t>
      </w:r>
      <w:r w:rsidR="00BF059B">
        <w:t xml:space="preserve"> </w:t>
      </w:r>
      <w:r>
        <w:t>24</w:t>
      </w:r>
      <w:r w:rsidR="00BF059B">
        <w:t xml:space="preserve"> </w:t>
      </w:r>
      <w:r>
        <w:t>July</w:t>
      </w:r>
      <w:r w:rsidR="00BF059B">
        <w:t xml:space="preserve"> </w:t>
      </w:r>
      <w:r>
        <w:t>2025</w:t>
      </w:r>
    </w:p>
    <w:p w14:paraId="7089859C" w14:textId="77777777" w:rsidR="0015265F" w:rsidRDefault="0015265F">
      <w:pPr>
        <w:tabs>
          <w:tab w:val="left" w:pos="5954"/>
        </w:tabs>
      </w:pPr>
    </w:p>
    <w:p w14:paraId="7990C9FC" w14:textId="42A1BB7D" w:rsidR="0015265F" w:rsidRDefault="0015265F">
      <w:pPr>
        <w:tabs>
          <w:tab w:val="left" w:pos="5954"/>
        </w:tabs>
      </w:pPr>
      <w:r>
        <w:rPr>
          <w:color w:val="000000"/>
        </w:rPr>
        <w:t>Gordon Seabright</w:t>
      </w:r>
    </w:p>
    <w:p w14:paraId="5767D79E" w14:textId="77777777" w:rsidR="0015265F" w:rsidRDefault="0015265F" w:rsidP="0015265F">
      <w:pPr>
        <w:tabs>
          <w:tab w:val="left" w:pos="5954"/>
        </w:tabs>
        <w:rPr>
          <w:color w:val="000000"/>
        </w:rPr>
      </w:pPr>
      <w:r>
        <w:rPr>
          <w:color w:val="000000"/>
        </w:rPr>
        <w:t>Accounting Officer</w:t>
      </w:r>
    </w:p>
    <w:p w14:paraId="3D55F3B7" w14:textId="201032E0" w:rsidR="00BE13A8" w:rsidRDefault="0015265F">
      <w:pPr>
        <w:tabs>
          <w:tab w:val="left" w:pos="5954"/>
        </w:tabs>
      </w:pPr>
      <w:r>
        <w:t>Date: 24 July 2025</w:t>
      </w:r>
    </w:p>
    <w:p w14:paraId="59F93761" w14:textId="77777777" w:rsidR="00BE13A8" w:rsidRDefault="00BE13A8">
      <w:pPr>
        <w:tabs>
          <w:tab w:val="left" w:pos="5954"/>
        </w:tabs>
      </w:pPr>
    </w:p>
    <w:p w14:paraId="3AE93F14" w14:textId="4A1F9B4A" w:rsidR="002003FA" w:rsidRPr="002003FA" w:rsidRDefault="002003FA" w:rsidP="002003FA">
      <w:pPr>
        <w:pStyle w:val="Heading2"/>
      </w:pPr>
      <w:r w:rsidRPr="002003FA">
        <w:t>Remuneration Report</w:t>
      </w:r>
    </w:p>
    <w:p w14:paraId="3C559005" w14:textId="77777777" w:rsidR="002003FA" w:rsidRDefault="002003FA">
      <w:pPr>
        <w:tabs>
          <w:tab w:val="left" w:pos="5954"/>
        </w:tabs>
        <w:jc w:val="both"/>
      </w:pPr>
    </w:p>
    <w:p w14:paraId="37238704" w14:textId="51B1ADC6" w:rsidR="00BE13A8" w:rsidRDefault="00D70530" w:rsidP="002003FA">
      <w:r>
        <w:t>The</w:t>
      </w:r>
      <w:r w:rsidR="00BF059B">
        <w:t xml:space="preserve"> </w:t>
      </w:r>
      <w:r>
        <w:t>remuneration</w:t>
      </w:r>
      <w:r w:rsidR="00BF059B">
        <w:t xml:space="preserve"> </w:t>
      </w:r>
      <w:r>
        <w:t>of</w:t>
      </w:r>
      <w:r w:rsidR="00BF059B">
        <w:t xml:space="preserve"> </w:t>
      </w:r>
      <w:r>
        <w:t>all</w:t>
      </w:r>
      <w:r w:rsidR="00BF059B">
        <w:t xml:space="preserve"> </w:t>
      </w:r>
      <w:r>
        <w:t>staff</w:t>
      </w:r>
      <w:r w:rsidR="00BF059B">
        <w:t xml:space="preserve"> </w:t>
      </w:r>
      <w:r>
        <w:t>employed</w:t>
      </w:r>
      <w:r w:rsidR="00BF059B">
        <w:t xml:space="preserve"> </w:t>
      </w:r>
      <w:r>
        <w:t>by</w:t>
      </w:r>
      <w:r w:rsidR="00BF059B">
        <w:t xml:space="preserve"> </w:t>
      </w:r>
      <w:r>
        <w:t>the</w:t>
      </w:r>
      <w:r w:rsidR="00BF059B">
        <w:t xml:space="preserve"> </w:t>
      </w:r>
      <w:r>
        <w:t>Horniman,</w:t>
      </w:r>
      <w:r w:rsidR="00BF059B">
        <w:t xml:space="preserve"> </w:t>
      </w:r>
      <w:r>
        <w:t>except</w:t>
      </w:r>
      <w:r w:rsidR="00BF059B">
        <w:t xml:space="preserve"> </w:t>
      </w:r>
      <w:r>
        <w:t>the</w:t>
      </w:r>
      <w:r w:rsidR="00BF059B">
        <w:t xml:space="preserve"> </w:t>
      </w:r>
      <w:r>
        <w:t>Chief</w:t>
      </w:r>
      <w:r w:rsidR="00BF059B">
        <w:t xml:space="preserve"> </w:t>
      </w:r>
      <w:r>
        <w:t>Executive,</w:t>
      </w:r>
      <w:r w:rsidR="00BF059B">
        <w:t xml:space="preserve"> </w:t>
      </w:r>
      <w:r>
        <w:t>is</w:t>
      </w:r>
      <w:r w:rsidR="00BF059B">
        <w:t xml:space="preserve"> </w:t>
      </w:r>
      <w:r>
        <w:t>reviewed</w:t>
      </w:r>
      <w:r w:rsidR="00BF059B">
        <w:t xml:space="preserve"> </w:t>
      </w:r>
      <w:r>
        <w:t>on</w:t>
      </w:r>
      <w:r w:rsidR="00BF059B">
        <w:t xml:space="preserve"> </w:t>
      </w:r>
      <w:r>
        <w:t>an</w:t>
      </w:r>
      <w:r w:rsidR="00BF059B">
        <w:t xml:space="preserve"> </w:t>
      </w:r>
      <w:r>
        <w:t>annual</w:t>
      </w:r>
      <w:r w:rsidR="00BF059B">
        <w:t xml:space="preserve"> </w:t>
      </w:r>
      <w:r>
        <w:t>basis</w:t>
      </w:r>
      <w:r w:rsidR="00BF059B">
        <w:t xml:space="preserve"> </w:t>
      </w:r>
      <w:r>
        <w:t>within</w:t>
      </w:r>
      <w:r w:rsidR="00BF059B">
        <w:t xml:space="preserve"> </w:t>
      </w:r>
      <w:r>
        <w:t>the</w:t>
      </w:r>
      <w:r w:rsidR="00BF059B">
        <w:t xml:space="preserve"> </w:t>
      </w:r>
      <w:r>
        <w:t>terms</w:t>
      </w:r>
      <w:r w:rsidR="00BF059B">
        <w:t xml:space="preserve"> </w:t>
      </w:r>
      <w:r>
        <w:t>of</w:t>
      </w:r>
      <w:r w:rsidR="00BF059B">
        <w:t xml:space="preserve"> </w:t>
      </w:r>
      <w:r>
        <w:t>an</w:t>
      </w:r>
      <w:r w:rsidR="00BF059B">
        <w:t xml:space="preserve"> </w:t>
      </w:r>
      <w:r>
        <w:t>annual</w:t>
      </w:r>
      <w:r w:rsidR="00BF059B">
        <w:t xml:space="preserve"> </w:t>
      </w:r>
      <w:r>
        <w:t>pay</w:t>
      </w:r>
      <w:r w:rsidR="00BF059B">
        <w:t xml:space="preserve"> </w:t>
      </w:r>
      <w:r>
        <w:t>remit</w:t>
      </w:r>
      <w:r w:rsidR="00BF059B">
        <w:t xml:space="preserve"> </w:t>
      </w:r>
      <w:r>
        <w:t>agreed</w:t>
      </w:r>
      <w:r w:rsidR="00BF059B">
        <w:t xml:space="preserve"> </w:t>
      </w:r>
      <w:r>
        <w:t>with</w:t>
      </w:r>
      <w:r w:rsidR="00BF059B">
        <w:t xml:space="preserve"> </w:t>
      </w:r>
      <w:r>
        <w:t>DCMS</w:t>
      </w:r>
      <w:r w:rsidR="00BF059B">
        <w:t xml:space="preserve"> </w:t>
      </w:r>
      <w:r>
        <w:t>which</w:t>
      </w:r>
      <w:r w:rsidR="00BF059B">
        <w:t xml:space="preserve"> </w:t>
      </w:r>
      <w:r>
        <w:t>takes</w:t>
      </w:r>
      <w:r w:rsidR="00BF059B">
        <w:t xml:space="preserve"> </w:t>
      </w:r>
      <w:r>
        <w:t>account</w:t>
      </w:r>
      <w:r w:rsidR="00BF059B">
        <w:t xml:space="preserve"> </w:t>
      </w:r>
      <w:r>
        <w:t>of</w:t>
      </w:r>
      <w:r w:rsidR="00BF059B">
        <w:t xml:space="preserve"> </w:t>
      </w:r>
      <w:r>
        <w:t>business</w:t>
      </w:r>
      <w:r w:rsidR="00BF059B">
        <w:t xml:space="preserve"> </w:t>
      </w:r>
      <w:r>
        <w:t>needs,</w:t>
      </w:r>
      <w:r w:rsidR="00BF059B">
        <w:t xml:space="preserve"> </w:t>
      </w:r>
      <w:r>
        <w:t>pressures</w:t>
      </w:r>
      <w:r w:rsidR="00BF059B">
        <w:t xml:space="preserve"> </w:t>
      </w:r>
      <w:r>
        <w:t>and</w:t>
      </w:r>
      <w:r w:rsidR="00BF059B">
        <w:t xml:space="preserve"> </w:t>
      </w:r>
      <w:r>
        <w:t>affordability.</w:t>
      </w:r>
      <w:r w:rsidR="00BF059B">
        <w:t xml:space="preserve"> </w:t>
      </w:r>
    </w:p>
    <w:p w14:paraId="68FF712D" w14:textId="77777777" w:rsidR="00BE13A8" w:rsidRDefault="00BE13A8" w:rsidP="002003FA"/>
    <w:p w14:paraId="2AA5CB8D" w14:textId="22B29C1E" w:rsidR="00BE13A8" w:rsidRDefault="00D70530" w:rsidP="002003FA">
      <w:r>
        <w:t>The</w:t>
      </w:r>
      <w:r w:rsidR="00BF059B">
        <w:t xml:space="preserve"> </w:t>
      </w:r>
      <w:r>
        <w:t>Remuneration</w:t>
      </w:r>
      <w:r w:rsidR="00BF059B">
        <w:t xml:space="preserve"> </w:t>
      </w:r>
      <w:r>
        <w:t>Committee</w:t>
      </w:r>
      <w:r w:rsidR="00BF059B">
        <w:t xml:space="preserve"> </w:t>
      </w:r>
      <w:r>
        <w:t>is</w:t>
      </w:r>
      <w:r w:rsidR="00BF059B">
        <w:t xml:space="preserve"> </w:t>
      </w:r>
      <w:r>
        <w:t>a</w:t>
      </w:r>
      <w:r w:rsidR="00BF059B">
        <w:t xml:space="preserve"> </w:t>
      </w:r>
      <w:r>
        <w:t>subcommittee</w:t>
      </w:r>
      <w:r w:rsidR="00BF059B">
        <w:t xml:space="preserve"> </w:t>
      </w:r>
      <w:r>
        <w:t>of</w:t>
      </w:r>
      <w:r w:rsidR="00BF059B">
        <w:t xml:space="preserve"> </w:t>
      </w:r>
      <w:r>
        <w:t>the</w:t>
      </w:r>
      <w:r w:rsidR="00BF059B">
        <w:t xml:space="preserve"> </w:t>
      </w:r>
      <w:r>
        <w:t>Board</w:t>
      </w:r>
      <w:r w:rsidR="00BF059B">
        <w:t xml:space="preserve"> </w:t>
      </w:r>
      <w:r>
        <w:t>and</w:t>
      </w:r>
      <w:r w:rsidR="00BF059B">
        <w:t xml:space="preserve"> </w:t>
      </w:r>
      <w:r>
        <w:t>is</w:t>
      </w:r>
      <w:r w:rsidR="00BF059B">
        <w:t xml:space="preserve"> </w:t>
      </w:r>
      <w:r>
        <w:t>responsible</w:t>
      </w:r>
      <w:r w:rsidR="00BF059B">
        <w:t xml:space="preserve"> </w:t>
      </w:r>
      <w:r>
        <w:t>for</w:t>
      </w:r>
      <w:r w:rsidR="00BF059B">
        <w:t xml:space="preserve"> </w:t>
      </w:r>
      <w:r>
        <w:t>considering</w:t>
      </w:r>
      <w:r w:rsidR="00BF059B">
        <w:t xml:space="preserve"> </w:t>
      </w:r>
      <w:r>
        <w:t>matters</w:t>
      </w:r>
      <w:r w:rsidR="00BF059B">
        <w:t xml:space="preserve"> </w:t>
      </w:r>
      <w:r>
        <w:t>relating</w:t>
      </w:r>
      <w:r w:rsidR="00BF059B">
        <w:t xml:space="preserve"> </w:t>
      </w:r>
      <w:r>
        <w:t>to</w:t>
      </w:r>
      <w:r w:rsidR="00BF059B">
        <w:t xml:space="preserve"> </w:t>
      </w:r>
      <w:r>
        <w:t>the</w:t>
      </w:r>
      <w:r w:rsidR="00BF059B">
        <w:t xml:space="preserve"> </w:t>
      </w:r>
      <w:r>
        <w:t>remuneration</w:t>
      </w:r>
      <w:r w:rsidR="00BF059B">
        <w:t xml:space="preserve"> </w:t>
      </w:r>
      <w:r>
        <w:t>of</w:t>
      </w:r>
      <w:r w:rsidR="00BF059B">
        <w:t xml:space="preserve"> </w:t>
      </w:r>
      <w:r>
        <w:t>the</w:t>
      </w:r>
      <w:r w:rsidR="00BF059B">
        <w:t xml:space="preserve"> </w:t>
      </w:r>
      <w:r>
        <w:t>Chief</w:t>
      </w:r>
      <w:r w:rsidR="00BF059B">
        <w:t xml:space="preserve"> </w:t>
      </w:r>
      <w:r>
        <w:t>Executive</w:t>
      </w:r>
      <w:r w:rsidR="00BF059B">
        <w:t xml:space="preserve"> </w:t>
      </w:r>
      <w:r>
        <w:t>and</w:t>
      </w:r>
      <w:r w:rsidR="00BF059B">
        <w:t xml:space="preserve"> </w:t>
      </w:r>
      <w:r>
        <w:t>making</w:t>
      </w:r>
      <w:r w:rsidR="00BF059B">
        <w:t xml:space="preserve"> </w:t>
      </w:r>
      <w:r>
        <w:t>recommendations</w:t>
      </w:r>
      <w:r w:rsidR="00BF059B">
        <w:t xml:space="preserve"> </w:t>
      </w:r>
      <w:r>
        <w:t>to</w:t>
      </w:r>
      <w:r w:rsidR="00BF059B">
        <w:t xml:space="preserve"> </w:t>
      </w:r>
      <w:r>
        <w:t>the</w:t>
      </w:r>
      <w:r w:rsidR="00BF059B">
        <w:t xml:space="preserve"> </w:t>
      </w:r>
      <w:r>
        <w:t>Board</w:t>
      </w:r>
      <w:r w:rsidR="00BF059B">
        <w:t xml:space="preserve"> </w:t>
      </w:r>
      <w:r>
        <w:t>thereon.</w:t>
      </w:r>
      <w:r w:rsidR="00BF059B">
        <w:t xml:space="preserve"> </w:t>
      </w:r>
      <w:r>
        <w:t>Details</w:t>
      </w:r>
      <w:r w:rsidR="00BF059B">
        <w:t xml:space="preserve"> </w:t>
      </w:r>
      <w:r>
        <w:t>of</w:t>
      </w:r>
      <w:r w:rsidR="00BF059B">
        <w:t xml:space="preserve"> </w:t>
      </w:r>
      <w:r>
        <w:t>membership</w:t>
      </w:r>
      <w:r w:rsidR="00BF059B">
        <w:t xml:space="preserve"> </w:t>
      </w:r>
      <w:r>
        <w:t>of</w:t>
      </w:r>
      <w:r w:rsidR="00BF059B">
        <w:t xml:space="preserve"> </w:t>
      </w:r>
      <w:r>
        <w:t>the</w:t>
      </w:r>
      <w:r w:rsidR="00BF059B">
        <w:t xml:space="preserve"> </w:t>
      </w:r>
      <w:r>
        <w:t>Remuneration</w:t>
      </w:r>
      <w:r w:rsidR="00BF059B">
        <w:t xml:space="preserve"> </w:t>
      </w:r>
      <w:r>
        <w:t>Committee</w:t>
      </w:r>
      <w:r w:rsidR="00BF059B">
        <w:t xml:space="preserve"> </w:t>
      </w:r>
      <w:r>
        <w:t>are</w:t>
      </w:r>
      <w:r w:rsidR="00BF059B">
        <w:t xml:space="preserve"> </w:t>
      </w:r>
      <w:r>
        <w:t>included</w:t>
      </w:r>
      <w:r w:rsidR="00BF059B">
        <w:t xml:space="preserve"> </w:t>
      </w:r>
      <w:r>
        <w:t>on</w:t>
      </w:r>
      <w:r w:rsidR="00BF059B">
        <w:t xml:space="preserve"> </w:t>
      </w:r>
      <w:r>
        <w:t>page</w:t>
      </w:r>
      <w:r w:rsidR="00BF059B">
        <w:t xml:space="preserve"> </w:t>
      </w:r>
      <w:r>
        <w:t>1</w:t>
      </w:r>
      <w:r w:rsidR="00BF059B">
        <w:t xml:space="preserve"> </w:t>
      </w:r>
      <w:r>
        <w:t>of</w:t>
      </w:r>
      <w:r w:rsidR="00BF059B">
        <w:t xml:space="preserve"> </w:t>
      </w:r>
      <w:r>
        <w:t>the</w:t>
      </w:r>
      <w:r w:rsidR="00BF059B">
        <w:t xml:space="preserve"> </w:t>
      </w:r>
      <w:r>
        <w:t>Report.</w:t>
      </w:r>
    </w:p>
    <w:p w14:paraId="357EB1E5" w14:textId="77777777" w:rsidR="00BE13A8" w:rsidRDefault="00BE13A8">
      <w:pPr>
        <w:jc w:val="both"/>
      </w:pPr>
    </w:p>
    <w:p w14:paraId="587B7794" w14:textId="460F5728" w:rsidR="00BE13A8" w:rsidRDefault="00D70530" w:rsidP="002003FA">
      <w:r>
        <w:t>The</w:t>
      </w:r>
      <w:r w:rsidR="00BF059B">
        <w:t xml:space="preserve"> </w:t>
      </w:r>
      <w:r>
        <w:t>Remuneration</w:t>
      </w:r>
      <w:r w:rsidR="00BF059B">
        <w:t xml:space="preserve"> </w:t>
      </w:r>
      <w:r>
        <w:t>Committee</w:t>
      </w:r>
      <w:r w:rsidR="00BF059B">
        <w:t xml:space="preserve"> </w:t>
      </w:r>
      <w:r>
        <w:t>may</w:t>
      </w:r>
      <w:r w:rsidR="00BF059B">
        <w:t xml:space="preserve"> </w:t>
      </w:r>
      <w:r>
        <w:t>also</w:t>
      </w:r>
      <w:r w:rsidR="00BF059B">
        <w:t xml:space="preserve"> </w:t>
      </w:r>
      <w:r>
        <w:t>consider</w:t>
      </w:r>
      <w:r w:rsidR="00BF059B">
        <w:t xml:space="preserve"> </w:t>
      </w:r>
      <w:r>
        <w:t>matters</w:t>
      </w:r>
      <w:r w:rsidR="00BF059B">
        <w:t xml:space="preserve"> </w:t>
      </w:r>
      <w:r>
        <w:t>relating</w:t>
      </w:r>
      <w:r w:rsidR="00BF059B">
        <w:t xml:space="preserve"> </w:t>
      </w:r>
      <w:r>
        <w:t>to</w:t>
      </w:r>
      <w:r w:rsidR="00BF059B">
        <w:t xml:space="preserve"> </w:t>
      </w:r>
      <w:r>
        <w:t>remuneration</w:t>
      </w:r>
      <w:r w:rsidR="00BF059B">
        <w:t xml:space="preserve"> </w:t>
      </w:r>
      <w:r>
        <w:t>of</w:t>
      </w:r>
      <w:r w:rsidR="00BF059B">
        <w:t xml:space="preserve"> </w:t>
      </w:r>
      <w:r>
        <w:t>other</w:t>
      </w:r>
      <w:r w:rsidR="00BF059B">
        <w:t xml:space="preserve"> </w:t>
      </w:r>
      <w:r>
        <w:t>senior</w:t>
      </w:r>
      <w:r w:rsidR="00BF059B">
        <w:t xml:space="preserve"> </w:t>
      </w:r>
      <w:r>
        <w:t>staff</w:t>
      </w:r>
      <w:r w:rsidR="00BF059B">
        <w:t xml:space="preserve"> </w:t>
      </w:r>
      <w:r>
        <w:t>if</w:t>
      </w:r>
      <w:r w:rsidR="00BF059B">
        <w:t xml:space="preserve"> </w:t>
      </w:r>
      <w:r>
        <w:t>requested</w:t>
      </w:r>
      <w:r w:rsidR="00BF059B">
        <w:t xml:space="preserve"> </w:t>
      </w:r>
      <w:r>
        <w:t>to</w:t>
      </w:r>
      <w:r w:rsidR="00BF059B">
        <w:t xml:space="preserve"> </w:t>
      </w:r>
      <w:r>
        <w:t>do</w:t>
      </w:r>
      <w:r w:rsidR="00BF059B">
        <w:t xml:space="preserve"> </w:t>
      </w:r>
      <w:r>
        <w:t>so</w:t>
      </w:r>
      <w:r w:rsidR="00BF059B">
        <w:t xml:space="preserve"> </w:t>
      </w:r>
      <w:r>
        <w:t>by</w:t>
      </w:r>
      <w:r w:rsidR="00BF059B">
        <w:t xml:space="preserve"> </w:t>
      </w:r>
      <w:r>
        <w:t>the</w:t>
      </w:r>
      <w:r w:rsidR="00BF059B">
        <w:t xml:space="preserve"> </w:t>
      </w:r>
      <w:r>
        <w:t>Board,</w:t>
      </w:r>
      <w:r w:rsidR="00BF059B">
        <w:t xml:space="preserve"> </w:t>
      </w:r>
      <w:r>
        <w:t>as</w:t>
      </w:r>
      <w:r w:rsidR="00BF059B">
        <w:t xml:space="preserve"> </w:t>
      </w:r>
      <w:r>
        <w:t>well</w:t>
      </w:r>
      <w:r w:rsidR="00BF059B">
        <w:t xml:space="preserve"> </w:t>
      </w:r>
      <w:r>
        <w:t>as</w:t>
      </w:r>
      <w:r w:rsidR="00BF059B">
        <w:t xml:space="preserve"> </w:t>
      </w:r>
      <w:r>
        <w:t>considering</w:t>
      </w:r>
      <w:r w:rsidR="00BF059B">
        <w:t xml:space="preserve"> </w:t>
      </w:r>
      <w:r>
        <w:t>and</w:t>
      </w:r>
      <w:r w:rsidR="00BF059B">
        <w:t xml:space="preserve"> </w:t>
      </w:r>
      <w:r>
        <w:t>advising</w:t>
      </w:r>
      <w:r w:rsidR="00BF059B">
        <w:t xml:space="preserve"> </w:t>
      </w:r>
      <w:r>
        <w:t>the</w:t>
      </w:r>
      <w:r w:rsidR="00BF059B">
        <w:t xml:space="preserve"> </w:t>
      </w:r>
      <w:r>
        <w:t>Board</w:t>
      </w:r>
      <w:r w:rsidR="00BF059B">
        <w:t xml:space="preserve"> </w:t>
      </w:r>
      <w:r>
        <w:t>on</w:t>
      </w:r>
      <w:r w:rsidR="00BF059B">
        <w:t xml:space="preserve"> </w:t>
      </w:r>
      <w:r>
        <w:t>the</w:t>
      </w:r>
      <w:r w:rsidR="00BF059B">
        <w:t xml:space="preserve"> </w:t>
      </w:r>
      <w:r>
        <w:t>general</w:t>
      </w:r>
      <w:r w:rsidR="00BF059B">
        <w:t xml:space="preserve"> </w:t>
      </w:r>
      <w:r>
        <w:t>terms</w:t>
      </w:r>
      <w:r w:rsidR="00BF059B">
        <w:t xml:space="preserve"> </w:t>
      </w:r>
      <w:r>
        <w:t>of</w:t>
      </w:r>
      <w:r w:rsidR="00BF059B">
        <w:t xml:space="preserve"> </w:t>
      </w:r>
      <w:r>
        <w:t>any</w:t>
      </w:r>
      <w:r w:rsidR="00BF059B">
        <w:t xml:space="preserve"> </w:t>
      </w:r>
      <w:r>
        <w:t>pay</w:t>
      </w:r>
      <w:r w:rsidR="00BF059B">
        <w:t xml:space="preserve"> </w:t>
      </w:r>
      <w:r>
        <w:t>settlement</w:t>
      </w:r>
      <w:r w:rsidR="00BF059B">
        <w:t xml:space="preserve"> </w:t>
      </w:r>
      <w:r>
        <w:t>proposed</w:t>
      </w:r>
      <w:r w:rsidR="00BF059B">
        <w:t xml:space="preserve"> </w:t>
      </w:r>
      <w:r>
        <w:t>for</w:t>
      </w:r>
      <w:r w:rsidR="00BF059B">
        <w:t xml:space="preserve"> </w:t>
      </w:r>
      <w:r>
        <w:t>staff</w:t>
      </w:r>
      <w:r w:rsidR="00BF059B">
        <w:t xml:space="preserve"> </w:t>
      </w:r>
      <w:r>
        <w:t>as</w:t>
      </w:r>
      <w:r w:rsidR="00BF059B">
        <w:t xml:space="preserve"> </w:t>
      </w:r>
      <w:r>
        <w:t>appropriate.</w:t>
      </w:r>
    </w:p>
    <w:p w14:paraId="13A75D5B" w14:textId="77777777" w:rsidR="00BE13A8" w:rsidRDefault="00BE13A8" w:rsidP="002003FA">
      <w:pPr>
        <w:rPr>
          <w:i/>
        </w:rPr>
      </w:pPr>
    </w:p>
    <w:p w14:paraId="16B537D0" w14:textId="44A7E5B1" w:rsidR="00BE13A8" w:rsidRDefault="00D70530" w:rsidP="002003FA">
      <w:r>
        <w:t>The</w:t>
      </w:r>
      <w:r w:rsidR="00BF059B">
        <w:t xml:space="preserve"> </w:t>
      </w:r>
      <w:r>
        <w:t>Chief</w:t>
      </w:r>
      <w:r w:rsidR="00BF059B">
        <w:t xml:space="preserve"> </w:t>
      </w:r>
      <w:r>
        <w:t>Executive’s</w:t>
      </w:r>
      <w:r w:rsidR="00BF059B">
        <w:t xml:space="preserve"> </w:t>
      </w:r>
      <w:r>
        <w:t>performance</w:t>
      </w:r>
      <w:r w:rsidR="00BF059B">
        <w:t xml:space="preserve"> </w:t>
      </w:r>
      <w:r>
        <w:t>is</w:t>
      </w:r>
      <w:r w:rsidR="00BF059B">
        <w:t xml:space="preserve"> </w:t>
      </w:r>
      <w:r>
        <w:t>assessed</w:t>
      </w:r>
      <w:r w:rsidR="00BF059B">
        <w:t xml:space="preserve"> </w:t>
      </w:r>
      <w:r>
        <w:t>on</w:t>
      </w:r>
      <w:r w:rsidR="00BF059B">
        <w:t xml:space="preserve"> </w:t>
      </w:r>
      <w:r>
        <w:t>an</w:t>
      </w:r>
      <w:r w:rsidR="00BF059B">
        <w:t xml:space="preserve"> </w:t>
      </w:r>
      <w:r>
        <w:t>annual</w:t>
      </w:r>
      <w:r w:rsidR="00BF059B">
        <w:t xml:space="preserve"> </w:t>
      </w:r>
      <w:r>
        <w:t>basis</w:t>
      </w:r>
      <w:r w:rsidR="00BF059B">
        <w:t xml:space="preserve"> </w:t>
      </w:r>
      <w:r>
        <w:t>against</w:t>
      </w:r>
      <w:r w:rsidR="00BF059B">
        <w:t xml:space="preserve"> </w:t>
      </w:r>
      <w:r>
        <w:t>objectives</w:t>
      </w:r>
      <w:r w:rsidR="00BF059B">
        <w:t xml:space="preserve"> </w:t>
      </w:r>
      <w:r>
        <w:t>agreed</w:t>
      </w:r>
      <w:r w:rsidR="00BF059B">
        <w:t xml:space="preserve"> </w:t>
      </w:r>
      <w:r>
        <w:t>with</w:t>
      </w:r>
      <w:r w:rsidR="00BF059B">
        <w:t xml:space="preserve"> </w:t>
      </w:r>
      <w:r>
        <w:t>the</w:t>
      </w:r>
      <w:r w:rsidR="00BF059B">
        <w:t xml:space="preserve"> </w:t>
      </w:r>
      <w:r>
        <w:t>Chair</w:t>
      </w:r>
      <w:r w:rsidR="00BF059B">
        <w:t xml:space="preserve"> </w:t>
      </w:r>
      <w:r>
        <w:t>of</w:t>
      </w:r>
      <w:r w:rsidR="00BF059B">
        <w:t xml:space="preserve"> </w:t>
      </w:r>
      <w:r>
        <w:t>the</w:t>
      </w:r>
      <w:r w:rsidR="00BF059B">
        <w:t xml:space="preserve"> </w:t>
      </w:r>
      <w:r>
        <w:t>Board</w:t>
      </w:r>
      <w:r w:rsidR="00BF059B">
        <w:t xml:space="preserve"> </w:t>
      </w:r>
      <w:r>
        <w:t>of</w:t>
      </w:r>
      <w:r w:rsidR="00BF059B">
        <w:t xml:space="preserve"> </w:t>
      </w:r>
      <w:r>
        <w:t>Trustees</w:t>
      </w:r>
      <w:r w:rsidR="00BF059B">
        <w:t xml:space="preserve"> </w:t>
      </w:r>
      <w:r>
        <w:t>and</w:t>
      </w:r>
      <w:r w:rsidR="00BF059B">
        <w:t xml:space="preserve"> </w:t>
      </w:r>
      <w:r>
        <w:t>a</w:t>
      </w:r>
      <w:r w:rsidR="00BF059B">
        <w:t xml:space="preserve"> </w:t>
      </w:r>
      <w:r>
        <w:t>bonus</w:t>
      </w:r>
      <w:r w:rsidR="00BF059B">
        <w:t xml:space="preserve"> </w:t>
      </w:r>
      <w:r>
        <w:t>is</w:t>
      </w:r>
      <w:r w:rsidR="00BF059B">
        <w:t xml:space="preserve"> </w:t>
      </w:r>
      <w:r>
        <w:t>calculated</w:t>
      </w:r>
      <w:r w:rsidR="00BF059B">
        <w:t xml:space="preserve"> </w:t>
      </w:r>
      <w:r>
        <w:t>on</w:t>
      </w:r>
      <w:r w:rsidR="00BF059B">
        <w:t xml:space="preserve"> </w:t>
      </w:r>
      <w:r>
        <w:t>the</w:t>
      </w:r>
      <w:r w:rsidR="00BF059B">
        <w:t xml:space="preserve"> </w:t>
      </w:r>
      <w:r>
        <w:t>basis</w:t>
      </w:r>
      <w:r w:rsidR="00BF059B">
        <w:t xml:space="preserve"> </w:t>
      </w:r>
      <w:r>
        <w:t>of</w:t>
      </w:r>
      <w:r w:rsidR="00BF059B">
        <w:t xml:space="preserve"> </w:t>
      </w:r>
      <w:r>
        <w:t>the</w:t>
      </w:r>
      <w:r w:rsidR="00BF059B">
        <w:t xml:space="preserve"> </w:t>
      </w:r>
      <w:r>
        <w:t>performance</w:t>
      </w:r>
      <w:r w:rsidR="00BF059B">
        <w:t xml:space="preserve"> </w:t>
      </w:r>
      <w:r>
        <w:t>achieved.</w:t>
      </w:r>
      <w:r w:rsidR="00BF059B">
        <w:t xml:space="preserve">  </w:t>
      </w:r>
      <w:r>
        <w:t>The</w:t>
      </w:r>
      <w:r w:rsidR="00BF059B">
        <w:t xml:space="preserve"> </w:t>
      </w:r>
      <w:r>
        <w:t>Chief</w:t>
      </w:r>
      <w:r w:rsidR="00BF059B">
        <w:t xml:space="preserve"> </w:t>
      </w:r>
      <w:r>
        <w:t>Executive</w:t>
      </w:r>
      <w:r w:rsidR="00BF059B">
        <w:t xml:space="preserve"> </w:t>
      </w:r>
      <w:r>
        <w:t>is</w:t>
      </w:r>
      <w:r w:rsidR="00BF059B">
        <w:t xml:space="preserve"> </w:t>
      </w:r>
      <w:r>
        <w:t>a</w:t>
      </w:r>
      <w:r w:rsidR="00BF059B">
        <w:t xml:space="preserve"> </w:t>
      </w:r>
      <w:r>
        <w:t>member</w:t>
      </w:r>
      <w:r w:rsidR="00BF059B">
        <w:t xml:space="preserve"> </w:t>
      </w:r>
      <w:r>
        <w:t>of</w:t>
      </w:r>
      <w:r w:rsidR="00BF059B">
        <w:t xml:space="preserve"> </w:t>
      </w:r>
      <w:r>
        <w:t>the</w:t>
      </w:r>
      <w:r w:rsidR="00BF059B">
        <w:t xml:space="preserve"> </w:t>
      </w:r>
      <w:r>
        <w:t>London</w:t>
      </w:r>
      <w:r w:rsidR="00BF059B">
        <w:t xml:space="preserve"> </w:t>
      </w:r>
      <w:r>
        <w:t>Pensions</w:t>
      </w:r>
      <w:r w:rsidR="00BF059B">
        <w:t xml:space="preserve"> </w:t>
      </w:r>
      <w:r>
        <w:t>Fund</w:t>
      </w:r>
      <w:r w:rsidR="00BF059B">
        <w:t xml:space="preserve"> </w:t>
      </w:r>
      <w:r>
        <w:t>Authority</w:t>
      </w:r>
      <w:r w:rsidR="00BF059B">
        <w:t xml:space="preserve"> </w:t>
      </w:r>
      <w:r>
        <w:t>Scheme</w:t>
      </w:r>
      <w:r w:rsidR="00BF059B">
        <w:t xml:space="preserve"> </w:t>
      </w:r>
      <w:r>
        <w:t>on</w:t>
      </w:r>
      <w:r w:rsidR="00BF059B">
        <w:t xml:space="preserve"> </w:t>
      </w:r>
      <w:r>
        <w:t>the</w:t>
      </w:r>
      <w:r w:rsidR="00BF059B">
        <w:t xml:space="preserve"> </w:t>
      </w:r>
      <w:r>
        <w:t>same</w:t>
      </w:r>
      <w:r w:rsidR="00BF059B">
        <w:t xml:space="preserve"> </w:t>
      </w:r>
      <w:r>
        <w:t>terms</w:t>
      </w:r>
      <w:r w:rsidR="00BF059B">
        <w:t xml:space="preserve"> </w:t>
      </w:r>
      <w:r>
        <w:t>as</w:t>
      </w:r>
      <w:r w:rsidR="00BF059B">
        <w:t xml:space="preserve"> </w:t>
      </w:r>
      <w:r>
        <w:t>other</w:t>
      </w:r>
      <w:r w:rsidR="00BF059B">
        <w:t xml:space="preserve"> </w:t>
      </w:r>
      <w:r>
        <w:t>employees.</w:t>
      </w:r>
      <w:r w:rsidR="00BF059B">
        <w:t xml:space="preserve"> </w:t>
      </w:r>
      <w:r>
        <w:t>A</w:t>
      </w:r>
      <w:r w:rsidR="00BF059B">
        <w:t xml:space="preserve"> </w:t>
      </w:r>
      <w:r>
        <w:t>new</w:t>
      </w:r>
      <w:r w:rsidR="00BF059B">
        <w:t xml:space="preserve"> </w:t>
      </w:r>
      <w:r>
        <w:t>Chief</w:t>
      </w:r>
      <w:r w:rsidR="00BF059B">
        <w:t xml:space="preserve"> </w:t>
      </w:r>
      <w:r>
        <w:t>Executive</w:t>
      </w:r>
      <w:r w:rsidR="00BF059B">
        <w:t xml:space="preserve"> </w:t>
      </w:r>
      <w:r>
        <w:t>was</w:t>
      </w:r>
      <w:r w:rsidR="00BF059B">
        <w:t xml:space="preserve"> </w:t>
      </w:r>
      <w:r>
        <w:t>appointed</w:t>
      </w:r>
      <w:r w:rsidR="00BF059B">
        <w:t xml:space="preserve"> </w:t>
      </w:r>
      <w:r>
        <w:t>on</w:t>
      </w:r>
      <w:r w:rsidR="00BF059B">
        <w:t xml:space="preserve"> </w:t>
      </w:r>
      <w:r>
        <w:t>17</w:t>
      </w:r>
      <w:r w:rsidR="00BF059B">
        <w:t xml:space="preserve"> </w:t>
      </w:r>
      <w:r>
        <w:t>June</w:t>
      </w:r>
      <w:r w:rsidR="00BF059B">
        <w:t xml:space="preserve"> </w:t>
      </w:r>
      <w:r>
        <w:t>2024,</w:t>
      </w:r>
      <w:r w:rsidR="00BF059B">
        <w:t xml:space="preserve"> </w:t>
      </w:r>
      <w:r>
        <w:t>so</w:t>
      </w:r>
      <w:r w:rsidR="00BF059B">
        <w:t xml:space="preserve"> </w:t>
      </w:r>
      <w:r>
        <w:t>the</w:t>
      </w:r>
      <w:r w:rsidR="00BF059B">
        <w:t xml:space="preserve"> </w:t>
      </w:r>
      <w:r>
        <w:t>remuneration</w:t>
      </w:r>
      <w:r w:rsidR="00BF059B">
        <w:t xml:space="preserve"> </w:t>
      </w:r>
      <w:r>
        <w:t>of</w:t>
      </w:r>
      <w:r w:rsidR="00BF059B">
        <w:t xml:space="preserve"> </w:t>
      </w:r>
      <w:r>
        <w:t>the</w:t>
      </w:r>
      <w:r w:rsidR="00BF059B">
        <w:t xml:space="preserve"> </w:t>
      </w:r>
      <w:r>
        <w:t>new</w:t>
      </w:r>
      <w:r w:rsidR="00BF059B">
        <w:t xml:space="preserve"> </w:t>
      </w:r>
      <w:r>
        <w:t>Chief</w:t>
      </w:r>
      <w:r w:rsidR="00BF059B">
        <w:t xml:space="preserve"> </w:t>
      </w:r>
      <w:r>
        <w:t>Executive</w:t>
      </w:r>
      <w:r w:rsidR="00BF059B">
        <w:t xml:space="preserve"> </w:t>
      </w:r>
      <w:r>
        <w:t>is</w:t>
      </w:r>
      <w:r w:rsidR="00BF059B">
        <w:t xml:space="preserve"> </w:t>
      </w:r>
      <w:r>
        <w:t>not</w:t>
      </w:r>
      <w:r w:rsidR="00BF059B">
        <w:t xml:space="preserve"> </w:t>
      </w:r>
      <w:r>
        <w:t>included</w:t>
      </w:r>
      <w:r w:rsidR="00BF059B">
        <w:t xml:space="preserve"> </w:t>
      </w:r>
      <w:r>
        <w:t>in</w:t>
      </w:r>
      <w:r w:rsidR="00BF059B">
        <w:t xml:space="preserve"> </w:t>
      </w:r>
      <w:r>
        <w:t>the</w:t>
      </w:r>
      <w:r w:rsidR="00BF059B">
        <w:t xml:space="preserve"> </w:t>
      </w:r>
      <w:r>
        <w:t>March</w:t>
      </w:r>
      <w:r w:rsidR="00BF059B">
        <w:t xml:space="preserve"> </w:t>
      </w:r>
      <w:r>
        <w:t>2024</w:t>
      </w:r>
      <w:r w:rsidR="00BF059B">
        <w:t xml:space="preserve"> </w:t>
      </w:r>
      <w:r>
        <w:t>prior</w:t>
      </w:r>
      <w:r w:rsidR="00BF059B">
        <w:t xml:space="preserve"> </w:t>
      </w:r>
      <w:r>
        <w:t>year</w:t>
      </w:r>
      <w:r w:rsidR="00BF059B">
        <w:t xml:space="preserve"> </w:t>
      </w:r>
      <w:r>
        <w:t>figures.</w:t>
      </w:r>
      <w:r w:rsidR="00BF059B">
        <w:t xml:space="preserve"> </w:t>
      </w:r>
    </w:p>
    <w:p w14:paraId="412AF28A" w14:textId="77777777" w:rsidR="00BE13A8" w:rsidRDefault="00BE13A8" w:rsidP="002003FA">
      <w:pPr>
        <w:rPr>
          <w:color w:val="FF0000"/>
        </w:rPr>
      </w:pPr>
    </w:p>
    <w:p w14:paraId="27A77904" w14:textId="021BB33C" w:rsidR="00BE13A8" w:rsidRDefault="00D70530" w:rsidP="002003FA">
      <w:r>
        <w:t>The</w:t>
      </w:r>
      <w:r w:rsidR="00BF059B">
        <w:t xml:space="preserve"> </w:t>
      </w:r>
      <w:r>
        <w:t>salary</w:t>
      </w:r>
      <w:r w:rsidR="00BF059B">
        <w:t xml:space="preserve"> </w:t>
      </w:r>
      <w:r>
        <w:t>and</w:t>
      </w:r>
      <w:r w:rsidR="00BF059B">
        <w:t xml:space="preserve"> </w:t>
      </w:r>
      <w:r>
        <w:t>pension</w:t>
      </w:r>
      <w:r w:rsidR="00BF059B">
        <w:t xml:space="preserve"> </w:t>
      </w:r>
      <w:r>
        <w:t>entitlements</w:t>
      </w:r>
      <w:r w:rsidR="00BF059B">
        <w:t xml:space="preserve"> </w:t>
      </w:r>
      <w:r>
        <w:t>of</w:t>
      </w:r>
      <w:r w:rsidR="00BF059B">
        <w:t xml:space="preserve"> </w:t>
      </w:r>
      <w:r>
        <w:t>the</w:t>
      </w:r>
      <w:r w:rsidR="00BF059B">
        <w:t xml:space="preserve"> </w:t>
      </w:r>
      <w:r>
        <w:t>Chief</w:t>
      </w:r>
      <w:r w:rsidR="00BF059B">
        <w:t xml:space="preserve"> </w:t>
      </w:r>
      <w:r>
        <w:t>Executive</w:t>
      </w:r>
      <w:r w:rsidR="00BF059B">
        <w:t xml:space="preserve"> </w:t>
      </w:r>
      <w:r>
        <w:t>were</w:t>
      </w:r>
      <w:r w:rsidR="00BF059B">
        <w:t xml:space="preserve"> </w:t>
      </w:r>
      <w:r>
        <w:t>as</w:t>
      </w:r>
      <w:r w:rsidR="00BF059B">
        <w:t xml:space="preserve"> </w:t>
      </w:r>
      <w:r>
        <w:t>follows:</w:t>
      </w:r>
    </w:p>
    <w:p w14:paraId="5EDA62F8" w14:textId="77777777" w:rsidR="00BE13A8" w:rsidRDefault="00BE13A8">
      <w:pPr>
        <w:rPr>
          <w:i/>
          <w:color w:val="FF0000"/>
        </w:rPr>
      </w:pPr>
    </w:p>
    <w:p w14:paraId="7B13C019" w14:textId="4E4C5AD3" w:rsidR="00BE13A8" w:rsidRDefault="00033508">
      <w:pPr>
        <w:rPr>
          <w:color w:val="FF0000"/>
        </w:rPr>
      </w:pPr>
      <w:r>
        <w:rPr>
          <w:color w:val="FF0000"/>
        </w:rPr>
        <w:pict w14:anchorId="6DB38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tails of the Chief Executives salary and bonus at year end 2024 and 2025" style="width:470pt;height:139.35pt;mso-position-horizontal:absolute;mso-position-horizontal-relative:text;mso-position-vertical:absolute;mso-position-vertical-relative:text">
            <v:imagedata r:id="rId11" o:title="" cropbottom="10716f"/>
          </v:shape>
        </w:pict>
      </w:r>
    </w:p>
    <w:p w14:paraId="3FBD7086" w14:textId="77777777" w:rsidR="00BE13A8" w:rsidRDefault="00BE13A8">
      <w:pPr>
        <w:rPr>
          <w:i/>
          <w:color w:val="FF0000"/>
        </w:rPr>
      </w:pPr>
    </w:p>
    <w:p w14:paraId="61929ED1" w14:textId="0AE196EE" w:rsidR="00BE13A8" w:rsidRDefault="00D70530" w:rsidP="00BA76E3">
      <w:r>
        <w:t>The</w:t>
      </w:r>
      <w:r w:rsidR="00BF059B">
        <w:t xml:space="preserve"> </w:t>
      </w:r>
      <w:r>
        <w:t>remuneration</w:t>
      </w:r>
      <w:r w:rsidR="00BF059B">
        <w:t xml:space="preserve"> </w:t>
      </w:r>
      <w:r>
        <w:t>of</w:t>
      </w:r>
      <w:r w:rsidR="00BF059B">
        <w:t xml:space="preserve"> </w:t>
      </w:r>
      <w:r>
        <w:t>the</w:t>
      </w:r>
      <w:r w:rsidR="00BF059B">
        <w:t xml:space="preserve"> </w:t>
      </w:r>
      <w:r>
        <w:t>other</w:t>
      </w:r>
      <w:r w:rsidR="00BF059B">
        <w:t xml:space="preserve"> </w:t>
      </w:r>
      <w:r>
        <w:t>members</w:t>
      </w:r>
      <w:r w:rsidR="00BF059B">
        <w:t xml:space="preserve"> </w:t>
      </w:r>
      <w:r>
        <w:t>of</w:t>
      </w:r>
      <w:r w:rsidR="00BF059B">
        <w:t xml:space="preserve"> </w:t>
      </w:r>
      <w:r>
        <w:t>the</w:t>
      </w:r>
      <w:r w:rsidR="00BF059B">
        <w:t xml:space="preserve"> </w:t>
      </w:r>
      <w:r>
        <w:t>Senior</w:t>
      </w:r>
      <w:r w:rsidR="00BF059B">
        <w:t xml:space="preserve"> </w:t>
      </w:r>
      <w:r>
        <w:t>Management</w:t>
      </w:r>
      <w:r w:rsidR="00BF059B">
        <w:t xml:space="preserve"> </w:t>
      </w:r>
      <w:r>
        <w:t>Team</w:t>
      </w:r>
      <w:r w:rsidR="00BF059B">
        <w:t xml:space="preserve"> </w:t>
      </w:r>
      <w:r>
        <w:t>is</w:t>
      </w:r>
      <w:r w:rsidR="00BF059B">
        <w:t xml:space="preserve"> </w:t>
      </w:r>
      <w:r>
        <w:t>determined</w:t>
      </w:r>
      <w:r w:rsidR="00BF059B">
        <w:t xml:space="preserve"> </w:t>
      </w:r>
      <w:r>
        <w:t>as</w:t>
      </w:r>
      <w:r w:rsidR="00BF059B">
        <w:t xml:space="preserve"> </w:t>
      </w:r>
      <w:r>
        <w:t>part</w:t>
      </w:r>
      <w:r w:rsidR="00BF059B">
        <w:t xml:space="preserve"> </w:t>
      </w:r>
      <w:r>
        <w:t>of</w:t>
      </w:r>
      <w:r w:rsidR="00BF059B">
        <w:t xml:space="preserve"> </w:t>
      </w:r>
      <w:r>
        <w:t>the</w:t>
      </w:r>
      <w:r w:rsidR="00BF059B">
        <w:t xml:space="preserve"> </w:t>
      </w:r>
      <w:r>
        <w:t>annual</w:t>
      </w:r>
      <w:r w:rsidR="00BF059B">
        <w:t xml:space="preserve"> </w:t>
      </w:r>
      <w:r>
        <w:t>Pay</w:t>
      </w:r>
      <w:r w:rsidR="00BF059B">
        <w:t xml:space="preserve"> </w:t>
      </w:r>
      <w:r>
        <w:t>Settlement</w:t>
      </w:r>
      <w:r w:rsidR="00BF059B">
        <w:t xml:space="preserve"> </w:t>
      </w:r>
      <w:r>
        <w:t>to</w:t>
      </w:r>
      <w:r w:rsidR="00BF059B">
        <w:t xml:space="preserve"> </w:t>
      </w:r>
      <w:r>
        <w:t>all</w:t>
      </w:r>
      <w:r w:rsidR="00BF059B">
        <w:t xml:space="preserve"> </w:t>
      </w:r>
      <w:r>
        <w:t>staff</w:t>
      </w:r>
      <w:r w:rsidR="00BF059B">
        <w:t xml:space="preserve"> </w:t>
      </w:r>
      <w:r>
        <w:t>which</w:t>
      </w:r>
      <w:r w:rsidR="00BF059B">
        <w:t xml:space="preserve"> </w:t>
      </w:r>
      <w:r>
        <w:t>is</w:t>
      </w:r>
      <w:r w:rsidR="00BF059B">
        <w:t xml:space="preserve"> </w:t>
      </w:r>
      <w:r>
        <w:t>negotiated</w:t>
      </w:r>
      <w:r w:rsidR="00BF059B">
        <w:t xml:space="preserve"> </w:t>
      </w:r>
      <w:r>
        <w:t>with</w:t>
      </w:r>
      <w:r w:rsidR="00BF059B">
        <w:t xml:space="preserve"> </w:t>
      </w:r>
      <w:r>
        <w:t>the</w:t>
      </w:r>
      <w:r w:rsidR="00BF059B">
        <w:t xml:space="preserve"> </w:t>
      </w:r>
      <w:r>
        <w:t>GMB</w:t>
      </w:r>
      <w:r w:rsidR="00BF059B">
        <w:t xml:space="preserve"> </w:t>
      </w:r>
      <w:r>
        <w:t>Union.</w:t>
      </w:r>
      <w:r w:rsidR="00BF059B">
        <w:t xml:space="preserve"> </w:t>
      </w:r>
      <w:r>
        <w:t>They</w:t>
      </w:r>
      <w:r w:rsidR="00BF059B">
        <w:t xml:space="preserve"> </w:t>
      </w:r>
      <w:r>
        <w:t>are</w:t>
      </w:r>
      <w:r w:rsidR="00BF059B">
        <w:t xml:space="preserve"> </w:t>
      </w:r>
      <w:r>
        <w:t>also</w:t>
      </w:r>
      <w:r w:rsidR="00BF059B">
        <w:t xml:space="preserve"> </w:t>
      </w:r>
      <w:r>
        <w:t>members</w:t>
      </w:r>
      <w:r w:rsidR="00BF059B">
        <w:t xml:space="preserve"> </w:t>
      </w:r>
      <w:r>
        <w:t>of</w:t>
      </w:r>
      <w:r w:rsidR="00BF059B">
        <w:t xml:space="preserve"> </w:t>
      </w:r>
      <w:r>
        <w:t>the</w:t>
      </w:r>
      <w:r w:rsidR="00BF059B">
        <w:t xml:space="preserve"> </w:t>
      </w:r>
      <w:r>
        <w:t>defined</w:t>
      </w:r>
      <w:r w:rsidR="00BF059B">
        <w:t xml:space="preserve"> </w:t>
      </w:r>
      <w:r>
        <w:t>benefit</w:t>
      </w:r>
      <w:r w:rsidR="00BF059B">
        <w:t xml:space="preserve"> </w:t>
      </w:r>
      <w:r>
        <w:t>pension</w:t>
      </w:r>
      <w:r w:rsidR="00BF059B">
        <w:t xml:space="preserve"> </w:t>
      </w:r>
      <w:r>
        <w:t>scheme</w:t>
      </w:r>
      <w:r w:rsidR="00BF059B">
        <w:t xml:space="preserve"> </w:t>
      </w:r>
      <w:r>
        <w:t>on</w:t>
      </w:r>
      <w:r w:rsidR="00BF059B">
        <w:t xml:space="preserve"> </w:t>
      </w:r>
      <w:r>
        <w:t>the</w:t>
      </w:r>
      <w:r w:rsidR="00BF059B">
        <w:t xml:space="preserve"> </w:t>
      </w:r>
      <w:r>
        <w:t>same</w:t>
      </w:r>
      <w:r w:rsidR="00BF059B">
        <w:t xml:space="preserve"> </w:t>
      </w:r>
      <w:r>
        <w:t>terms</w:t>
      </w:r>
      <w:r w:rsidR="00BF059B">
        <w:t xml:space="preserve"> </w:t>
      </w:r>
      <w:r>
        <w:t>as</w:t>
      </w:r>
      <w:r w:rsidR="00BF059B">
        <w:t xml:space="preserve"> </w:t>
      </w:r>
      <w:r>
        <w:t>other</w:t>
      </w:r>
      <w:r w:rsidR="00BF059B">
        <w:t xml:space="preserve"> </w:t>
      </w:r>
      <w:r>
        <w:t>staff.</w:t>
      </w:r>
    </w:p>
    <w:p w14:paraId="50E3A578" w14:textId="76A0DE8A" w:rsidR="00BE13A8" w:rsidRDefault="00BE13A8">
      <w:pPr>
        <w:jc w:val="both"/>
        <w:rPr>
          <w:i/>
        </w:rPr>
      </w:pPr>
    </w:p>
    <w:p w14:paraId="148643A1" w14:textId="77777777" w:rsidR="00BA76E3" w:rsidRDefault="00BA76E3" w:rsidP="00BA76E3">
      <w:pPr>
        <w:rPr>
          <w:color w:val="000000"/>
        </w:rPr>
      </w:pPr>
      <w:r>
        <w:rPr>
          <w:color w:val="000000"/>
        </w:rPr>
        <w:t>Michael Salter-Church</w:t>
      </w:r>
    </w:p>
    <w:p w14:paraId="7DDD35C0" w14:textId="77777777" w:rsidR="00BA76E3" w:rsidRDefault="00BA76E3" w:rsidP="00BA76E3">
      <w:pPr>
        <w:tabs>
          <w:tab w:val="left" w:pos="5954"/>
        </w:tabs>
        <w:rPr>
          <w:color w:val="000000"/>
        </w:rPr>
      </w:pPr>
      <w:r>
        <w:rPr>
          <w:color w:val="000000"/>
        </w:rPr>
        <w:t xml:space="preserve">Chair </w:t>
      </w:r>
    </w:p>
    <w:p w14:paraId="2A6404C8" w14:textId="77777777" w:rsidR="00BA76E3" w:rsidRDefault="00BA76E3" w:rsidP="00BA76E3">
      <w:pPr>
        <w:tabs>
          <w:tab w:val="left" w:pos="5954"/>
        </w:tabs>
      </w:pPr>
      <w:r>
        <w:t>Date: 24 July 2025</w:t>
      </w:r>
    </w:p>
    <w:p w14:paraId="5A183436" w14:textId="77777777" w:rsidR="00BA76E3" w:rsidRDefault="00BA76E3" w:rsidP="00BA76E3">
      <w:pPr>
        <w:tabs>
          <w:tab w:val="left" w:pos="5954"/>
        </w:tabs>
      </w:pPr>
    </w:p>
    <w:p w14:paraId="6D97E75D" w14:textId="77777777" w:rsidR="00BA76E3" w:rsidRDefault="00BA76E3" w:rsidP="00BA76E3">
      <w:pPr>
        <w:tabs>
          <w:tab w:val="left" w:pos="5954"/>
        </w:tabs>
      </w:pPr>
      <w:r>
        <w:rPr>
          <w:color w:val="000000"/>
        </w:rPr>
        <w:t>Gordon Seabright</w:t>
      </w:r>
    </w:p>
    <w:p w14:paraId="7793BC44" w14:textId="77777777" w:rsidR="00BA76E3" w:rsidRDefault="00BA76E3" w:rsidP="00BA76E3">
      <w:pPr>
        <w:tabs>
          <w:tab w:val="left" w:pos="5954"/>
        </w:tabs>
        <w:rPr>
          <w:color w:val="000000"/>
        </w:rPr>
      </w:pPr>
      <w:r>
        <w:rPr>
          <w:color w:val="000000"/>
        </w:rPr>
        <w:t>Accounting Officer</w:t>
      </w:r>
    </w:p>
    <w:p w14:paraId="79AA62AD" w14:textId="77777777" w:rsidR="00BA76E3" w:rsidRDefault="00BA76E3" w:rsidP="00BA76E3">
      <w:pPr>
        <w:tabs>
          <w:tab w:val="left" w:pos="5954"/>
        </w:tabs>
      </w:pPr>
      <w:r>
        <w:t>Date: 24 July 2025</w:t>
      </w:r>
    </w:p>
    <w:p w14:paraId="2B25FB6E" w14:textId="77777777" w:rsidR="00BE13A8" w:rsidRDefault="00BE13A8">
      <w:pPr>
        <w:rPr>
          <w:i/>
        </w:rPr>
      </w:pPr>
    </w:p>
    <w:p w14:paraId="7ADD883B" w14:textId="77777777" w:rsidR="00BA76E3" w:rsidRDefault="00BA76E3"/>
    <w:p w14:paraId="6B2B80FA" w14:textId="190F7CD4" w:rsidR="00BE13A8" w:rsidRPr="00BA76E3" w:rsidRDefault="00D70530" w:rsidP="00BA76E3">
      <w:pPr>
        <w:pStyle w:val="Heading2"/>
      </w:pPr>
      <w:r w:rsidRPr="00BA76E3">
        <w:t>Statement</w:t>
      </w:r>
      <w:r w:rsidR="00BF059B" w:rsidRPr="00BA76E3">
        <w:t xml:space="preserve"> </w:t>
      </w:r>
      <w:r w:rsidRPr="00BA76E3">
        <w:t>of</w:t>
      </w:r>
      <w:r w:rsidR="00BF059B" w:rsidRPr="00BA76E3">
        <w:t xml:space="preserve"> </w:t>
      </w:r>
      <w:r w:rsidRPr="00BA76E3">
        <w:t>Trustees’</w:t>
      </w:r>
      <w:r w:rsidR="00BF059B" w:rsidRPr="00BA76E3">
        <w:t xml:space="preserve"> </w:t>
      </w:r>
      <w:r w:rsidRPr="00BA76E3">
        <w:t>and</w:t>
      </w:r>
      <w:r w:rsidR="00BF059B" w:rsidRPr="00BA76E3">
        <w:t xml:space="preserve"> </w:t>
      </w:r>
      <w:r w:rsidRPr="00BA76E3">
        <w:t>Chief</w:t>
      </w:r>
      <w:r w:rsidR="00BF059B" w:rsidRPr="00BA76E3">
        <w:t xml:space="preserve"> </w:t>
      </w:r>
      <w:r w:rsidRPr="00BA76E3">
        <w:t>Executive’s</w:t>
      </w:r>
      <w:r w:rsidR="00BF059B" w:rsidRPr="00BA76E3">
        <w:t xml:space="preserve"> </w:t>
      </w:r>
      <w:r w:rsidRPr="00BA76E3">
        <w:t>Responsibilities</w:t>
      </w:r>
      <w:r w:rsidR="00BF059B" w:rsidRPr="00BA76E3">
        <w:t xml:space="preserve"> </w:t>
      </w:r>
    </w:p>
    <w:p w14:paraId="7EFFE4BD" w14:textId="77777777" w:rsidR="00BE13A8" w:rsidRDefault="00BE13A8">
      <w:pPr>
        <w:pBdr>
          <w:top w:val="nil"/>
          <w:left w:val="nil"/>
          <w:bottom w:val="nil"/>
          <w:right w:val="nil"/>
          <w:between w:val="nil"/>
        </w:pBdr>
        <w:rPr>
          <w:color w:val="000000"/>
        </w:rPr>
      </w:pPr>
    </w:p>
    <w:p w14:paraId="39F7127C" w14:textId="7E15D56C" w:rsidR="00BE13A8" w:rsidRDefault="00D70530" w:rsidP="00BA76E3">
      <w:pPr>
        <w:pBdr>
          <w:top w:val="nil"/>
          <w:left w:val="nil"/>
          <w:bottom w:val="nil"/>
          <w:right w:val="nil"/>
          <w:between w:val="nil"/>
        </w:pBdr>
        <w:rPr>
          <w:color w:val="000000"/>
        </w:rPr>
      </w:pPr>
      <w:r>
        <w:rPr>
          <w:color w:val="000000"/>
        </w:rPr>
        <w:t>The</w:t>
      </w:r>
      <w:r w:rsidR="00BF059B">
        <w:rPr>
          <w:color w:val="000000"/>
        </w:rPr>
        <w:t xml:space="preserve"> </w:t>
      </w:r>
      <w:r>
        <w:rPr>
          <w:color w:val="000000"/>
        </w:rPr>
        <w:t>Trustees</w:t>
      </w:r>
      <w:r w:rsidR="00BF059B">
        <w:rPr>
          <w:color w:val="000000"/>
        </w:rPr>
        <w:t xml:space="preserve"> </w:t>
      </w:r>
      <w:r>
        <w:rPr>
          <w:color w:val="000000"/>
        </w:rPr>
        <w:t>are</w:t>
      </w:r>
      <w:r w:rsidR="00BF059B">
        <w:rPr>
          <w:color w:val="000000"/>
        </w:rPr>
        <w:t xml:space="preserve"> </w:t>
      </w:r>
      <w:r>
        <w:rPr>
          <w:color w:val="000000"/>
        </w:rPr>
        <w:t>responsible</w:t>
      </w:r>
      <w:r w:rsidR="00BF059B">
        <w:rPr>
          <w:color w:val="000000"/>
        </w:rPr>
        <w:t xml:space="preserve"> </w:t>
      </w:r>
      <w:r>
        <w:rPr>
          <w:color w:val="000000"/>
        </w:rPr>
        <w:t>for</w:t>
      </w:r>
      <w:r w:rsidR="00BF059B">
        <w:rPr>
          <w:color w:val="000000"/>
        </w:rPr>
        <w:t xml:space="preserve"> </w:t>
      </w:r>
      <w:r>
        <w:rPr>
          <w:color w:val="000000"/>
        </w:rPr>
        <w:t>preparing</w:t>
      </w:r>
      <w:r w:rsidR="00BF059B">
        <w:rPr>
          <w:color w:val="000000"/>
        </w:rPr>
        <w:t xml:space="preserve"> </w:t>
      </w:r>
      <w:r>
        <w:rPr>
          <w:color w:val="000000"/>
        </w:rPr>
        <w:t>the</w:t>
      </w:r>
      <w:r w:rsidR="00BF059B">
        <w:rPr>
          <w:color w:val="000000"/>
        </w:rPr>
        <w:t xml:space="preserve"> </w:t>
      </w:r>
      <w:r>
        <w:rPr>
          <w:color w:val="000000"/>
        </w:rPr>
        <w:t>Annual</w:t>
      </w:r>
      <w:r w:rsidR="00BF059B">
        <w:rPr>
          <w:color w:val="000000"/>
        </w:rPr>
        <w:t xml:space="preserve"> </w:t>
      </w:r>
      <w:r>
        <w:rPr>
          <w:color w:val="000000"/>
        </w:rPr>
        <w:t>Report</w:t>
      </w:r>
      <w:r w:rsidR="00BF059B">
        <w:rPr>
          <w:color w:val="000000"/>
        </w:rPr>
        <w:t xml:space="preserve"> </w:t>
      </w:r>
      <w:r>
        <w:rPr>
          <w:color w:val="000000"/>
        </w:rPr>
        <w:t>and</w:t>
      </w:r>
      <w:r w:rsidR="00BF059B">
        <w:rPr>
          <w:color w:val="000000"/>
        </w:rPr>
        <w:t xml:space="preserve"> </w:t>
      </w:r>
      <w:r>
        <w:rPr>
          <w:color w:val="000000"/>
        </w:rPr>
        <w:t>the</w:t>
      </w:r>
      <w:r w:rsidR="00BF059B">
        <w:rPr>
          <w:color w:val="000000"/>
        </w:rPr>
        <w:t xml:space="preserve"> </w:t>
      </w:r>
      <w:r>
        <w:rPr>
          <w:color w:val="000000"/>
        </w:rPr>
        <w:t>financial</w:t>
      </w:r>
      <w:r w:rsidR="00BF059B">
        <w:rPr>
          <w:color w:val="000000"/>
        </w:rPr>
        <w:t xml:space="preserve"> </w:t>
      </w:r>
      <w:r>
        <w:rPr>
          <w:color w:val="000000"/>
        </w:rPr>
        <w:t>statements</w:t>
      </w:r>
      <w:r w:rsidR="00BF059B">
        <w:rPr>
          <w:color w:val="000000"/>
        </w:rPr>
        <w:t xml:space="preserve"> </w:t>
      </w:r>
      <w:r>
        <w:rPr>
          <w:color w:val="000000"/>
        </w:rPr>
        <w:t>in</w:t>
      </w:r>
      <w:r w:rsidR="00BF059B">
        <w:rPr>
          <w:color w:val="000000"/>
        </w:rPr>
        <w:t xml:space="preserve"> </w:t>
      </w:r>
      <w:r>
        <w:rPr>
          <w:color w:val="000000"/>
        </w:rPr>
        <w:t>accordance</w:t>
      </w:r>
      <w:r w:rsidR="00BF059B">
        <w:rPr>
          <w:color w:val="000000"/>
        </w:rPr>
        <w:t xml:space="preserve"> </w:t>
      </w:r>
      <w:r>
        <w:rPr>
          <w:color w:val="000000"/>
        </w:rPr>
        <w:t>with</w:t>
      </w:r>
      <w:r w:rsidR="00BF059B">
        <w:rPr>
          <w:color w:val="000000"/>
        </w:rPr>
        <w:t xml:space="preserve"> </w:t>
      </w:r>
      <w:r>
        <w:rPr>
          <w:color w:val="000000"/>
        </w:rPr>
        <w:t>the</w:t>
      </w:r>
      <w:r w:rsidR="00BF059B">
        <w:rPr>
          <w:color w:val="000000"/>
        </w:rPr>
        <w:t xml:space="preserve"> </w:t>
      </w:r>
      <w:r>
        <w:rPr>
          <w:color w:val="000000"/>
        </w:rPr>
        <w:t>Companies</w:t>
      </w:r>
      <w:r w:rsidR="00BF059B">
        <w:rPr>
          <w:color w:val="000000"/>
        </w:rPr>
        <w:t xml:space="preserve"> </w:t>
      </w:r>
      <w:r>
        <w:rPr>
          <w:color w:val="000000"/>
        </w:rPr>
        <w:t>Act</w:t>
      </w:r>
      <w:r w:rsidR="00BF059B">
        <w:rPr>
          <w:color w:val="000000"/>
        </w:rPr>
        <w:t xml:space="preserve"> </w:t>
      </w:r>
      <w:r>
        <w:rPr>
          <w:color w:val="000000"/>
        </w:rPr>
        <w:t>2006</w:t>
      </w:r>
      <w:r w:rsidR="00BF059B">
        <w:rPr>
          <w:color w:val="000000"/>
        </w:rPr>
        <w:t xml:space="preserve"> </w:t>
      </w:r>
      <w:r>
        <w:rPr>
          <w:color w:val="000000"/>
        </w:rPr>
        <w:t>and</w:t>
      </w:r>
      <w:r w:rsidR="00BF059B">
        <w:rPr>
          <w:color w:val="000000"/>
        </w:rPr>
        <w:t xml:space="preserve"> </w:t>
      </w:r>
      <w:r>
        <w:rPr>
          <w:color w:val="000000"/>
        </w:rPr>
        <w:t>the</w:t>
      </w:r>
      <w:r w:rsidR="00BF059B">
        <w:rPr>
          <w:color w:val="000000"/>
        </w:rPr>
        <w:t xml:space="preserve"> </w:t>
      </w:r>
      <w:r>
        <w:rPr>
          <w:color w:val="000000"/>
        </w:rPr>
        <w:t>Accounts</w:t>
      </w:r>
      <w:r w:rsidR="00BF059B">
        <w:rPr>
          <w:color w:val="000000"/>
        </w:rPr>
        <w:t xml:space="preserve"> </w:t>
      </w:r>
      <w:r>
        <w:rPr>
          <w:color w:val="000000"/>
        </w:rPr>
        <w:t>Direction</w:t>
      </w:r>
      <w:r w:rsidR="00BF059B">
        <w:rPr>
          <w:color w:val="000000"/>
        </w:rPr>
        <w:t xml:space="preserve"> </w:t>
      </w:r>
      <w:r>
        <w:rPr>
          <w:color w:val="000000"/>
        </w:rPr>
        <w:t>issued</w:t>
      </w:r>
      <w:r w:rsidR="00BF059B">
        <w:rPr>
          <w:color w:val="000000"/>
        </w:rPr>
        <w:t xml:space="preserve"> </w:t>
      </w:r>
      <w:r>
        <w:rPr>
          <w:color w:val="000000"/>
        </w:rPr>
        <w:t>by</w:t>
      </w:r>
      <w:r w:rsidR="00BF059B">
        <w:rPr>
          <w:color w:val="000000"/>
        </w:rPr>
        <w:t xml:space="preserve"> </w:t>
      </w:r>
      <w:r>
        <w:rPr>
          <w:color w:val="000000"/>
        </w:rPr>
        <w:t>the</w:t>
      </w:r>
      <w:r w:rsidR="00BF059B">
        <w:rPr>
          <w:color w:val="000000"/>
        </w:rPr>
        <w:t xml:space="preserve"> </w:t>
      </w:r>
      <w:r>
        <w:rPr>
          <w:color w:val="000000"/>
        </w:rPr>
        <w:t>Secretary</w:t>
      </w:r>
      <w:r w:rsidR="00BF059B">
        <w:rPr>
          <w:color w:val="000000"/>
        </w:rPr>
        <w:t xml:space="preserve"> </w:t>
      </w:r>
      <w:r>
        <w:rPr>
          <w:color w:val="000000"/>
        </w:rPr>
        <w:t>of</w:t>
      </w:r>
      <w:r w:rsidR="00BF059B">
        <w:rPr>
          <w:color w:val="000000"/>
        </w:rPr>
        <w:t xml:space="preserve"> </w:t>
      </w:r>
      <w:r>
        <w:rPr>
          <w:color w:val="000000"/>
        </w:rPr>
        <w:t>State</w:t>
      </w:r>
      <w:r w:rsidR="00BF059B">
        <w:rPr>
          <w:color w:val="000000"/>
        </w:rPr>
        <w:t xml:space="preserve"> </w:t>
      </w:r>
      <w:r>
        <w:rPr>
          <w:color w:val="000000"/>
        </w:rPr>
        <w:t>for</w:t>
      </w:r>
      <w:r w:rsidR="00BF059B">
        <w:rPr>
          <w:color w:val="000000"/>
        </w:rPr>
        <w:t xml:space="preserve"> </w:t>
      </w:r>
      <w:r>
        <w:rPr>
          <w:color w:val="000000"/>
        </w:rPr>
        <w:t>DCMS,</w:t>
      </w:r>
      <w:r w:rsidR="00BF059B">
        <w:rPr>
          <w:color w:val="000000"/>
        </w:rPr>
        <w:t xml:space="preserve"> </w:t>
      </w:r>
      <w:r>
        <w:rPr>
          <w:color w:val="000000"/>
        </w:rPr>
        <w:t>with</w:t>
      </w:r>
      <w:r w:rsidR="00BF059B">
        <w:rPr>
          <w:color w:val="000000"/>
        </w:rPr>
        <w:t xml:space="preserve"> </w:t>
      </w:r>
      <w:r>
        <w:rPr>
          <w:color w:val="000000"/>
        </w:rPr>
        <w:t>the</w:t>
      </w:r>
      <w:r w:rsidR="00BF059B">
        <w:rPr>
          <w:color w:val="000000"/>
        </w:rPr>
        <w:t xml:space="preserve"> </w:t>
      </w:r>
      <w:r>
        <w:rPr>
          <w:color w:val="000000"/>
        </w:rPr>
        <w:t>approval</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Treasury,</w:t>
      </w:r>
      <w:r w:rsidR="00BF059B">
        <w:rPr>
          <w:color w:val="000000"/>
        </w:rPr>
        <w:t xml:space="preserve"> </w:t>
      </w:r>
      <w:r>
        <w:rPr>
          <w:color w:val="000000"/>
        </w:rPr>
        <w:t>and</w:t>
      </w:r>
      <w:r w:rsidR="00BF059B">
        <w:rPr>
          <w:color w:val="000000"/>
        </w:rPr>
        <w:t xml:space="preserve"> </w:t>
      </w:r>
      <w:r>
        <w:rPr>
          <w:color w:val="000000"/>
        </w:rPr>
        <w:t>for</w:t>
      </w:r>
      <w:r w:rsidR="00BF059B">
        <w:rPr>
          <w:color w:val="000000"/>
        </w:rPr>
        <w:t xml:space="preserve"> </w:t>
      </w:r>
      <w:r>
        <w:rPr>
          <w:color w:val="000000"/>
        </w:rPr>
        <w:t>being</w:t>
      </w:r>
      <w:r w:rsidR="00BF059B">
        <w:rPr>
          <w:color w:val="000000"/>
        </w:rPr>
        <w:t xml:space="preserve"> </w:t>
      </w:r>
      <w:r>
        <w:rPr>
          <w:color w:val="000000"/>
        </w:rPr>
        <w:t>satisfied</w:t>
      </w:r>
      <w:r w:rsidR="00BF059B">
        <w:rPr>
          <w:color w:val="000000"/>
        </w:rPr>
        <w:t xml:space="preserve"> </w:t>
      </w:r>
      <w:r>
        <w:rPr>
          <w:color w:val="000000"/>
        </w:rPr>
        <w:t>that</w:t>
      </w:r>
      <w:r w:rsidR="00BF059B">
        <w:rPr>
          <w:color w:val="000000"/>
        </w:rPr>
        <w:t xml:space="preserve"> </w:t>
      </w:r>
      <w:r>
        <w:rPr>
          <w:color w:val="000000"/>
        </w:rPr>
        <w:t>the</w:t>
      </w:r>
      <w:r w:rsidR="00BF059B">
        <w:rPr>
          <w:color w:val="000000"/>
        </w:rPr>
        <w:t xml:space="preserve"> </w:t>
      </w:r>
      <w:r>
        <w:rPr>
          <w:color w:val="000000"/>
        </w:rPr>
        <w:t>financial</w:t>
      </w:r>
      <w:r w:rsidR="00BF059B">
        <w:rPr>
          <w:color w:val="000000"/>
        </w:rPr>
        <w:t xml:space="preserve"> </w:t>
      </w:r>
      <w:r>
        <w:rPr>
          <w:color w:val="000000"/>
        </w:rPr>
        <w:t>statements</w:t>
      </w:r>
      <w:r w:rsidR="00BF059B">
        <w:rPr>
          <w:color w:val="000000"/>
        </w:rPr>
        <w:t xml:space="preserve"> </w:t>
      </w:r>
      <w:r>
        <w:rPr>
          <w:color w:val="000000"/>
        </w:rPr>
        <w:t>give</w:t>
      </w:r>
      <w:r w:rsidR="00BF059B">
        <w:rPr>
          <w:color w:val="000000"/>
        </w:rPr>
        <w:t xml:space="preserve"> </w:t>
      </w:r>
      <w:r>
        <w:rPr>
          <w:color w:val="000000"/>
        </w:rPr>
        <w:t>a</w:t>
      </w:r>
      <w:r w:rsidR="00BF059B">
        <w:rPr>
          <w:color w:val="000000"/>
        </w:rPr>
        <w:t xml:space="preserve"> </w:t>
      </w:r>
      <w:r>
        <w:rPr>
          <w:color w:val="000000"/>
        </w:rPr>
        <w:t>true</w:t>
      </w:r>
      <w:r w:rsidR="00BF059B">
        <w:rPr>
          <w:color w:val="000000"/>
        </w:rPr>
        <w:t xml:space="preserve"> </w:t>
      </w:r>
      <w:r>
        <w:rPr>
          <w:color w:val="000000"/>
        </w:rPr>
        <w:t>and</w:t>
      </w:r>
      <w:r w:rsidR="00BF059B">
        <w:rPr>
          <w:color w:val="000000"/>
        </w:rPr>
        <w:t xml:space="preserve"> </w:t>
      </w:r>
      <w:r>
        <w:rPr>
          <w:color w:val="000000"/>
        </w:rPr>
        <w:t>fair</w:t>
      </w:r>
      <w:r w:rsidR="00BF059B">
        <w:rPr>
          <w:color w:val="000000"/>
        </w:rPr>
        <w:t xml:space="preserve"> </w:t>
      </w:r>
      <w:r>
        <w:rPr>
          <w:color w:val="000000"/>
        </w:rPr>
        <w:t>view.</w:t>
      </w:r>
      <w:r w:rsidR="00BF059B">
        <w:rPr>
          <w:color w:val="000000"/>
        </w:rPr>
        <w:t xml:space="preserve"> </w:t>
      </w:r>
      <w:r>
        <w:rPr>
          <w:color w:val="000000"/>
        </w:rPr>
        <w:t>The</w:t>
      </w:r>
      <w:r w:rsidR="00BF059B">
        <w:rPr>
          <w:color w:val="000000"/>
        </w:rPr>
        <w:t xml:space="preserve"> </w:t>
      </w:r>
      <w:r>
        <w:rPr>
          <w:color w:val="000000"/>
        </w:rPr>
        <w:t>Trustees</w:t>
      </w:r>
      <w:r w:rsidR="00BF059B">
        <w:rPr>
          <w:color w:val="000000"/>
        </w:rPr>
        <w:t xml:space="preserve"> </w:t>
      </w:r>
      <w:r>
        <w:rPr>
          <w:color w:val="000000"/>
        </w:rPr>
        <w:t>are</w:t>
      </w:r>
      <w:r w:rsidR="00BF059B">
        <w:rPr>
          <w:color w:val="000000"/>
        </w:rPr>
        <w:t xml:space="preserve"> </w:t>
      </w:r>
      <w:r>
        <w:rPr>
          <w:color w:val="000000"/>
        </w:rPr>
        <w:t>also</w:t>
      </w:r>
      <w:r w:rsidR="00BF059B">
        <w:rPr>
          <w:color w:val="000000"/>
        </w:rPr>
        <w:t xml:space="preserve"> </w:t>
      </w:r>
      <w:r>
        <w:rPr>
          <w:color w:val="000000"/>
        </w:rPr>
        <w:t>responsible</w:t>
      </w:r>
      <w:r w:rsidR="00BF059B">
        <w:rPr>
          <w:color w:val="000000"/>
        </w:rPr>
        <w:t xml:space="preserve"> </w:t>
      </w:r>
      <w:r>
        <w:rPr>
          <w:color w:val="000000"/>
        </w:rPr>
        <w:t>for</w:t>
      </w:r>
      <w:r w:rsidR="00BF059B">
        <w:rPr>
          <w:color w:val="000000"/>
        </w:rPr>
        <w:t xml:space="preserve"> </w:t>
      </w:r>
      <w:r>
        <w:rPr>
          <w:color w:val="000000"/>
        </w:rPr>
        <w:t>preparing</w:t>
      </w:r>
      <w:r w:rsidR="00BF059B">
        <w:rPr>
          <w:color w:val="000000"/>
        </w:rPr>
        <w:t xml:space="preserve"> </w:t>
      </w:r>
      <w:r>
        <w:rPr>
          <w:color w:val="000000"/>
        </w:rPr>
        <w:t>the</w:t>
      </w:r>
      <w:r w:rsidR="00BF059B">
        <w:rPr>
          <w:color w:val="000000"/>
        </w:rPr>
        <w:t xml:space="preserve"> </w:t>
      </w:r>
      <w:r>
        <w:rPr>
          <w:color w:val="000000"/>
        </w:rPr>
        <w:t>financial</w:t>
      </w:r>
      <w:r w:rsidR="00BF059B">
        <w:rPr>
          <w:color w:val="000000"/>
        </w:rPr>
        <w:t xml:space="preserve"> </w:t>
      </w:r>
      <w:r>
        <w:rPr>
          <w:color w:val="000000"/>
        </w:rPr>
        <w:t>statements</w:t>
      </w:r>
      <w:r w:rsidR="00BF059B">
        <w:rPr>
          <w:color w:val="000000"/>
        </w:rPr>
        <w:t xml:space="preserve"> </w:t>
      </w:r>
      <w:r>
        <w:rPr>
          <w:color w:val="000000"/>
        </w:rPr>
        <w:t>in</w:t>
      </w:r>
      <w:r w:rsidR="00BF059B">
        <w:rPr>
          <w:color w:val="000000"/>
        </w:rPr>
        <w:t xml:space="preserve"> </w:t>
      </w:r>
      <w:r>
        <w:rPr>
          <w:color w:val="000000"/>
        </w:rPr>
        <w:t>accordance</w:t>
      </w:r>
      <w:r w:rsidR="00BF059B">
        <w:rPr>
          <w:color w:val="000000"/>
        </w:rPr>
        <w:t xml:space="preserve"> </w:t>
      </w:r>
      <w:r>
        <w:rPr>
          <w:color w:val="000000"/>
        </w:rPr>
        <w:t>with</w:t>
      </w:r>
      <w:r w:rsidR="00BF059B">
        <w:rPr>
          <w:color w:val="000000"/>
        </w:rPr>
        <w:t xml:space="preserve"> </w:t>
      </w:r>
      <w:r>
        <w:rPr>
          <w:color w:val="000000"/>
        </w:rPr>
        <w:t>United</w:t>
      </w:r>
      <w:r w:rsidR="00BF059B">
        <w:rPr>
          <w:color w:val="000000"/>
        </w:rPr>
        <w:t xml:space="preserve"> </w:t>
      </w:r>
      <w:r>
        <w:rPr>
          <w:color w:val="000000"/>
        </w:rPr>
        <w:t>Kingdom</w:t>
      </w:r>
      <w:r w:rsidR="00BF059B">
        <w:rPr>
          <w:color w:val="000000"/>
        </w:rPr>
        <w:t xml:space="preserve"> </w:t>
      </w:r>
      <w:r>
        <w:rPr>
          <w:color w:val="000000"/>
        </w:rPr>
        <w:t>Accounting</w:t>
      </w:r>
      <w:r w:rsidR="00BF059B">
        <w:rPr>
          <w:color w:val="000000"/>
        </w:rPr>
        <w:t xml:space="preserve"> </w:t>
      </w:r>
      <w:r>
        <w:rPr>
          <w:color w:val="000000"/>
        </w:rPr>
        <w:t>Standards</w:t>
      </w:r>
      <w:r w:rsidR="00BF059B">
        <w:rPr>
          <w:color w:val="000000"/>
        </w:rPr>
        <w:t xml:space="preserve"> </w:t>
      </w:r>
      <w:r>
        <w:rPr>
          <w:color w:val="000000"/>
        </w:rPr>
        <w:t>(United</w:t>
      </w:r>
      <w:r w:rsidR="00BF059B">
        <w:rPr>
          <w:color w:val="000000"/>
        </w:rPr>
        <w:t xml:space="preserve"> </w:t>
      </w:r>
      <w:r>
        <w:rPr>
          <w:color w:val="000000"/>
        </w:rPr>
        <w:t>Kingdom</w:t>
      </w:r>
      <w:r w:rsidR="00BF059B">
        <w:rPr>
          <w:color w:val="000000"/>
        </w:rPr>
        <w:t xml:space="preserve"> </w:t>
      </w:r>
      <w:r>
        <w:rPr>
          <w:color w:val="000000"/>
        </w:rPr>
        <w:t>Generally</w:t>
      </w:r>
      <w:r w:rsidR="00BF059B">
        <w:rPr>
          <w:color w:val="000000"/>
        </w:rPr>
        <w:t xml:space="preserve"> </w:t>
      </w:r>
      <w:r>
        <w:rPr>
          <w:color w:val="000000"/>
        </w:rPr>
        <w:t>Accepted</w:t>
      </w:r>
      <w:r w:rsidR="00BF059B">
        <w:rPr>
          <w:color w:val="000000"/>
        </w:rPr>
        <w:t xml:space="preserve"> </w:t>
      </w:r>
      <w:r>
        <w:rPr>
          <w:color w:val="000000"/>
        </w:rPr>
        <w:t>Accounting</w:t>
      </w:r>
      <w:r w:rsidR="00BF059B">
        <w:rPr>
          <w:color w:val="000000"/>
        </w:rPr>
        <w:t xml:space="preserve"> </w:t>
      </w:r>
      <w:r>
        <w:rPr>
          <w:color w:val="000000"/>
        </w:rPr>
        <w:t>Practice).</w:t>
      </w:r>
    </w:p>
    <w:p w14:paraId="568CE135" w14:textId="77777777" w:rsidR="00BE13A8" w:rsidRDefault="00BE13A8" w:rsidP="00BA76E3">
      <w:pPr>
        <w:pBdr>
          <w:top w:val="nil"/>
          <w:left w:val="nil"/>
          <w:bottom w:val="nil"/>
          <w:right w:val="nil"/>
          <w:between w:val="nil"/>
        </w:pBdr>
        <w:rPr>
          <w:color w:val="000000"/>
        </w:rPr>
      </w:pPr>
    </w:p>
    <w:p w14:paraId="75A89700" w14:textId="70C087E3" w:rsidR="00BE13A8" w:rsidRDefault="00D70530" w:rsidP="00BA76E3">
      <w:pPr>
        <w:pBdr>
          <w:top w:val="nil"/>
          <w:left w:val="nil"/>
          <w:bottom w:val="nil"/>
          <w:right w:val="nil"/>
          <w:between w:val="nil"/>
        </w:pBdr>
        <w:rPr>
          <w:color w:val="000000"/>
        </w:rPr>
      </w:pPr>
      <w:r>
        <w:rPr>
          <w:color w:val="000000"/>
        </w:rPr>
        <w:t>Company</w:t>
      </w:r>
      <w:r w:rsidR="00BF059B">
        <w:rPr>
          <w:color w:val="000000"/>
        </w:rPr>
        <w:t xml:space="preserve"> </w:t>
      </w:r>
      <w:r>
        <w:rPr>
          <w:color w:val="000000"/>
        </w:rPr>
        <w:t>law</w:t>
      </w:r>
      <w:r w:rsidR="00BF059B">
        <w:rPr>
          <w:color w:val="000000"/>
        </w:rPr>
        <w:t xml:space="preserve"> </w:t>
      </w:r>
      <w:r>
        <w:rPr>
          <w:color w:val="000000"/>
        </w:rPr>
        <w:t>requires</w:t>
      </w:r>
      <w:r w:rsidR="00BF059B">
        <w:rPr>
          <w:color w:val="000000"/>
        </w:rPr>
        <w:t xml:space="preserve"> </w:t>
      </w:r>
      <w:r>
        <w:rPr>
          <w:color w:val="000000"/>
        </w:rPr>
        <w:t>the</w:t>
      </w:r>
      <w:r w:rsidR="00BF059B">
        <w:rPr>
          <w:color w:val="000000"/>
        </w:rPr>
        <w:t xml:space="preserve"> </w:t>
      </w:r>
      <w:r>
        <w:rPr>
          <w:color w:val="000000"/>
        </w:rPr>
        <w:t>Trustees</w:t>
      </w:r>
      <w:r w:rsidR="00BF059B">
        <w:rPr>
          <w:color w:val="000000"/>
        </w:rPr>
        <w:t xml:space="preserve"> </w:t>
      </w:r>
      <w:r>
        <w:rPr>
          <w:color w:val="000000"/>
        </w:rPr>
        <w:t>to</w:t>
      </w:r>
      <w:r w:rsidR="00BF059B">
        <w:rPr>
          <w:color w:val="000000"/>
        </w:rPr>
        <w:t xml:space="preserve"> </w:t>
      </w:r>
      <w:r>
        <w:rPr>
          <w:color w:val="000000"/>
        </w:rPr>
        <w:t>prepare</w:t>
      </w:r>
      <w:r w:rsidR="00BF059B">
        <w:rPr>
          <w:color w:val="000000"/>
        </w:rPr>
        <w:t xml:space="preserve"> </w:t>
      </w:r>
      <w:r>
        <w:rPr>
          <w:color w:val="000000"/>
        </w:rPr>
        <w:t>financial</w:t>
      </w:r>
      <w:r w:rsidR="00BF059B">
        <w:rPr>
          <w:color w:val="000000"/>
        </w:rPr>
        <w:t xml:space="preserve"> </w:t>
      </w:r>
      <w:r>
        <w:rPr>
          <w:color w:val="000000"/>
        </w:rPr>
        <w:t>statements</w:t>
      </w:r>
      <w:r w:rsidR="00BF059B">
        <w:rPr>
          <w:color w:val="000000"/>
        </w:rPr>
        <w:t xml:space="preserve"> </w:t>
      </w:r>
      <w:r>
        <w:rPr>
          <w:color w:val="000000"/>
        </w:rPr>
        <w:t>for</w:t>
      </w:r>
      <w:r w:rsidR="00BF059B">
        <w:rPr>
          <w:color w:val="000000"/>
        </w:rPr>
        <w:t xml:space="preserve"> </w:t>
      </w:r>
      <w:r>
        <w:rPr>
          <w:color w:val="000000"/>
        </w:rPr>
        <w:t>each</w:t>
      </w:r>
      <w:r w:rsidR="00BF059B">
        <w:rPr>
          <w:color w:val="000000"/>
        </w:rPr>
        <w:t xml:space="preserve"> </w:t>
      </w:r>
      <w:r>
        <w:rPr>
          <w:color w:val="000000"/>
        </w:rPr>
        <w:t>financial</w:t>
      </w:r>
      <w:r w:rsidR="00BF059B">
        <w:rPr>
          <w:color w:val="000000"/>
        </w:rPr>
        <w:t xml:space="preserve"> </w:t>
      </w:r>
      <w:r>
        <w:rPr>
          <w:color w:val="000000"/>
        </w:rPr>
        <w:t>year</w:t>
      </w:r>
      <w:r w:rsidR="00BF059B">
        <w:rPr>
          <w:color w:val="000000"/>
        </w:rPr>
        <w:t xml:space="preserve"> </w:t>
      </w:r>
      <w:r>
        <w:rPr>
          <w:color w:val="000000"/>
        </w:rPr>
        <w:t>which</w:t>
      </w:r>
      <w:r w:rsidR="00BF059B">
        <w:rPr>
          <w:color w:val="000000"/>
        </w:rPr>
        <w:t xml:space="preserve"> </w:t>
      </w:r>
      <w:r>
        <w:rPr>
          <w:color w:val="000000"/>
        </w:rPr>
        <w:t>give</w:t>
      </w:r>
      <w:r w:rsidR="00BF059B">
        <w:rPr>
          <w:color w:val="000000"/>
        </w:rPr>
        <w:t xml:space="preserve"> </w:t>
      </w:r>
      <w:r>
        <w:rPr>
          <w:color w:val="000000"/>
        </w:rPr>
        <w:t>a</w:t>
      </w:r>
      <w:r w:rsidR="00BF059B">
        <w:rPr>
          <w:color w:val="000000"/>
        </w:rPr>
        <w:t xml:space="preserve"> </w:t>
      </w:r>
      <w:r>
        <w:rPr>
          <w:color w:val="000000"/>
        </w:rPr>
        <w:t>true</w:t>
      </w:r>
      <w:r w:rsidR="00BF059B">
        <w:rPr>
          <w:color w:val="000000"/>
        </w:rPr>
        <w:t xml:space="preserve"> </w:t>
      </w:r>
      <w:r>
        <w:rPr>
          <w:color w:val="000000"/>
        </w:rPr>
        <w:t>and</w:t>
      </w:r>
      <w:r w:rsidR="00BF059B">
        <w:rPr>
          <w:color w:val="000000"/>
        </w:rPr>
        <w:t xml:space="preserve"> </w:t>
      </w:r>
      <w:r>
        <w:rPr>
          <w:color w:val="000000"/>
        </w:rPr>
        <w:t>fair</w:t>
      </w:r>
      <w:r w:rsidR="00BF059B">
        <w:rPr>
          <w:color w:val="000000"/>
        </w:rPr>
        <w:t xml:space="preserve"> </w:t>
      </w:r>
      <w:r>
        <w:rPr>
          <w:color w:val="000000"/>
        </w:rPr>
        <w:t>view</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state</w:t>
      </w:r>
      <w:r w:rsidR="00BF059B">
        <w:rPr>
          <w:color w:val="000000"/>
        </w:rPr>
        <w:t xml:space="preserve"> </w:t>
      </w:r>
      <w:r>
        <w:rPr>
          <w:color w:val="000000"/>
        </w:rPr>
        <w:t>of</w:t>
      </w:r>
      <w:r w:rsidR="00BF059B">
        <w:rPr>
          <w:color w:val="000000"/>
        </w:rPr>
        <w:t xml:space="preserve"> </w:t>
      </w:r>
      <w:r>
        <w:rPr>
          <w:color w:val="000000"/>
        </w:rPr>
        <w:t>affairs</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charity</w:t>
      </w:r>
      <w:r w:rsidR="00BF059B">
        <w:rPr>
          <w:color w:val="000000"/>
        </w:rPr>
        <w:t xml:space="preserve"> </w:t>
      </w:r>
      <w:r>
        <w:rPr>
          <w:color w:val="000000"/>
        </w:rPr>
        <w:t>and</w:t>
      </w:r>
      <w:r w:rsidR="00BF059B">
        <w:rPr>
          <w:color w:val="000000"/>
        </w:rPr>
        <w:t xml:space="preserve"> </w:t>
      </w:r>
      <w:r>
        <w:rPr>
          <w:color w:val="000000"/>
        </w:rPr>
        <w:t>the</w:t>
      </w:r>
      <w:r w:rsidR="00BF059B">
        <w:rPr>
          <w:color w:val="000000"/>
        </w:rPr>
        <w:t xml:space="preserve"> </w:t>
      </w:r>
      <w:r>
        <w:rPr>
          <w:color w:val="000000"/>
        </w:rPr>
        <w:t>group</w:t>
      </w:r>
      <w:r w:rsidR="00BF059B">
        <w:rPr>
          <w:color w:val="000000"/>
        </w:rPr>
        <w:t xml:space="preserve"> </w:t>
      </w:r>
      <w:r>
        <w:rPr>
          <w:color w:val="000000"/>
        </w:rPr>
        <w:t>and</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lastRenderedPageBreak/>
        <w:t>income</w:t>
      </w:r>
      <w:r w:rsidR="00BF059B">
        <w:rPr>
          <w:color w:val="000000"/>
        </w:rPr>
        <w:t xml:space="preserve"> </w:t>
      </w:r>
      <w:r>
        <w:rPr>
          <w:color w:val="000000"/>
        </w:rPr>
        <w:t>and</w:t>
      </w:r>
      <w:r w:rsidR="00BF059B">
        <w:rPr>
          <w:color w:val="000000"/>
        </w:rPr>
        <w:t xml:space="preserve"> </w:t>
      </w:r>
      <w:r>
        <w:rPr>
          <w:color w:val="000000"/>
        </w:rPr>
        <w:t>expenditure</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group</w:t>
      </w:r>
      <w:r w:rsidR="00BF059B">
        <w:rPr>
          <w:color w:val="000000"/>
        </w:rPr>
        <w:t xml:space="preserve"> </w:t>
      </w:r>
      <w:r>
        <w:rPr>
          <w:color w:val="000000"/>
        </w:rPr>
        <w:t>for</w:t>
      </w:r>
      <w:r w:rsidR="00BF059B">
        <w:rPr>
          <w:color w:val="000000"/>
        </w:rPr>
        <w:t xml:space="preserve"> </w:t>
      </w:r>
      <w:r>
        <w:rPr>
          <w:color w:val="000000"/>
        </w:rPr>
        <w:t>that</w:t>
      </w:r>
      <w:r w:rsidR="00BF059B">
        <w:rPr>
          <w:color w:val="000000"/>
        </w:rPr>
        <w:t xml:space="preserve"> </w:t>
      </w:r>
      <w:r>
        <w:rPr>
          <w:color w:val="000000"/>
        </w:rPr>
        <w:t>period.</w:t>
      </w:r>
      <w:r w:rsidR="00BF059B">
        <w:rPr>
          <w:color w:val="000000"/>
        </w:rPr>
        <w:t xml:space="preserve"> </w:t>
      </w:r>
      <w:r>
        <w:rPr>
          <w:color w:val="000000"/>
        </w:rPr>
        <w:t>In</w:t>
      </w:r>
      <w:r w:rsidR="00BF059B">
        <w:rPr>
          <w:color w:val="000000"/>
        </w:rPr>
        <w:t xml:space="preserve"> </w:t>
      </w:r>
      <w:r>
        <w:rPr>
          <w:color w:val="000000"/>
        </w:rPr>
        <w:t>preparing</w:t>
      </w:r>
      <w:r w:rsidR="00BF059B">
        <w:rPr>
          <w:color w:val="000000"/>
        </w:rPr>
        <w:t xml:space="preserve"> </w:t>
      </w:r>
      <w:r>
        <w:rPr>
          <w:color w:val="000000"/>
        </w:rPr>
        <w:t>these</w:t>
      </w:r>
      <w:r w:rsidR="00BF059B">
        <w:rPr>
          <w:color w:val="000000"/>
        </w:rPr>
        <w:t xml:space="preserve"> </w:t>
      </w:r>
      <w:r>
        <w:rPr>
          <w:color w:val="000000"/>
        </w:rPr>
        <w:t>financial</w:t>
      </w:r>
      <w:r w:rsidR="00BF059B">
        <w:rPr>
          <w:color w:val="000000"/>
        </w:rPr>
        <w:t xml:space="preserve"> </w:t>
      </w:r>
      <w:r>
        <w:rPr>
          <w:color w:val="000000"/>
        </w:rPr>
        <w:t>statements,</w:t>
      </w:r>
      <w:r w:rsidR="00BF059B">
        <w:rPr>
          <w:color w:val="000000"/>
        </w:rPr>
        <w:t xml:space="preserve"> </w:t>
      </w:r>
      <w:r>
        <w:rPr>
          <w:color w:val="000000"/>
        </w:rPr>
        <w:t>the</w:t>
      </w:r>
      <w:r w:rsidR="00BF059B">
        <w:rPr>
          <w:color w:val="000000"/>
        </w:rPr>
        <w:t xml:space="preserve"> </w:t>
      </w:r>
      <w:r>
        <w:rPr>
          <w:color w:val="000000"/>
        </w:rPr>
        <w:t>Trustees</w:t>
      </w:r>
      <w:r w:rsidR="00BF059B">
        <w:rPr>
          <w:color w:val="000000"/>
        </w:rPr>
        <w:t xml:space="preserve"> </w:t>
      </w:r>
      <w:r>
        <w:rPr>
          <w:color w:val="000000"/>
        </w:rPr>
        <w:t>are</w:t>
      </w:r>
      <w:r w:rsidR="00BF059B">
        <w:rPr>
          <w:color w:val="000000"/>
        </w:rPr>
        <w:t xml:space="preserve"> </w:t>
      </w:r>
      <w:r>
        <w:rPr>
          <w:color w:val="000000"/>
        </w:rPr>
        <w:t>required</w:t>
      </w:r>
      <w:r w:rsidR="00BF059B">
        <w:rPr>
          <w:color w:val="000000"/>
        </w:rPr>
        <w:t xml:space="preserve"> </w:t>
      </w:r>
      <w:r>
        <w:rPr>
          <w:color w:val="000000"/>
        </w:rPr>
        <w:t>to:</w:t>
      </w:r>
    </w:p>
    <w:p w14:paraId="5FB5D8A7" w14:textId="77777777" w:rsidR="00BE13A8" w:rsidRDefault="00BE13A8" w:rsidP="00BA76E3">
      <w:pPr>
        <w:pBdr>
          <w:top w:val="nil"/>
          <w:left w:val="nil"/>
          <w:bottom w:val="nil"/>
          <w:right w:val="nil"/>
          <w:between w:val="nil"/>
        </w:pBdr>
        <w:rPr>
          <w:b/>
          <w:color w:val="000000"/>
        </w:rPr>
      </w:pPr>
    </w:p>
    <w:p w14:paraId="5E457008" w14:textId="2CDE6F93" w:rsidR="00BE13A8" w:rsidRDefault="00D70530" w:rsidP="00BA76E3">
      <w:pPr>
        <w:numPr>
          <w:ilvl w:val="0"/>
          <w:numId w:val="33"/>
        </w:numPr>
        <w:pBdr>
          <w:top w:val="nil"/>
          <w:left w:val="nil"/>
          <w:bottom w:val="nil"/>
          <w:right w:val="nil"/>
          <w:between w:val="nil"/>
        </w:pBdr>
        <w:ind w:left="567" w:hanging="426"/>
        <w:rPr>
          <w:color w:val="000000"/>
        </w:rPr>
      </w:pPr>
      <w:r>
        <w:rPr>
          <w:color w:val="000000"/>
        </w:rPr>
        <w:t>observe</w:t>
      </w:r>
      <w:r w:rsidR="00BF059B">
        <w:rPr>
          <w:color w:val="000000"/>
        </w:rPr>
        <w:t xml:space="preserve"> </w:t>
      </w:r>
      <w:r>
        <w:rPr>
          <w:color w:val="000000"/>
        </w:rPr>
        <w:t>the</w:t>
      </w:r>
      <w:r w:rsidR="00BF059B">
        <w:rPr>
          <w:color w:val="000000"/>
        </w:rPr>
        <w:t xml:space="preserve"> </w:t>
      </w:r>
      <w:r>
        <w:rPr>
          <w:color w:val="000000"/>
        </w:rPr>
        <w:t>Accounts</w:t>
      </w:r>
      <w:r w:rsidR="00BF059B">
        <w:rPr>
          <w:color w:val="000000"/>
        </w:rPr>
        <w:t xml:space="preserve"> </w:t>
      </w:r>
      <w:r>
        <w:rPr>
          <w:color w:val="000000"/>
        </w:rPr>
        <w:t>Direction</w:t>
      </w:r>
      <w:r w:rsidR="00BF059B">
        <w:rPr>
          <w:color w:val="000000"/>
        </w:rPr>
        <w:t xml:space="preserve"> </w:t>
      </w:r>
      <w:r>
        <w:rPr>
          <w:color w:val="000000"/>
        </w:rPr>
        <w:t>issued</w:t>
      </w:r>
      <w:r w:rsidR="00BF059B">
        <w:rPr>
          <w:color w:val="000000"/>
        </w:rPr>
        <w:t xml:space="preserve"> </w:t>
      </w:r>
      <w:r>
        <w:rPr>
          <w:color w:val="000000"/>
        </w:rPr>
        <w:t>by</w:t>
      </w:r>
      <w:r w:rsidR="00BF059B">
        <w:rPr>
          <w:color w:val="000000"/>
        </w:rPr>
        <w:t xml:space="preserve"> </w:t>
      </w:r>
      <w:r>
        <w:rPr>
          <w:color w:val="000000"/>
        </w:rPr>
        <w:t>the</w:t>
      </w:r>
      <w:r w:rsidR="00BF059B">
        <w:rPr>
          <w:color w:val="000000"/>
        </w:rPr>
        <w:t xml:space="preserve"> </w:t>
      </w:r>
      <w:r>
        <w:rPr>
          <w:color w:val="000000"/>
        </w:rPr>
        <w:t>Secretary</w:t>
      </w:r>
      <w:r w:rsidR="00BF059B">
        <w:rPr>
          <w:color w:val="000000"/>
        </w:rPr>
        <w:t xml:space="preserve"> </w:t>
      </w:r>
      <w:r>
        <w:rPr>
          <w:color w:val="000000"/>
        </w:rPr>
        <w:t>of</w:t>
      </w:r>
      <w:r w:rsidR="00BF059B">
        <w:rPr>
          <w:color w:val="000000"/>
        </w:rPr>
        <w:t xml:space="preserve"> </w:t>
      </w:r>
      <w:r>
        <w:rPr>
          <w:color w:val="000000"/>
        </w:rPr>
        <w:t>State,</w:t>
      </w:r>
      <w:r w:rsidR="00BF059B">
        <w:rPr>
          <w:color w:val="000000"/>
        </w:rPr>
        <w:t xml:space="preserve"> </w:t>
      </w:r>
      <w:r>
        <w:rPr>
          <w:color w:val="000000"/>
        </w:rPr>
        <w:t>including</w:t>
      </w:r>
      <w:r w:rsidR="00BF059B">
        <w:rPr>
          <w:color w:val="000000"/>
        </w:rPr>
        <w:t xml:space="preserve"> </w:t>
      </w:r>
      <w:r>
        <w:rPr>
          <w:color w:val="000000"/>
        </w:rPr>
        <w:t>relevant</w:t>
      </w:r>
      <w:r w:rsidR="00BF059B">
        <w:rPr>
          <w:color w:val="000000"/>
        </w:rPr>
        <w:t xml:space="preserve"> </w:t>
      </w:r>
      <w:r>
        <w:rPr>
          <w:color w:val="000000"/>
        </w:rPr>
        <w:t>accounting</w:t>
      </w:r>
      <w:r w:rsidR="00BF059B">
        <w:rPr>
          <w:color w:val="000000"/>
        </w:rPr>
        <w:t xml:space="preserve"> </w:t>
      </w:r>
      <w:r>
        <w:rPr>
          <w:color w:val="000000"/>
        </w:rPr>
        <w:t>and</w:t>
      </w:r>
      <w:r w:rsidR="00BF059B">
        <w:rPr>
          <w:color w:val="000000"/>
        </w:rPr>
        <w:t xml:space="preserve"> </w:t>
      </w:r>
      <w:r>
        <w:rPr>
          <w:color w:val="000000"/>
        </w:rPr>
        <w:t>disclosure</w:t>
      </w:r>
      <w:r w:rsidR="00BF059B">
        <w:rPr>
          <w:color w:val="000000"/>
        </w:rPr>
        <w:t xml:space="preserve"> </w:t>
      </w:r>
      <w:r>
        <w:rPr>
          <w:color w:val="000000"/>
        </w:rPr>
        <w:t>requirements,</w:t>
      </w:r>
      <w:r w:rsidR="00BF059B">
        <w:rPr>
          <w:color w:val="000000"/>
        </w:rPr>
        <w:t xml:space="preserve"> </w:t>
      </w:r>
      <w:r>
        <w:rPr>
          <w:color w:val="000000"/>
        </w:rPr>
        <w:t>and</w:t>
      </w:r>
      <w:r w:rsidR="00BF059B">
        <w:rPr>
          <w:color w:val="000000"/>
        </w:rPr>
        <w:t xml:space="preserve"> </w:t>
      </w:r>
      <w:r>
        <w:rPr>
          <w:color w:val="000000"/>
        </w:rPr>
        <w:t>apply</w:t>
      </w:r>
      <w:r w:rsidR="00BF059B">
        <w:rPr>
          <w:color w:val="000000"/>
        </w:rPr>
        <w:t xml:space="preserve"> </w:t>
      </w:r>
      <w:r>
        <w:rPr>
          <w:color w:val="000000"/>
        </w:rPr>
        <w:t>suitable</w:t>
      </w:r>
      <w:r w:rsidR="00BF059B">
        <w:rPr>
          <w:color w:val="000000"/>
        </w:rPr>
        <w:t xml:space="preserve"> </w:t>
      </w:r>
      <w:r>
        <w:rPr>
          <w:color w:val="000000"/>
        </w:rPr>
        <w:t>accounting</w:t>
      </w:r>
      <w:r w:rsidR="00BF059B">
        <w:rPr>
          <w:color w:val="000000"/>
        </w:rPr>
        <w:t xml:space="preserve"> </w:t>
      </w:r>
      <w:r>
        <w:rPr>
          <w:color w:val="000000"/>
        </w:rPr>
        <w:t>policies</w:t>
      </w:r>
      <w:r w:rsidR="00BF059B">
        <w:rPr>
          <w:color w:val="000000"/>
        </w:rPr>
        <w:t xml:space="preserve"> </w:t>
      </w:r>
      <w:r>
        <w:rPr>
          <w:color w:val="000000"/>
        </w:rPr>
        <w:t>on</w:t>
      </w:r>
      <w:r w:rsidR="00BF059B">
        <w:rPr>
          <w:color w:val="000000"/>
        </w:rPr>
        <w:t xml:space="preserve"> </w:t>
      </w:r>
      <w:r>
        <w:rPr>
          <w:color w:val="000000"/>
        </w:rPr>
        <w:t>a</w:t>
      </w:r>
      <w:r w:rsidR="00BF059B">
        <w:rPr>
          <w:color w:val="000000"/>
        </w:rPr>
        <w:t xml:space="preserve"> </w:t>
      </w:r>
      <w:r>
        <w:rPr>
          <w:color w:val="000000"/>
        </w:rPr>
        <w:t>consistent</w:t>
      </w:r>
      <w:r w:rsidR="00BF059B">
        <w:rPr>
          <w:color w:val="000000"/>
        </w:rPr>
        <w:t xml:space="preserve"> </w:t>
      </w:r>
      <w:r>
        <w:rPr>
          <w:color w:val="000000"/>
        </w:rPr>
        <w:t>basis</w:t>
      </w:r>
    </w:p>
    <w:p w14:paraId="28E7DC4B" w14:textId="643EEB78" w:rsidR="00BE13A8" w:rsidRDefault="00D70530" w:rsidP="00BA76E3">
      <w:pPr>
        <w:numPr>
          <w:ilvl w:val="0"/>
          <w:numId w:val="33"/>
        </w:numPr>
        <w:pBdr>
          <w:top w:val="nil"/>
          <w:left w:val="nil"/>
          <w:bottom w:val="nil"/>
          <w:right w:val="nil"/>
          <w:between w:val="nil"/>
        </w:pBdr>
        <w:ind w:left="567" w:hanging="426"/>
        <w:rPr>
          <w:color w:val="000000"/>
        </w:rPr>
      </w:pPr>
      <w:r>
        <w:rPr>
          <w:color w:val="000000"/>
        </w:rPr>
        <w:t>make</w:t>
      </w:r>
      <w:r w:rsidR="00BF059B">
        <w:rPr>
          <w:color w:val="000000"/>
        </w:rPr>
        <w:t xml:space="preserve"> </w:t>
      </w:r>
      <w:r>
        <w:rPr>
          <w:color w:val="000000"/>
        </w:rPr>
        <w:t>judgments</w:t>
      </w:r>
      <w:r w:rsidR="00BF059B">
        <w:rPr>
          <w:color w:val="000000"/>
        </w:rPr>
        <w:t xml:space="preserve"> </w:t>
      </w:r>
      <w:r>
        <w:rPr>
          <w:color w:val="000000"/>
        </w:rPr>
        <w:t>and</w:t>
      </w:r>
      <w:r w:rsidR="00BF059B">
        <w:rPr>
          <w:color w:val="000000"/>
        </w:rPr>
        <w:t xml:space="preserve"> </w:t>
      </w:r>
      <w:r>
        <w:rPr>
          <w:color w:val="000000"/>
        </w:rPr>
        <w:t>estimates</w:t>
      </w:r>
      <w:r w:rsidR="00BF059B">
        <w:rPr>
          <w:color w:val="000000"/>
        </w:rPr>
        <w:t xml:space="preserve"> </w:t>
      </w:r>
      <w:r>
        <w:rPr>
          <w:color w:val="000000"/>
        </w:rPr>
        <w:t>on</w:t>
      </w:r>
      <w:r w:rsidR="00BF059B">
        <w:rPr>
          <w:color w:val="000000"/>
        </w:rPr>
        <w:t xml:space="preserve"> </w:t>
      </w:r>
      <w:r>
        <w:rPr>
          <w:color w:val="000000"/>
        </w:rPr>
        <w:t>a</w:t>
      </w:r>
      <w:r w:rsidR="00BF059B">
        <w:rPr>
          <w:color w:val="000000"/>
        </w:rPr>
        <w:t xml:space="preserve"> </w:t>
      </w:r>
      <w:r>
        <w:rPr>
          <w:color w:val="000000"/>
        </w:rPr>
        <w:t>reasonable</w:t>
      </w:r>
      <w:r w:rsidR="00BF059B">
        <w:rPr>
          <w:color w:val="000000"/>
        </w:rPr>
        <w:t xml:space="preserve"> </w:t>
      </w:r>
      <w:r>
        <w:rPr>
          <w:color w:val="000000"/>
        </w:rPr>
        <w:t>basis</w:t>
      </w:r>
    </w:p>
    <w:p w14:paraId="61FAE69C" w14:textId="27A004E5" w:rsidR="00BE13A8" w:rsidRDefault="00D70530" w:rsidP="00BA76E3">
      <w:pPr>
        <w:numPr>
          <w:ilvl w:val="0"/>
          <w:numId w:val="33"/>
        </w:numPr>
        <w:pBdr>
          <w:top w:val="nil"/>
          <w:left w:val="nil"/>
          <w:bottom w:val="nil"/>
          <w:right w:val="nil"/>
          <w:between w:val="nil"/>
        </w:pBdr>
        <w:ind w:left="567" w:hanging="426"/>
        <w:rPr>
          <w:color w:val="000000"/>
        </w:rPr>
      </w:pPr>
      <w:r>
        <w:rPr>
          <w:color w:val="000000"/>
        </w:rPr>
        <w:t>state</w:t>
      </w:r>
      <w:r w:rsidR="00BF059B">
        <w:rPr>
          <w:color w:val="000000"/>
        </w:rPr>
        <w:t xml:space="preserve"> </w:t>
      </w:r>
      <w:r>
        <w:rPr>
          <w:color w:val="000000"/>
        </w:rPr>
        <w:t>whether</w:t>
      </w:r>
      <w:r w:rsidR="00BF059B">
        <w:rPr>
          <w:color w:val="000000"/>
        </w:rPr>
        <w:t xml:space="preserve"> </w:t>
      </w:r>
      <w:r>
        <w:rPr>
          <w:color w:val="000000"/>
        </w:rPr>
        <w:t>applicable</w:t>
      </w:r>
      <w:r w:rsidR="00BF059B">
        <w:rPr>
          <w:color w:val="000000"/>
        </w:rPr>
        <w:t xml:space="preserve"> </w:t>
      </w:r>
      <w:r>
        <w:rPr>
          <w:color w:val="000000"/>
        </w:rPr>
        <w:t>accounting</w:t>
      </w:r>
      <w:r w:rsidR="00BF059B">
        <w:rPr>
          <w:color w:val="000000"/>
        </w:rPr>
        <w:t xml:space="preserve"> </w:t>
      </w:r>
      <w:r>
        <w:rPr>
          <w:color w:val="000000"/>
        </w:rPr>
        <w:t>standards</w:t>
      </w:r>
      <w:r w:rsidR="00BF059B">
        <w:rPr>
          <w:color w:val="000000"/>
        </w:rPr>
        <w:t xml:space="preserve"> </w:t>
      </w:r>
      <w:r>
        <w:rPr>
          <w:color w:val="000000"/>
        </w:rPr>
        <w:t>have</w:t>
      </w:r>
      <w:r w:rsidR="00BF059B">
        <w:rPr>
          <w:color w:val="000000"/>
        </w:rPr>
        <w:t xml:space="preserve"> </w:t>
      </w:r>
      <w:r>
        <w:rPr>
          <w:color w:val="000000"/>
        </w:rPr>
        <w:t>been</w:t>
      </w:r>
      <w:r w:rsidR="00BF059B">
        <w:rPr>
          <w:color w:val="000000"/>
        </w:rPr>
        <w:t xml:space="preserve"> </w:t>
      </w:r>
      <w:r>
        <w:rPr>
          <w:color w:val="000000"/>
        </w:rPr>
        <w:t>followed,</w:t>
      </w:r>
      <w:r w:rsidR="00BF059B">
        <w:rPr>
          <w:color w:val="000000"/>
        </w:rPr>
        <w:t xml:space="preserve"> </w:t>
      </w:r>
      <w:r>
        <w:rPr>
          <w:color w:val="000000"/>
        </w:rPr>
        <w:t>subject</w:t>
      </w:r>
      <w:r w:rsidR="00BF059B">
        <w:rPr>
          <w:color w:val="000000"/>
        </w:rPr>
        <w:t xml:space="preserve"> </w:t>
      </w:r>
      <w:r>
        <w:rPr>
          <w:color w:val="000000"/>
        </w:rPr>
        <w:t>to</w:t>
      </w:r>
      <w:r w:rsidR="00BF059B">
        <w:rPr>
          <w:color w:val="000000"/>
        </w:rPr>
        <w:t xml:space="preserve"> </w:t>
      </w:r>
      <w:r>
        <w:rPr>
          <w:color w:val="000000"/>
        </w:rPr>
        <w:t>any</w:t>
      </w:r>
      <w:r w:rsidR="00BF059B">
        <w:rPr>
          <w:color w:val="000000"/>
        </w:rPr>
        <w:t xml:space="preserve"> </w:t>
      </w:r>
      <w:r>
        <w:rPr>
          <w:color w:val="000000"/>
        </w:rPr>
        <w:t>material</w:t>
      </w:r>
      <w:r w:rsidR="00BF059B">
        <w:rPr>
          <w:color w:val="000000"/>
        </w:rPr>
        <w:t xml:space="preserve"> </w:t>
      </w:r>
      <w:r>
        <w:rPr>
          <w:color w:val="000000"/>
        </w:rPr>
        <w:t>departures</w:t>
      </w:r>
      <w:r w:rsidR="00BF059B">
        <w:rPr>
          <w:color w:val="000000"/>
        </w:rPr>
        <w:t xml:space="preserve"> </w:t>
      </w:r>
      <w:r>
        <w:rPr>
          <w:color w:val="000000"/>
        </w:rPr>
        <w:t>disclosed</w:t>
      </w:r>
      <w:r w:rsidR="00BF059B">
        <w:rPr>
          <w:color w:val="000000"/>
        </w:rPr>
        <w:t xml:space="preserve"> </w:t>
      </w:r>
      <w:r>
        <w:rPr>
          <w:color w:val="000000"/>
        </w:rPr>
        <w:t>and</w:t>
      </w:r>
      <w:r w:rsidR="00BF059B">
        <w:rPr>
          <w:color w:val="000000"/>
        </w:rPr>
        <w:t xml:space="preserve"> </w:t>
      </w:r>
      <w:r>
        <w:rPr>
          <w:color w:val="000000"/>
        </w:rPr>
        <w:t>explained</w:t>
      </w:r>
      <w:r w:rsidR="00BF059B">
        <w:rPr>
          <w:color w:val="000000"/>
        </w:rPr>
        <w:t xml:space="preserve"> </w:t>
      </w:r>
      <w:r>
        <w:rPr>
          <w:color w:val="000000"/>
        </w:rPr>
        <w:t>in</w:t>
      </w:r>
      <w:r w:rsidR="00BF059B">
        <w:rPr>
          <w:color w:val="000000"/>
        </w:rPr>
        <w:t xml:space="preserve"> </w:t>
      </w:r>
      <w:r>
        <w:rPr>
          <w:color w:val="000000"/>
        </w:rPr>
        <w:t>the</w:t>
      </w:r>
      <w:r w:rsidR="00BF059B">
        <w:rPr>
          <w:color w:val="000000"/>
        </w:rPr>
        <w:t xml:space="preserve"> </w:t>
      </w:r>
      <w:r>
        <w:rPr>
          <w:color w:val="000000"/>
        </w:rPr>
        <w:t>financial</w:t>
      </w:r>
      <w:r w:rsidR="00BF059B">
        <w:rPr>
          <w:color w:val="000000"/>
        </w:rPr>
        <w:t xml:space="preserve"> </w:t>
      </w:r>
      <w:r>
        <w:rPr>
          <w:color w:val="000000"/>
        </w:rPr>
        <w:t>statements</w:t>
      </w:r>
      <w:r w:rsidR="00BF059B">
        <w:rPr>
          <w:color w:val="000000"/>
        </w:rPr>
        <w:t xml:space="preserve"> </w:t>
      </w:r>
    </w:p>
    <w:p w14:paraId="716DE5CE" w14:textId="32F71543" w:rsidR="00BE13A8" w:rsidRDefault="00D70530" w:rsidP="00BA76E3">
      <w:pPr>
        <w:numPr>
          <w:ilvl w:val="0"/>
          <w:numId w:val="33"/>
        </w:numPr>
        <w:pBdr>
          <w:top w:val="nil"/>
          <w:left w:val="nil"/>
          <w:bottom w:val="nil"/>
          <w:right w:val="nil"/>
          <w:between w:val="nil"/>
        </w:pBdr>
        <w:ind w:left="567" w:hanging="426"/>
        <w:rPr>
          <w:color w:val="000000"/>
        </w:rPr>
      </w:pPr>
      <w:r>
        <w:rPr>
          <w:color w:val="000000"/>
        </w:rPr>
        <w:t>prepare</w:t>
      </w:r>
      <w:r w:rsidR="00BF059B">
        <w:rPr>
          <w:color w:val="000000"/>
        </w:rPr>
        <w:t xml:space="preserve"> </w:t>
      </w:r>
      <w:r>
        <w:rPr>
          <w:color w:val="000000"/>
        </w:rPr>
        <w:t>the</w:t>
      </w:r>
      <w:r w:rsidR="00BF059B">
        <w:rPr>
          <w:color w:val="000000"/>
        </w:rPr>
        <w:t xml:space="preserve"> </w:t>
      </w:r>
      <w:r>
        <w:rPr>
          <w:color w:val="000000"/>
        </w:rPr>
        <w:t>financial</w:t>
      </w:r>
      <w:r w:rsidR="00BF059B">
        <w:rPr>
          <w:color w:val="000000"/>
        </w:rPr>
        <w:t xml:space="preserve"> </w:t>
      </w:r>
      <w:r>
        <w:rPr>
          <w:color w:val="000000"/>
        </w:rPr>
        <w:t>statements</w:t>
      </w:r>
      <w:r w:rsidR="00BF059B">
        <w:rPr>
          <w:color w:val="000000"/>
        </w:rPr>
        <w:t xml:space="preserve"> </w:t>
      </w:r>
      <w:r>
        <w:rPr>
          <w:color w:val="000000"/>
        </w:rPr>
        <w:t>on</w:t>
      </w:r>
      <w:r w:rsidR="00BF059B">
        <w:rPr>
          <w:color w:val="000000"/>
        </w:rPr>
        <w:t xml:space="preserve"> </w:t>
      </w:r>
      <w:r>
        <w:rPr>
          <w:color w:val="000000"/>
        </w:rPr>
        <w:t>the</w:t>
      </w:r>
      <w:r w:rsidR="00BF059B">
        <w:rPr>
          <w:color w:val="000000"/>
        </w:rPr>
        <w:t xml:space="preserve"> </w:t>
      </w:r>
      <w:r>
        <w:rPr>
          <w:color w:val="000000"/>
        </w:rPr>
        <w:t>going</w:t>
      </w:r>
      <w:r w:rsidR="00BF059B">
        <w:rPr>
          <w:color w:val="000000"/>
        </w:rPr>
        <w:t xml:space="preserve"> </w:t>
      </w:r>
      <w:r>
        <w:rPr>
          <w:color w:val="000000"/>
        </w:rPr>
        <w:t>concern</w:t>
      </w:r>
      <w:r w:rsidR="00BF059B">
        <w:rPr>
          <w:color w:val="000000"/>
        </w:rPr>
        <w:t xml:space="preserve"> </w:t>
      </w:r>
      <w:r>
        <w:rPr>
          <w:color w:val="000000"/>
        </w:rPr>
        <w:t>basis</w:t>
      </w:r>
      <w:r w:rsidR="00BF059B">
        <w:rPr>
          <w:color w:val="000000"/>
        </w:rPr>
        <w:t xml:space="preserve"> </w:t>
      </w:r>
      <w:r>
        <w:rPr>
          <w:color w:val="000000"/>
        </w:rPr>
        <w:t>unless</w:t>
      </w:r>
      <w:r w:rsidR="00BF059B">
        <w:rPr>
          <w:color w:val="000000"/>
        </w:rPr>
        <w:t xml:space="preserve"> </w:t>
      </w:r>
      <w:r>
        <w:rPr>
          <w:color w:val="000000"/>
        </w:rPr>
        <w:t>it</w:t>
      </w:r>
      <w:r w:rsidR="00BF059B">
        <w:rPr>
          <w:color w:val="000000"/>
        </w:rPr>
        <w:t xml:space="preserve"> </w:t>
      </w:r>
      <w:r>
        <w:rPr>
          <w:color w:val="000000"/>
        </w:rPr>
        <w:t>is</w:t>
      </w:r>
      <w:r w:rsidR="00BF059B">
        <w:rPr>
          <w:color w:val="000000"/>
        </w:rPr>
        <w:t xml:space="preserve"> </w:t>
      </w:r>
      <w:r>
        <w:rPr>
          <w:color w:val="000000"/>
        </w:rPr>
        <w:t>inappropriate</w:t>
      </w:r>
      <w:r w:rsidR="00BF059B">
        <w:rPr>
          <w:color w:val="000000"/>
        </w:rPr>
        <w:t xml:space="preserve"> </w:t>
      </w:r>
      <w:r>
        <w:rPr>
          <w:color w:val="000000"/>
        </w:rPr>
        <w:t>to</w:t>
      </w:r>
      <w:r w:rsidR="00BF059B">
        <w:rPr>
          <w:color w:val="000000"/>
        </w:rPr>
        <w:t xml:space="preserve"> </w:t>
      </w:r>
      <w:r>
        <w:rPr>
          <w:color w:val="000000"/>
        </w:rPr>
        <w:t>presume</w:t>
      </w:r>
      <w:r w:rsidR="00BF059B">
        <w:rPr>
          <w:color w:val="000000"/>
        </w:rPr>
        <w:t xml:space="preserve"> </w:t>
      </w:r>
      <w:r>
        <w:rPr>
          <w:color w:val="000000"/>
        </w:rPr>
        <w:t>that</w:t>
      </w:r>
      <w:r w:rsidR="00BF059B">
        <w:rPr>
          <w:color w:val="000000"/>
        </w:rPr>
        <w:t xml:space="preserve"> </w:t>
      </w:r>
      <w:r>
        <w:rPr>
          <w:color w:val="000000"/>
        </w:rPr>
        <w:t>the</w:t>
      </w:r>
      <w:r w:rsidR="00BF059B">
        <w:rPr>
          <w:color w:val="000000"/>
        </w:rPr>
        <w:t xml:space="preserve"> </w:t>
      </w:r>
      <w:r>
        <w:rPr>
          <w:color w:val="000000"/>
        </w:rPr>
        <w:t>charity</w:t>
      </w:r>
      <w:r w:rsidR="00BF059B">
        <w:rPr>
          <w:color w:val="000000"/>
        </w:rPr>
        <w:t xml:space="preserve"> </w:t>
      </w:r>
      <w:r>
        <w:rPr>
          <w:color w:val="000000"/>
        </w:rPr>
        <w:t>will</w:t>
      </w:r>
      <w:r w:rsidR="00BF059B">
        <w:rPr>
          <w:color w:val="000000"/>
        </w:rPr>
        <w:t xml:space="preserve"> </w:t>
      </w:r>
      <w:r>
        <w:rPr>
          <w:color w:val="000000"/>
        </w:rPr>
        <w:t>continue</w:t>
      </w:r>
      <w:r w:rsidR="00BF059B">
        <w:rPr>
          <w:color w:val="000000"/>
        </w:rPr>
        <w:t xml:space="preserve"> </w:t>
      </w:r>
      <w:r>
        <w:rPr>
          <w:color w:val="000000"/>
        </w:rPr>
        <w:t>in</w:t>
      </w:r>
      <w:r w:rsidR="00BF059B">
        <w:rPr>
          <w:color w:val="000000"/>
        </w:rPr>
        <w:t xml:space="preserve"> </w:t>
      </w:r>
      <w:r>
        <w:rPr>
          <w:color w:val="000000"/>
        </w:rPr>
        <w:t>business.</w:t>
      </w:r>
      <w:r w:rsidR="00BF059B">
        <w:rPr>
          <w:color w:val="000000"/>
        </w:rPr>
        <w:t xml:space="preserve"> </w:t>
      </w:r>
    </w:p>
    <w:p w14:paraId="201608B3" w14:textId="3D35FD61" w:rsidR="00BE13A8" w:rsidRDefault="00D70530" w:rsidP="00BA76E3">
      <w:pPr>
        <w:spacing w:before="280" w:after="280"/>
      </w:pPr>
      <w:r>
        <w:t>The</w:t>
      </w:r>
      <w:r w:rsidR="00BF059B">
        <w:t xml:space="preserve"> </w:t>
      </w:r>
      <w:r>
        <w:t>Trustees</w:t>
      </w:r>
      <w:r w:rsidR="00BF059B">
        <w:t xml:space="preserve"> </w:t>
      </w:r>
      <w:r>
        <w:t>are</w:t>
      </w:r>
      <w:r w:rsidR="00BF059B">
        <w:t xml:space="preserve"> </w:t>
      </w:r>
      <w:r>
        <w:t>responsible</w:t>
      </w:r>
      <w:r w:rsidR="00BF059B">
        <w:t xml:space="preserve"> </w:t>
      </w:r>
      <w:r>
        <w:t>for</w:t>
      </w:r>
      <w:r w:rsidR="00BF059B">
        <w:t xml:space="preserve"> </w:t>
      </w:r>
      <w:r>
        <w:t>keeping</w:t>
      </w:r>
      <w:r w:rsidR="00BF059B">
        <w:t xml:space="preserve"> </w:t>
      </w:r>
      <w:r>
        <w:t>adequate</w:t>
      </w:r>
      <w:r w:rsidR="00BF059B">
        <w:t xml:space="preserve"> </w:t>
      </w:r>
      <w:r>
        <w:t>accounting</w:t>
      </w:r>
      <w:r w:rsidR="00BF059B">
        <w:t xml:space="preserve"> </w:t>
      </w:r>
      <w:r>
        <w:t>records</w:t>
      </w:r>
      <w:r w:rsidR="00BF059B">
        <w:t xml:space="preserve"> </w:t>
      </w:r>
      <w:r>
        <w:t>that</w:t>
      </w:r>
      <w:r w:rsidR="00BF059B">
        <w:t xml:space="preserve"> </w:t>
      </w:r>
      <w:r>
        <w:t>show</w:t>
      </w:r>
      <w:r w:rsidR="00BF059B">
        <w:t xml:space="preserve"> </w:t>
      </w:r>
      <w:r>
        <w:t>and</w:t>
      </w:r>
      <w:r w:rsidR="00BF059B">
        <w:t xml:space="preserve"> </w:t>
      </w:r>
      <w:r>
        <w:t>explain</w:t>
      </w:r>
      <w:r w:rsidR="00BF059B">
        <w:t xml:space="preserve"> </w:t>
      </w:r>
      <w:r>
        <w:t>the</w:t>
      </w:r>
      <w:r w:rsidR="00BF059B">
        <w:t xml:space="preserve"> </w:t>
      </w:r>
      <w:r>
        <w:t>charity’s</w:t>
      </w:r>
      <w:r w:rsidR="00BF059B">
        <w:t xml:space="preserve"> </w:t>
      </w:r>
      <w:r>
        <w:t>transactions,</w:t>
      </w:r>
      <w:r w:rsidR="00BF059B">
        <w:t xml:space="preserve"> </w:t>
      </w:r>
      <w:r>
        <w:t>disclose</w:t>
      </w:r>
      <w:r w:rsidR="00BF059B">
        <w:t xml:space="preserve"> </w:t>
      </w:r>
      <w:r>
        <w:t>with</w:t>
      </w:r>
      <w:r w:rsidR="00BF059B">
        <w:t xml:space="preserve"> </w:t>
      </w:r>
      <w:r>
        <w:t>reasonable</w:t>
      </w:r>
      <w:r w:rsidR="00BF059B">
        <w:t xml:space="preserve"> </w:t>
      </w:r>
      <w:r>
        <w:t>accuracy</w:t>
      </w:r>
      <w:r w:rsidR="00BF059B">
        <w:t xml:space="preserve"> </w:t>
      </w:r>
      <w:r>
        <w:t>at</w:t>
      </w:r>
      <w:r w:rsidR="00BF059B">
        <w:t xml:space="preserve"> </w:t>
      </w:r>
      <w:r>
        <w:t>any</w:t>
      </w:r>
      <w:r w:rsidR="00BF059B">
        <w:t xml:space="preserve"> </w:t>
      </w:r>
      <w:r>
        <w:t>time</w:t>
      </w:r>
      <w:r w:rsidR="00BF059B">
        <w:t xml:space="preserve"> </w:t>
      </w:r>
      <w:r>
        <w:t>the</w:t>
      </w:r>
      <w:r w:rsidR="00BF059B">
        <w:t xml:space="preserve"> </w:t>
      </w:r>
      <w:r>
        <w:t>financial</w:t>
      </w:r>
      <w:r w:rsidR="00BF059B">
        <w:t xml:space="preserve"> </w:t>
      </w:r>
      <w:r>
        <w:t>position</w:t>
      </w:r>
      <w:r w:rsidR="00BF059B">
        <w:t xml:space="preserve"> </w:t>
      </w:r>
      <w:r>
        <w:t>of</w:t>
      </w:r>
      <w:r w:rsidR="00BF059B">
        <w:t xml:space="preserve"> </w:t>
      </w:r>
      <w:r>
        <w:t>the</w:t>
      </w:r>
      <w:r w:rsidR="00BF059B">
        <w:t xml:space="preserve"> </w:t>
      </w:r>
      <w:r>
        <w:t>charity,</w:t>
      </w:r>
      <w:r w:rsidR="00BF059B">
        <w:t xml:space="preserve"> </w:t>
      </w:r>
      <w:r>
        <w:t>and</w:t>
      </w:r>
      <w:r w:rsidR="00BF059B">
        <w:t xml:space="preserve"> </w:t>
      </w:r>
      <w:r>
        <w:t>enable</w:t>
      </w:r>
      <w:r w:rsidR="00BF059B">
        <w:t xml:space="preserve"> </w:t>
      </w:r>
      <w:r>
        <w:t>them</w:t>
      </w:r>
      <w:r w:rsidR="00BF059B">
        <w:t xml:space="preserve"> </w:t>
      </w:r>
      <w:r>
        <w:t>to</w:t>
      </w:r>
      <w:r w:rsidR="00BF059B">
        <w:t xml:space="preserve"> </w:t>
      </w:r>
      <w:r>
        <w:t>ensure</w:t>
      </w:r>
      <w:r w:rsidR="00BF059B">
        <w:t xml:space="preserve"> </w:t>
      </w:r>
      <w:r>
        <w:t>that</w:t>
      </w:r>
      <w:r w:rsidR="00BF059B">
        <w:t xml:space="preserve"> </w:t>
      </w:r>
      <w:r>
        <w:t>the</w:t>
      </w:r>
      <w:r w:rsidR="00BF059B">
        <w:t xml:space="preserve"> </w:t>
      </w:r>
      <w:r>
        <w:t>financial</w:t>
      </w:r>
      <w:r w:rsidR="00BF059B">
        <w:t xml:space="preserve"> </w:t>
      </w:r>
      <w:r>
        <w:t>statements</w:t>
      </w:r>
      <w:r w:rsidR="00BF059B">
        <w:t xml:space="preserve"> </w:t>
      </w:r>
      <w:r>
        <w:t>comply</w:t>
      </w:r>
      <w:r w:rsidR="00BF059B">
        <w:t xml:space="preserve"> </w:t>
      </w:r>
      <w:r>
        <w:t>with</w:t>
      </w:r>
      <w:r w:rsidR="00BF059B">
        <w:t xml:space="preserve"> </w:t>
      </w:r>
      <w:r>
        <w:t>the</w:t>
      </w:r>
      <w:r w:rsidR="00BF059B">
        <w:t xml:space="preserve"> </w:t>
      </w:r>
      <w:r>
        <w:t>Companies</w:t>
      </w:r>
      <w:r w:rsidR="00BF059B">
        <w:t xml:space="preserve"> </w:t>
      </w:r>
      <w:r>
        <w:t>Act</w:t>
      </w:r>
      <w:r w:rsidR="00BF059B">
        <w:t xml:space="preserve"> </w:t>
      </w:r>
      <w:r>
        <w:t>2006.</w:t>
      </w:r>
      <w:r w:rsidR="00BF059B">
        <w:t xml:space="preserve"> </w:t>
      </w:r>
      <w:r>
        <w:t>They</w:t>
      </w:r>
      <w:r w:rsidR="00BF059B">
        <w:t xml:space="preserve"> </w:t>
      </w:r>
      <w:r>
        <w:t>are</w:t>
      </w:r>
      <w:r w:rsidR="00BF059B">
        <w:t xml:space="preserve"> </w:t>
      </w:r>
      <w:r>
        <w:t>also</w:t>
      </w:r>
      <w:r w:rsidR="00BF059B">
        <w:t xml:space="preserve"> </w:t>
      </w:r>
      <w:r>
        <w:t>responsible</w:t>
      </w:r>
      <w:r w:rsidR="00BF059B">
        <w:t xml:space="preserve"> </w:t>
      </w:r>
      <w:r>
        <w:t>for</w:t>
      </w:r>
      <w:r w:rsidR="00BF059B">
        <w:t xml:space="preserve"> </w:t>
      </w:r>
      <w:r>
        <w:t>safeguarding</w:t>
      </w:r>
      <w:r w:rsidR="00BF059B">
        <w:t xml:space="preserve"> </w:t>
      </w:r>
      <w:r>
        <w:t>the</w:t>
      </w:r>
      <w:r w:rsidR="00BF059B">
        <w:t xml:space="preserve"> </w:t>
      </w:r>
      <w:r>
        <w:t>assets</w:t>
      </w:r>
      <w:r w:rsidR="00BF059B">
        <w:t xml:space="preserve"> </w:t>
      </w:r>
      <w:r>
        <w:t>of</w:t>
      </w:r>
      <w:r w:rsidR="00BF059B">
        <w:t xml:space="preserve"> </w:t>
      </w:r>
      <w:r>
        <w:t>the</w:t>
      </w:r>
      <w:r w:rsidR="00BF059B">
        <w:t xml:space="preserve"> </w:t>
      </w:r>
      <w:r>
        <w:t>charity</w:t>
      </w:r>
      <w:r w:rsidR="00BF059B">
        <w:t xml:space="preserve"> </w:t>
      </w:r>
      <w:r>
        <w:t>and</w:t>
      </w:r>
      <w:r w:rsidR="00BF059B">
        <w:t xml:space="preserve"> </w:t>
      </w:r>
      <w:r>
        <w:t>the</w:t>
      </w:r>
      <w:r w:rsidR="00BF059B">
        <w:t xml:space="preserve"> </w:t>
      </w:r>
      <w:r>
        <w:t>group</w:t>
      </w:r>
      <w:r w:rsidR="00BF059B">
        <w:t xml:space="preserve"> </w:t>
      </w:r>
      <w:r>
        <w:t>and</w:t>
      </w:r>
      <w:r w:rsidR="00BF059B">
        <w:t xml:space="preserve"> </w:t>
      </w:r>
      <w:r>
        <w:t>hence</w:t>
      </w:r>
      <w:r w:rsidR="00BF059B">
        <w:t xml:space="preserve"> </w:t>
      </w:r>
      <w:r>
        <w:t>for</w:t>
      </w:r>
      <w:r w:rsidR="00BF059B">
        <w:t xml:space="preserve"> </w:t>
      </w:r>
      <w:r>
        <w:t>taking</w:t>
      </w:r>
      <w:r w:rsidR="00BF059B">
        <w:t xml:space="preserve"> </w:t>
      </w:r>
      <w:r>
        <w:t>reasonable</w:t>
      </w:r>
      <w:r w:rsidR="00BF059B">
        <w:t xml:space="preserve"> </w:t>
      </w:r>
      <w:r>
        <w:t>steps</w:t>
      </w:r>
      <w:r w:rsidR="00BF059B">
        <w:t xml:space="preserve"> </w:t>
      </w:r>
      <w:r>
        <w:t>for</w:t>
      </w:r>
      <w:r w:rsidR="00BF059B">
        <w:t xml:space="preserve"> </w:t>
      </w:r>
      <w:r>
        <w:t>the</w:t>
      </w:r>
      <w:r w:rsidR="00BF059B">
        <w:t xml:space="preserve"> </w:t>
      </w:r>
      <w:r>
        <w:t>prevention</w:t>
      </w:r>
      <w:r w:rsidR="00BF059B">
        <w:t xml:space="preserve"> </w:t>
      </w:r>
      <w:r>
        <w:t>and</w:t>
      </w:r>
      <w:r w:rsidR="00BF059B">
        <w:t xml:space="preserve"> </w:t>
      </w:r>
      <w:r>
        <w:t>detection</w:t>
      </w:r>
      <w:r w:rsidR="00BF059B">
        <w:t xml:space="preserve"> </w:t>
      </w:r>
      <w:r>
        <w:t>of</w:t>
      </w:r>
      <w:r w:rsidR="00BF059B">
        <w:t xml:space="preserve"> </w:t>
      </w:r>
      <w:r>
        <w:t>fraud</w:t>
      </w:r>
      <w:r w:rsidR="00BF059B">
        <w:t xml:space="preserve"> </w:t>
      </w:r>
      <w:r>
        <w:t>and</w:t>
      </w:r>
      <w:r w:rsidR="00BF059B">
        <w:t xml:space="preserve"> </w:t>
      </w:r>
      <w:r>
        <w:t>other</w:t>
      </w:r>
      <w:r w:rsidR="00BF059B">
        <w:t xml:space="preserve"> </w:t>
      </w:r>
      <w:r>
        <w:t>irregularities.</w:t>
      </w:r>
    </w:p>
    <w:p w14:paraId="08586E0F" w14:textId="6B996472" w:rsidR="00BE13A8" w:rsidRDefault="00D70530" w:rsidP="00BA76E3">
      <w:pPr>
        <w:spacing w:before="280" w:after="280"/>
      </w:pPr>
      <w:r>
        <w:t>The</w:t>
      </w:r>
      <w:r w:rsidR="00BF059B">
        <w:t xml:space="preserve"> </w:t>
      </w:r>
      <w:r>
        <w:t>DCMS</w:t>
      </w:r>
      <w:r w:rsidR="00BF059B">
        <w:t xml:space="preserve"> </w:t>
      </w:r>
      <w:r>
        <w:t>Accounting</w:t>
      </w:r>
      <w:r w:rsidR="00BF059B">
        <w:t xml:space="preserve"> </w:t>
      </w:r>
      <w:r>
        <w:t>Officer</w:t>
      </w:r>
      <w:r w:rsidR="00BF059B">
        <w:t xml:space="preserve"> </w:t>
      </w:r>
      <w:r>
        <w:t>has</w:t>
      </w:r>
      <w:r w:rsidR="00BF059B">
        <w:t xml:space="preserve"> </w:t>
      </w:r>
      <w:r>
        <w:t>designated</w:t>
      </w:r>
      <w:r w:rsidR="00BF059B">
        <w:t xml:space="preserve"> </w:t>
      </w:r>
      <w:r>
        <w:t>the</w:t>
      </w:r>
      <w:r w:rsidR="00BF059B">
        <w:t xml:space="preserve"> </w:t>
      </w:r>
      <w:r>
        <w:t>Chief</w:t>
      </w:r>
      <w:r w:rsidR="00BF059B">
        <w:t xml:space="preserve"> </w:t>
      </w:r>
      <w:r>
        <w:t>Executive</w:t>
      </w:r>
      <w:r w:rsidR="00BF059B">
        <w:t xml:space="preserve"> </w:t>
      </w:r>
      <w:r>
        <w:t>of</w:t>
      </w:r>
      <w:r w:rsidR="00BF059B">
        <w:t xml:space="preserve"> </w:t>
      </w:r>
      <w:r>
        <w:t>the</w:t>
      </w:r>
      <w:r w:rsidR="00BF059B">
        <w:t xml:space="preserve"> </w:t>
      </w:r>
      <w:r>
        <w:t>Horniman</w:t>
      </w:r>
      <w:r w:rsidR="00BF059B">
        <w:t xml:space="preserve"> </w:t>
      </w:r>
      <w:r>
        <w:t>Public</w:t>
      </w:r>
      <w:r w:rsidR="00BF059B">
        <w:t xml:space="preserve"> </w:t>
      </w:r>
      <w:r>
        <w:t>Museum</w:t>
      </w:r>
      <w:r w:rsidR="00BF059B">
        <w:t xml:space="preserve"> </w:t>
      </w:r>
      <w:r>
        <w:t>and</w:t>
      </w:r>
      <w:r w:rsidR="00BF059B">
        <w:t xml:space="preserve"> </w:t>
      </w:r>
      <w:r>
        <w:t>Public</w:t>
      </w:r>
      <w:r w:rsidR="00BF059B">
        <w:t xml:space="preserve"> </w:t>
      </w:r>
      <w:r>
        <w:t>Park</w:t>
      </w:r>
      <w:r w:rsidR="00BF059B">
        <w:t xml:space="preserve"> </w:t>
      </w:r>
      <w:r>
        <w:t>Trust</w:t>
      </w:r>
      <w:r w:rsidR="00BF059B">
        <w:t xml:space="preserve"> </w:t>
      </w:r>
      <w:r>
        <w:t>as</w:t>
      </w:r>
      <w:r w:rsidR="00BF059B">
        <w:t xml:space="preserve"> </w:t>
      </w:r>
      <w:r>
        <w:t>the</w:t>
      </w:r>
      <w:r w:rsidR="00BF059B">
        <w:t xml:space="preserve"> </w:t>
      </w:r>
      <w:r>
        <w:t>Accounting</w:t>
      </w:r>
      <w:r w:rsidR="00BF059B">
        <w:t xml:space="preserve"> </w:t>
      </w:r>
      <w:r>
        <w:t>Officer.</w:t>
      </w:r>
      <w:r w:rsidR="00BF059B">
        <w:t xml:space="preserve"> </w:t>
      </w:r>
      <w:r>
        <w:t>The</w:t>
      </w:r>
      <w:r w:rsidR="00BF059B">
        <w:t xml:space="preserve"> </w:t>
      </w:r>
      <w:r>
        <w:t>relevant</w:t>
      </w:r>
      <w:r w:rsidR="00BF059B">
        <w:t xml:space="preserve"> </w:t>
      </w:r>
      <w:r>
        <w:t>duties,</w:t>
      </w:r>
      <w:r w:rsidR="00BF059B">
        <w:t xml:space="preserve"> </w:t>
      </w:r>
      <w:r>
        <w:t>including</w:t>
      </w:r>
      <w:r w:rsidR="00BF059B">
        <w:t xml:space="preserve"> </w:t>
      </w:r>
      <w:r>
        <w:t>responsibility</w:t>
      </w:r>
      <w:r w:rsidR="00BF059B">
        <w:t xml:space="preserve"> </w:t>
      </w:r>
      <w:r>
        <w:t>for</w:t>
      </w:r>
      <w:r w:rsidR="00BF059B">
        <w:t xml:space="preserve"> </w:t>
      </w:r>
      <w:r>
        <w:t>the</w:t>
      </w:r>
      <w:r w:rsidR="00BF059B">
        <w:t xml:space="preserve"> </w:t>
      </w:r>
      <w:r>
        <w:t>propriety</w:t>
      </w:r>
      <w:r w:rsidR="00BF059B">
        <w:t xml:space="preserve"> </w:t>
      </w:r>
      <w:r>
        <w:t>and</w:t>
      </w:r>
      <w:r w:rsidR="00BF059B">
        <w:t xml:space="preserve"> </w:t>
      </w:r>
      <w:r>
        <w:t>regularity</w:t>
      </w:r>
      <w:r w:rsidR="00BF059B">
        <w:t xml:space="preserve"> </w:t>
      </w:r>
      <w:r>
        <w:t>of</w:t>
      </w:r>
      <w:r w:rsidR="00BF059B">
        <w:t xml:space="preserve"> </w:t>
      </w:r>
      <w:r>
        <w:t>the</w:t>
      </w:r>
      <w:r w:rsidR="00BF059B">
        <w:t xml:space="preserve"> </w:t>
      </w:r>
      <w:r>
        <w:t>public</w:t>
      </w:r>
      <w:r w:rsidR="00BF059B">
        <w:t xml:space="preserve"> </w:t>
      </w:r>
      <w:r>
        <w:t>finances</w:t>
      </w:r>
      <w:r w:rsidR="00BF059B">
        <w:t xml:space="preserve"> </w:t>
      </w:r>
      <w:r>
        <w:t>for</w:t>
      </w:r>
      <w:r w:rsidR="00BF059B">
        <w:t xml:space="preserve"> </w:t>
      </w:r>
      <w:r>
        <w:t>which</w:t>
      </w:r>
      <w:r w:rsidR="00BF059B">
        <w:t xml:space="preserve"> </w:t>
      </w:r>
      <w:r>
        <w:t>the</w:t>
      </w:r>
      <w:r w:rsidR="00BF059B">
        <w:t xml:space="preserve"> </w:t>
      </w:r>
      <w:r>
        <w:t>Accounting</w:t>
      </w:r>
      <w:r w:rsidR="00BF059B">
        <w:t xml:space="preserve"> </w:t>
      </w:r>
      <w:r>
        <w:t>Officer</w:t>
      </w:r>
      <w:r w:rsidR="00BF059B">
        <w:t xml:space="preserve"> </w:t>
      </w:r>
      <w:r>
        <w:t>is</w:t>
      </w:r>
      <w:r w:rsidR="00BF059B">
        <w:t xml:space="preserve"> </w:t>
      </w:r>
      <w:r>
        <w:t>answerable</w:t>
      </w:r>
      <w:r w:rsidR="00BF059B">
        <w:t xml:space="preserve"> </w:t>
      </w:r>
      <w:r>
        <w:t>and</w:t>
      </w:r>
      <w:r w:rsidR="00BF059B">
        <w:t xml:space="preserve"> </w:t>
      </w:r>
      <w:r>
        <w:t>for</w:t>
      </w:r>
      <w:r w:rsidR="00BF059B">
        <w:t xml:space="preserve"> </w:t>
      </w:r>
      <w:r>
        <w:t>the</w:t>
      </w:r>
      <w:r w:rsidR="00BF059B">
        <w:t xml:space="preserve"> </w:t>
      </w:r>
      <w:r>
        <w:t>keeping</w:t>
      </w:r>
      <w:r w:rsidR="00BF059B">
        <w:t xml:space="preserve"> </w:t>
      </w:r>
      <w:r>
        <w:t>of</w:t>
      </w:r>
      <w:r w:rsidR="00BF059B">
        <w:t xml:space="preserve"> </w:t>
      </w:r>
      <w:r>
        <w:t>proper</w:t>
      </w:r>
      <w:r w:rsidR="00BF059B">
        <w:t xml:space="preserve"> </w:t>
      </w:r>
      <w:r>
        <w:t>records,</w:t>
      </w:r>
      <w:r w:rsidR="00BF059B">
        <w:t xml:space="preserve"> </w:t>
      </w:r>
      <w:r>
        <w:t>are</w:t>
      </w:r>
      <w:r w:rsidR="00BF059B">
        <w:t xml:space="preserve"> </w:t>
      </w:r>
      <w:r>
        <w:t>set</w:t>
      </w:r>
      <w:r w:rsidR="00BF059B">
        <w:t xml:space="preserve"> </w:t>
      </w:r>
      <w:r>
        <w:t>out</w:t>
      </w:r>
      <w:r w:rsidR="00BF059B">
        <w:t xml:space="preserve"> </w:t>
      </w:r>
      <w:r>
        <w:t>in</w:t>
      </w:r>
      <w:r w:rsidR="00BF059B">
        <w:t xml:space="preserve"> </w:t>
      </w:r>
      <w:r>
        <w:t>the</w:t>
      </w:r>
      <w:r w:rsidR="00BF059B">
        <w:t xml:space="preserve"> </w:t>
      </w:r>
      <w:r>
        <w:t>Non-Departmental</w:t>
      </w:r>
      <w:r w:rsidR="00BF059B">
        <w:t xml:space="preserve"> </w:t>
      </w:r>
      <w:r>
        <w:t>Public</w:t>
      </w:r>
      <w:r w:rsidR="00BF059B">
        <w:t xml:space="preserve"> </w:t>
      </w:r>
      <w:r>
        <w:t>Bodies’</w:t>
      </w:r>
      <w:r w:rsidR="00BF059B">
        <w:t xml:space="preserve"> </w:t>
      </w:r>
      <w:r>
        <w:t>Accounting</w:t>
      </w:r>
      <w:r w:rsidR="00BF059B">
        <w:t xml:space="preserve"> </w:t>
      </w:r>
      <w:r>
        <w:t>Officer</w:t>
      </w:r>
      <w:r w:rsidR="00BF059B">
        <w:t xml:space="preserve"> </w:t>
      </w:r>
      <w:r>
        <w:t>Memorandum,</w:t>
      </w:r>
      <w:r w:rsidR="00BF059B">
        <w:t xml:space="preserve"> </w:t>
      </w:r>
      <w:r>
        <w:t>issued</w:t>
      </w:r>
      <w:r w:rsidR="00BF059B">
        <w:t xml:space="preserve"> </w:t>
      </w:r>
      <w:r>
        <w:t>by</w:t>
      </w:r>
      <w:r w:rsidR="00BF059B">
        <w:t xml:space="preserve"> </w:t>
      </w:r>
      <w:r>
        <w:t>the</w:t>
      </w:r>
      <w:r w:rsidR="00BF059B">
        <w:t xml:space="preserve"> </w:t>
      </w:r>
      <w:r>
        <w:t>Treasury</w:t>
      </w:r>
      <w:r w:rsidR="00BF059B">
        <w:t xml:space="preserve"> </w:t>
      </w:r>
      <w:r>
        <w:t>and</w:t>
      </w:r>
      <w:r w:rsidR="00BF059B">
        <w:t xml:space="preserve"> </w:t>
      </w:r>
      <w:r>
        <w:t>published</w:t>
      </w:r>
      <w:r w:rsidR="00BF059B">
        <w:t xml:space="preserve"> </w:t>
      </w:r>
      <w:r>
        <w:t>in</w:t>
      </w:r>
      <w:r w:rsidR="00BF059B">
        <w:t xml:space="preserve"> </w:t>
      </w:r>
      <w:r>
        <w:t>Managing</w:t>
      </w:r>
      <w:r w:rsidR="00BF059B">
        <w:t xml:space="preserve"> </w:t>
      </w:r>
      <w:r>
        <w:t>Public</w:t>
      </w:r>
      <w:r w:rsidR="00BF059B">
        <w:t xml:space="preserve"> </w:t>
      </w:r>
      <w:r>
        <w:t>Money.</w:t>
      </w:r>
    </w:p>
    <w:p w14:paraId="32A96CFE" w14:textId="3C852676" w:rsidR="00BE13A8" w:rsidRDefault="00D70530" w:rsidP="00BA76E3">
      <w:pPr>
        <w:spacing w:before="280" w:after="280"/>
      </w:pPr>
      <w:r>
        <w:t>Financial</w:t>
      </w:r>
      <w:r w:rsidR="00BF059B">
        <w:t xml:space="preserve"> </w:t>
      </w:r>
      <w:r>
        <w:t>statements</w:t>
      </w:r>
      <w:r w:rsidR="00BF059B">
        <w:t xml:space="preserve"> </w:t>
      </w:r>
      <w:r>
        <w:t>are</w:t>
      </w:r>
      <w:r w:rsidR="00BF059B">
        <w:t xml:space="preserve"> </w:t>
      </w:r>
      <w:r>
        <w:t>published</w:t>
      </w:r>
      <w:r w:rsidR="00BF059B">
        <w:t xml:space="preserve"> </w:t>
      </w:r>
      <w:r>
        <w:t>on</w:t>
      </w:r>
      <w:r w:rsidR="00BF059B">
        <w:t xml:space="preserve"> </w:t>
      </w:r>
      <w:r>
        <w:t>the</w:t>
      </w:r>
      <w:r w:rsidR="00BF059B">
        <w:t xml:space="preserve"> </w:t>
      </w:r>
      <w:r>
        <w:t>charity’s</w:t>
      </w:r>
      <w:r w:rsidR="00BF059B">
        <w:t xml:space="preserve"> </w:t>
      </w:r>
      <w:r>
        <w:t>website</w:t>
      </w:r>
      <w:r w:rsidR="00BF059B">
        <w:t xml:space="preserve"> </w:t>
      </w:r>
      <w:r>
        <w:t>in</w:t>
      </w:r>
      <w:r w:rsidR="00BF059B">
        <w:t xml:space="preserve"> </w:t>
      </w:r>
      <w:r>
        <w:t>accordance</w:t>
      </w:r>
      <w:r w:rsidR="00BF059B">
        <w:t xml:space="preserve"> </w:t>
      </w:r>
      <w:r>
        <w:t>with</w:t>
      </w:r>
      <w:r w:rsidR="00BF059B">
        <w:t xml:space="preserve"> </w:t>
      </w:r>
      <w:r>
        <w:t>legislation</w:t>
      </w:r>
      <w:r w:rsidR="00BF059B">
        <w:t xml:space="preserve"> </w:t>
      </w:r>
      <w:r>
        <w:t>in</w:t>
      </w:r>
      <w:r w:rsidR="00BF059B">
        <w:t xml:space="preserve"> </w:t>
      </w:r>
      <w:r>
        <w:t>the</w:t>
      </w:r>
      <w:r w:rsidR="00BF059B">
        <w:t xml:space="preserve"> </w:t>
      </w:r>
      <w:r>
        <w:t>United</w:t>
      </w:r>
      <w:r w:rsidR="00BF059B">
        <w:t xml:space="preserve"> </w:t>
      </w:r>
      <w:r>
        <w:t>Kingdom</w:t>
      </w:r>
      <w:r w:rsidR="00BF059B">
        <w:t xml:space="preserve"> </w:t>
      </w:r>
      <w:r>
        <w:t>governing</w:t>
      </w:r>
      <w:r w:rsidR="00BF059B">
        <w:t xml:space="preserve"> </w:t>
      </w:r>
      <w:r>
        <w:t>the</w:t>
      </w:r>
      <w:r w:rsidR="00BF059B">
        <w:t xml:space="preserve"> </w:t>
      </w:r>
      <w:r>
        <w:t>preparation</w:t>
      </w:r>
      <w:r w:rsidR="00BF059B">
        <w:t xml:space="preserve"> </w:t>
      </w:r>
      <w:r>
        <w:t>and</w:t>
      </w:r>
      <w:r w:rsidR="00BF059B">
        <w:t xml:space="preserve"> </w:t>
      </w:r>
      <w:r>
        <w:t>dissemination</w:t>
      </w:r>
      <w:r w:rsidR="00BF059B">
        <w:t xml:space="preserve"> </w:t>
      </w:r>
      <w:r>
        <w:t>of</w:t>
      </w:r>
      <w:r w:rsidR="00BF059B">
        <w:rPr>
          <w:i/>
        </w:rPr>
        <w:t xml:space="preserve"> </w:t>
      </w:r>
      <w:r>
        <w:t>financial</w:t>
      </w:r>
      <w:r w:rsidR="00BF059B">
        <w:t xml:space="preserve"> </w:t>
      </w:r>
      <w:r>
        <w:t>statements,</w:t>
      </w:r>
      <w:r w:rsidR="00BF059B">
        <w:t xml:space="preserve"> </w:t>
      </w:r>
      <w:r>
        <w:t>which</w:t>
      </w:r>
      <w:r w:rsidR="00BF059B">
        <w:t xml:space="preserve"> </w:t>
      </w:r>
      <w:r>
        <w:t>may</w:t>
      </w:r>
      <w:r w:rsidR="00BF059B">
        <w:t xml:space="preserve"> </w:t>
      </w:r>
      <w:r>
        <w:t>vary</w:t>
      </w:r>
      <w:r w:rsidR="00BF059B">
        <w:t xml:space="preserve"> </w:t>
      </w:r>
      <w:r>
        <w:t>from</w:t>
      </w:r>
      <w:r w:rsidR="00BF059B">
        <w:t xml:space="preserve"> </w:t>
      </w:r>
      <w:r>
        <w:t>legislation</w:t>
      </w:r>
      <w:r w:rsidR="00BF059B">
        <w:t xml:space="preserve"> </w:t>
      </w:r>
      <w:r>
        <w:t>in</w:t>
      </w:r>
      <w:r w:rsidR="00BF059B">
        <w:t xml:space="preserve"> </w:t>
      </w:r>
      <w:r>
        <w:t>other</w:t>
      </w:r>
      <w:r w:rsidR="00BF059B">
        <w:t xml:space="preserve"> </w:t>
      </w:r>
      <w:r>
        <w:t>jurisdictions.</w:t>
      </w:r>
      <w:r w:rsidR="00BF059B">
        <w:t xml:space="preserve"> </w:t>
      </w:r>
      <w:r>
        <w:t>The</w:t>
      </w:r>
      <w:r w:rsidR="00BF059B">
        <w:t xml:space="preserve"> </w:t>
      </w:r>
      <w:r>
        <w:t>maintenance</w:t>
      </w:r>
      <w:r w:rsidR="00BF059B">
        <w:t xml:space="preserve"> </w:t>
      </w:r>
      <w:r>
        <w:t>and</w:t>
      </w:r>
      <w:r w:rsidR="00BF059B">
        <w:t xml:space="preserve"> </w:t>
      </w:r>
      <w:r>
        <w:t>integrity</w:t>
      </w:r>
      <w:r w:rsidR="00BF059B">
        <w:t xml:space="preserve"> </w:t>
      </w:r>
      <w:r>
        <w:t>of</w:t>
      </w:r>
      <w:r w:rsidR="00BF059B">
        <w:t xml:space="preserve"> </w:t>
      </w:r>
      <w:r>
        <w:t>the</w:t>
      </w:r>
      <w:r w:rsidR="00BF059B">
        <w:t xml:space="preserve"> </w:t>
      </w:r>
      <w:r>
        <w:t>group's</w:t>
      </w:r>
      <w:r w:rsidR="00BF059B">
        <w:t xml:space="preserve"> </w:t>
      </w:r>
      <w:r>
        <w:t>website</w:t>
      </w:r>
      <w:r w:rsidR="00BF059B">
        <w:t xml:space="preserve"> </w:t>
      </w:r>
      <w:r>
        <w:t>is</w:t>
      </w:r>
      <w:r w:rsidR="00BF059B">
        <w:t xml:space="preserve"> </w:t>
      </w:r>
      <w:r>
        <w:t>the</w:t>
      </w:r>
      <w:r w:rsidR="00BF059B">
        <w:t xml:space="preserve"> </w:t>
      </w:r>
      <w:r>
        <w:t>responsibility</w:t>
      </w:r>
      <w:r w:rsidR="00BF059B">
        <w:t xml:space="preserve"> </w:t>
      </w:r>
      <w:r>
        <w:t>of</w:t>
      </w:r>
      <w:r w:rsidR="00BF059B">
        <w:t xml:space="preserve"> </w:t>
      </w:r>
      <w:r>
        <w:t>the</w:t>
      </w:r>
      <w:r w:rsidR="00BF059B">
        <w:t xml:space="preserve"> </w:t>
      </w:r>
      <w:r>
        <w:t>Trustees.</w:t>
      </w:r>
      <w:r w:rsidR="00BF059B">
        <w:t xml:space="preserve"> </w:t>
      </w:r>
      <w:r>
        <w:t>The</w:t>
      </w:r>
      <w:r w:rsidR="00BF059B">
        <w:t xml:space="preserve"> </w:t>
      </w:r>
      <w:r>
        <w:t>Trustees’</w:t>
      </w:r>
      <w:r w:rsidR="00BF059B">
        <w:t xml:space="preserve"> </w:t>
      </w:r>
      <w:r>
        <w:t>responsibility</w:t>
      </w:r>
      <w:r w:rsidR="00BF059B">
        <w:t xml:space="preserve"> </w:t>
      </w:r>
      <w:r>
        <w:t>also</w:t>
      </w:r>
      <w:r w:rsidR="00BF059B">
        <w:t xml:space="preserve"> </w:t>
      </w:r>
      <w:r>
        <w:t>extends</w:t>
      </w:r>
      <w:r w:rsidR="00BF059B">
        <w:t xml:space="preserve"> </w:t>
      </w:r>
      <w:r>
        <w:t>to</w:t>
      </w:r>
      <w:r w:rsidR="00BF059B">
        <w:t xml:space="preserve"> </w:t>
      </w:r>
      <w:r>
        <w:t>the</w:t>
      </w:r>
      <w:r w:rsidR="00BF059B">
        <w:t xml:space="preserve"> </w:t>
      </w:r>
      <w:r>
        <w:t>ongoing</w:t>
      </w:r>
      <w:r w:rsidR="00BF059B">
        <w:t xml:space="preserve"> </w:t>
      </w:r>
      <w:r>
        <w:t>integrity</w:t>
      </w:r>
      <w:r w:rsidR="00BF059B">
        <w:t xml:space="preserve"> </w:t>
      </w:r>
      <w:r>
        <w:t>of</w:t>
      </w:r>
      <w:r w:rsidR="00BF059B">
        <w:t xml:space="preserve"> </w:t>
      </w:r>
      <w:r>
        <w:t>the</w:t>
      </w:r>
      <w:r w:rsidR="00BF059B">
        <w:t xml:space="preserve"> </w:t>
      </w:r>
      <w:r>
        <w:t>financial</w:t>
      </w:r>
      <w:r w:rsidR="00BF059B">
        <w:t xml:space="preserve"> </w:t>
      </w:r>
      <w:r>
        <w:t>statements</w:t>
      </w:r>
      <w:r w:rsidR="00BF059B">
        <w:t xml:space="preserve"> </w:t>
      </w:r>
      <w:r>
        <w:t>contained</w:t>
      </w:r>
      <w:r w:rsidR="00BF059B">
        <w:t xml:space="preserve"> </w:t>
      </w:r>
      <w:r>
        <w:t>therein.</w:t>
      </w:r>
    </w:p>
    <w:p w14:paraId="28C721EB" w14:textId="5468DFB3" w:rsidR="00BE13A8" w:rsidRDefault="00D70530" w:rsidP="00BA76E3">
      <w:pPr>
        <w:pStyle w:val="Heading3"/>
      </w:pPr>
      <w:r>
        <w:t>Audit</w:t>
      </w:r>
      <w:r w:rsidR="00BF059B">
        <w:t xml:space="preserve"> </w:t>
      </w:r>
      <w:r>
        <w:t>information</w:t>
      </w:r>
    </w:p>
    <w:p w14:paraId="7A6CFF72" w14:textId="3DAEBCD9" w:rsidR="00BE13A8" w:rsidRDefault="00D70530" w:rsidP="00BA76E3">
      <w:r>
        <w:t>In</w:t>
      </w:r>
      <w:r w:rsidR="00BF059B">
        <w:t xml:space="preserve"> </w:t>
      </w:r>
      <w:r>
        <w:t>so</w:t>
      </w:r>
      <w:r w:rsidR="00BF059B">
        <w:t xml:space="preserve"> </w:t>
      </w:r>
      <w:r>
        <w:t>far</w:t>
      </w:r>
      <w:r w:rsidR="00BF059B">
        <w:t xml:space="preserve"> </w:t>
      </w:r>
      <w:r>
        <w:t>as</w:t>
      </w:r>
      <w:r w:rsidR="00BF059B">
        <w:t xml:space="preserve"> </w:t>
      </w:r>
      <w:r>
        <w:t>the</w:t>
      </w:r>
      <w:r w:rsidR="00BF059B">
        <w:t xml:space="preserve"> </w:t>
      </w:r>
      <w:r>
        <w:t>Trustees</w:t>
      </w:r>
      <w:r w:rsidR="00BF059B">
        <w:t xml:space="preserve"> </w:t>
      </w:r>
      <w:r>
        <w:t>and</w:t>
      </w:r>
      <w:r w:rsidR="00BF059B">
        <w:t xml:space="preserve"> </w:t>
      </w:r>
      <w:r>
        <w:t>Accounting</w:t>
      </w:r>
      <w:r w:rsidR="00BF059B">
        <w:t xml:space="preserve"> </w:t>
      </w:r>
      <w:r>
        <w:t>Officer</w:t>
      </w:r>
      <w:r w:rsidR="00BF059B">
        <w:t xml:space="preserve"> </w:t>
      </w:r>
      <w:r>
        <w:t>are</w:t>
      </w:r>
      <w:r w:rsidR="00BF059B">
        <w:t xml:space="preserve"> </w:t>
      </w:r>
      <w:r>
        <w:t>aware:</w:t>
      </w:r>
    </w:p>
    <w:p w14:paraId="4290B8C4" w14:textId="77777777" w:rsidR="00BE13A8" w:rsidRDefault="00BE13A8" w:rsidP="00BA76E3"/>
    <w:p w14:paraId="450D16E3" w14:textId="733E4C7D" w:rsidR="00BE13A8" w:rsidRDefault="00D70530" w:rsidP="00BA76E3">
      <w:pPr>
        <w:numPr>
          <w:ilvl w:val="0"/>
          <w:numId w:val="23"/>
        </w:numPr>
        <w:ind w:left="426"/>
      </w:pPr>
      <w:r>
        <w:t>there</w:t>
      </w:r>
      <w:r w:rsidR="00BF059B">
        <w:t xml:space="preserve"> </w:t>
      </w:r>
      <w:r>
        <w:t>is</w:t>
      </w:r>
      <w:r w:rsidR="00BF059B">
        <w:t xml:space="preserve"> </w:t>
      </w:r>
      <w:r>
        <w:t>no</w:t>
      </w:r>
      <w:r w:rsidR="00BF059B">
        <w:t xml:space="preserve"> </w:t>
      </w:r>
      <w:r>
        <w:t>relevant</w:t>
      </w:r>
      <w:r w:rsidR="00BF059B">
        <w:t xml:space="preserve"> </w:t>
      </w:r>
      <w:r>
        <w:t>audit</w:t>
      </w:r>
      <w:r w:rsidR="00BF059B">
        <w:t xml:space="preserve"> </w:t>
      </w:r>
      <w:r>
        <w:t>information</w:t>
      </w:r>
      <w:r w:rsidR="00BF059B">
        <w:t xml:space="preserve"> </w:t>
      </w:r>
      <w:r>
        <w:t>of</w:t>
      </w:r>
      <w:r w:rsidR="00BF059B">
        <w:t xml:space="preserve"> </w:t>
      </w:r>
      <w:r>
        <w:t>which</w:t>
      </w:r>
      <w:r w:rsidR="00BF059B">
        <w:t xml:space="preserve"> </w:t>
      </w:r>
      <w:r>
        <w:t>the</w:t>
      </w:r>
      <w:r w:rsidR="00BF059B">
        <w:t xml:space="preserve"> </w:t>
      </w:r>
      <w:r>
        <w:t>charitable</w:t>
      </w:r>
      <w:r w:rsidR="00BF059B">
        <w:t xml:space="preserve"> </w:t>
      </w:r>
      <w:r>
        <w:t>company’s</w:t>
      </w:r>
      <w:r w:rsidR="00BF059B">
        <w:t xml:space="preserve"> </w:t>
      </w:r>
      <w:r>
        <w:t>auditor</w:t>
      </w:r>
      <w:r w:rsidR="00BF059B">
        <w:t xml:space="preserve"> </w:t>
      </w:r>
      <w:r>
        <w:t>is</w:t>
      </w:r>
      <w:r w:rsidR="00BF059B">
        <w:t xml:space="preserve"> </w:t>
      </w:r>
      <w:r>
        <w:t>unaware;</w:t>
      </w:r>
      <w:r w:rsidR="00BF059B">
        <w:t xml:space="preserve"> </w:t>
      </w:r>
      <w:r>
        <w:t>and</w:t>
      </w:r>
    </w:p>
    <w:p w14:paraId="2233DA95" w14:textId="47686587" w:rsidR="00BE13A8" w:rsidRDefault="00D70530" w:rsidP="00BA76E3">
      <w:pPr>
        <w:numPr>
          <w:ilvl w:val="0"/>
          <w:numId w:val="23"/>
        </w:numPr>
        <w:ind w:left="426"/>
      </w:pPr>
      <w:r>
        <w:t>the</w:t>
      </w:r>
      <w:r w:rsidR="00BF059B">
        <w:t xml:space="preserve"> </w:t>
      </w:r>
      <w:r>
        <w:t>Trustees</w:t>
      </w:r>
      <w:r w:rsidR="00BF059B">
        <w:t xml:space="preserve"> </w:t>
      </w:r>
      <w:r>
        <w:t>have</w:t>
      </w:r>
      <w:r w:rsidR="00BF059B">
        <w:t xml:space="preserve"> </w:t>
      </w:r>
      <w:r>
        <w:t>taken</w:t>
      </w:r>
      <w:r w:rsidR="00BF059B">
        <w:t xml:space="preserve"> </w:t>
      </w:r>
      <w:r>
        <w:t>all</w:t>
      </w:r>
      <w:r w:rsidR="00BF059B">
        <w:t xml:space="preserve"> </w:t>
      </w:r>
      <w:r>
        <w:t>steps</w:t>
      </w:r>
      <w:r w:rsidR="00BF059B">
        <w:t xml:space="preserve"> </w:t>
      </w:r>
      <w:r>
        <w:t>that</w:t>
      </w:r>
      <w:r w:rsidR="00BF059B">
        <w:t xml:space="preserve"> </w:t>
      </w:r>
      <w:r>
        <w:t>they</w:t>
      </w:r>
      <w:r w:rsidR="00BF059B">
        <w:t xml:space="preserve"> </w:t>
      </w:r>
      <w:r>
        <w:t>ought</w:t>
      </w:r>
      <w:r w:rsidR="00BF059B">
        <w:t xml:space="preserve"> </w:t>
      </w:r>
      <w:r>
        <w:t>to</w:t>
      </w:r>
      <w:r w:rsidR="00BF059B">
        <w:t xml:space="preserve"> </w:t>
      </w:r>
      <w:r>
        <w:t>have</w:t>
      </w:r>
      <w:r w:rsidR="00BF059B">
        <w:t xml:space="preserve"> </w:t>
      </w:r>
      <w:r>
        <w:t>taken</w:t>
      </w:r>
      <w:r w:rsidR="00BF059B">
        <w:t xml:space="preserve"> </w:t>
      </w:r>
      <w:r>
        <w:t>to</w:t>
      </w:r>
      <w:r w:rsidR="00BF059B">
        <w:t xml:space="preserve"> </w:t>
      </w:r>
      <w:r>
        <w:t>make</w:t>
      </w:r>
      <w:r w:rsidR="00BF059B">
        <w:t xml:space="preserve"> </w:t>
      </w:r>
      <w:r>
        <w:t>themselves</w:t>
      </w:r>
      <w:r w:rsidR="00BF059B">
        <w:t xml:space="preserve"> </w:t>
      </w:r>
      <w:r>
        <w:t>aware</w:t>
      </w:r>
      <w:r w:rsidR="00BF059B">
        <w:t xml:space="preserve"> </w:t>
      </w:r>
      <w:r>
        <w:t>of</w:t>
      </w:r>
      <w:r w:rsidR="00BF059B">
        <w:t xml:space="preserve"> </w:t>
      </w:r>
      <w:r>
        <w:t>any</w:t>
      </w:r>
      <w:r w:rsidR="00BF059B">
        <w:t xml:space="preserve"> </w:t>
      </w:r>
      <w:r>
        <w:t>relevant</w:t>
      </w:r>
      <w:r w:rsidR="00BF059B">
        <w:t xml:space="preserve"> </w:t>
      </w:r>
      <w:r>
        <w:t>audit</w:t>
      </w:r>
      <w:r w:rsidR="00BF059B">
        <w:t xml:space="preserve"> </w:t>
      </w:r>
      <w:r>
        <w:t>information</w:t>
      </w:r>
      <w:r w:rsidR="00BF059B">
        <w:t xml:space="preserve"> </w:t>
      </w:r>
      <w:r>
        <w:t>and</w:t>
      </w:r>
      <w:r w:rsidR="00BF059B">
        <w:t xml:space="preserve"> </w:t>
      </w:r>
      <w:r>
        <w:t>to</w:t>
      </w:r>
      <w:r w:rsidR="00BF059B">
        <w:t xml:space="preserve"> </w:t>
      </w:r>
      <w:r>
        <w:t>establish</w:t>
      </w:r>
      <w:r w:rsidR="00BF059B">
        <w:t xml:space="preserve"> </w:t>
      </w:r>
      <w:r>
        <w:t>that</w:t>
      </w:r>
      <w:r w:rsidR="00BF059B">
        <w:t xml:space="preserve"> </w:t>
      </w:r>
      <w:r>
        <w:t>the</w:t>
      </w:r>
      <w:r w:rsidR="00BF059B">
        <w:t xml:space="preserve"> </w:t>
      </w:r>
      <w:r>
        <w:t>auditor</w:t>
      </w:r>
      <w:r w:rsidR="00BF059B">
        <w:t xml:space="preserve"> </w:t>
      </w:r>
      <w:r>
        <w:t>is</w:t>
      </w:r>
      <w:r w:rsidR="00BF059B">
        <w:t xml:space="preserve"> </w:t>
      </w:r>
      <w:r>
        <w:t>aware</w:t>
      </w:r>
      <w:r w:rsidR="00BF059B">
        <w:t xml:space="preserve"> </w:t>
      </w:r>
      <w:r>
        <w:t>of</w:t>
      </w:r>
      <w:r w:rsidR="00BF059B">
        <w:t xml:space="preserve"> </w:t>
      </w:r>
      <w:r>
        <w:t>that</w:t>
      </w:r>
      <w:r w:rsidR="00BF059B">
        <w:t xml:space="preserve"> </w:t>
      </w:r>
      <w:r>
        <w:t>information.</w:t>
      </w:r>
      <w:r w:rsidR="00BF059B">
        <w:t xml:space="preserve"> </w:t>
      </w:r>
    </w:p>
    <w:p w14:paraId="761098A1" w14:textId="77777777" w:rsidR="00BE13A8" w:rsidRDefault="00BE13A8" w:rsidP="00BA76E3"/>
    <w:p w14:paraId="11AE7740" w14:textId="77777777" w:rsidR="00BA76E3" w:rsidRDefault="00BA76E3" w:rsidP="00BA76E3">
      <w:pPr>
        <w:rPr>
          <w:color w:val="000000"/>
        </w:rPr>
      </w:pPr>
      <w:r>
        <w:rPr>
          <w:color w:val="000000"/>
        </w:rPr>
        <w:t>Michael Salter-Church</w:t>
      </w:r>
    </w:p>
    <w:p w14:paraId="6D219AA1" w14:textId="77777777" w:rsidR="00BA76E3" w:rsidRDefault="00BA76E3" w:rsidP="00BA76E3">
      <w:pPr>
        <w:tabs>
          <w:tab w:val="left" w:pos="5954"/>
        </w:tabs>
        <w:rPr>
          <w:color w:val="000000"/>
        </w:rPr>
      </w:pPr>
      <w:r>
        <w:rPr>
          <w:color w:val="000000"/>
        </w:rPr>
        <w:t xml:space="preserve">Chair </w:t>
      </w:r>
    </w:p>
    <w:p w14:paraId="3D35FE29" w14:textId="77777777" w:rsidR="00BA76E3" w:rsidRDefault="00BA76E3" w:rsidP="00BA76E3">
      <w:pPr>
        <w:tabs>
          <w:tab w:val="left" w:pos="5954"/>
        </w:tabs>
      </w:pPr>
      <w:r>
        <w:t>Date: 24 July 2025</w:t>
      </w:r>
    </w:p>
    <w:p w14:paraId="5B64457B" w14:textId="77777777" w:rsidR="00BA76E3" w:rsidRDefault="00BA76E3" w:rsidP="00BA76E3">
      <w:pPr>
        <w:tabs>
          <w:tab w:val="left" w:pos="5954"/>
        </w:tabs>
      </w:pPr>
    </w:p>
    <w:p w14:paraId="30CA70AD" w14:textId="77777777" w:rsidR="00BA76E3" w:rsidRDefault="00BA76E3" w:rsidP="00BA76E3">
      <w:pPr>
        <w:tabs>
          <w:tab w:val="left" w:pos="5954"/>
        </w:tabs>
      </w:pPr>
      <w:r>
        <w:rPr>
          <w:color w:val="000000"/>
        </w:rPr>
        <w:t>Gordon Seabright</w:t>
      </w:r>
    </w:p>
    <w:p w14:paraId="61517363" w14:textId="77777777" w:rsidR="00BA76E3" w:rsidRDefault="00BA76E3" w:rsidP="00BA76E3">
      <w:pPr>
        <w:tabs>
          <w:tab w:val="left" w:pos="5954"/>
        </w:tabs>
        <w:rPr>
          <w:color w:val="000000"/>
        </w:rPr>
      </w:pPr>
      <w:r>
        <w:rPr>
          <w:color w:val="000000"/>
        </w:rPr>
        <w:t>Accounting Officer</w:t>
      </w:r>
    </w:p>
    <w:p w14:paraId="0CC4954E" w14:textId="77777777" w:rsidR="00BA76E3" w:rsidRDefault="00BA76E3" w:rsidP="00BA76E3">
      <w:pPr>
        <w:tabs>
          <w:tab w:val="left" w:pos="5954"/>
        </w:tabs>
      </w:pPr>
      <w:r>
        <w:t>Date: 24 July 2025</w:t>
      </w:r>
    </w:p>
    <w:p w14:paraId="698796BB" w14:textId="77777777" w:rsidR="00BA76E3" w:rsidRDefault="00BA76E3" w:rsidP="00BA76E3">
      <w:pPr>
        <w:rPr>
          <w:color w:val="FF0000"/>
        </w:rPr>
      </w:pPr>
    </w:p>
    <w:p w14:paraId="5260F21A" w14:textId="77777777" w:rsidR="00BE13A8" w:rsidRDefault="00BE13A8">
      <w:pPr>
        <w:pBdr>
          <w:top w:val="nil"/>
          <w:left w:val="nil"/>
          <w:bottom w:val="nil"/>
          <w:right w:val="nil"/>
          <w:between w:val="nil"/>
        </w:pBdr>
        <w:tabs>
          <w:tab w:val="center" w:pos="4153"/>
          <w:tab w:val="right" w:pos="8306"/>
        </w:tabs>
        <w:rPr>
          <w:color w:val="FF0000"/>
        </w:rPr>
      </w:pPr>
    </w:p>
    <w:p w14:paraId="6C34C03F" w14:textId="77777777" w:rsidR="00BE13A8" w:rsidRDefault="00BE13A8">
      <w:pPr>
        <w:pBdr>
          <w:top w:val="nil"/>
          <w:left w:val="nil"/>
          <w:bottom w:val="nil"/>
          <w:right w:val="nil"/>
          <w:between w:val="nil"/>
        </w:pBdr>
        <w:tabs>
          <w:tab w:val="center" w:pos="4153"/>
          <w:tab w:val="right" w:pos="8306"/>
        </w:tabs>
        <w:rPr>
          <w:i/>
          <w:color w:val="FF0000"/>
        </w:rPr>
      </w:pPr>
    </w:p>
    <w:p w14:paraId="52B27EA5" w14:textId="77777777" w:rsidR="00BA76E3" w:rsidRDefault="00D70530" w:rsidP="00BA76E3">
      <w:pPr>
        <w:pStyle w:val="Heading2"/>
      </w:pPr>
      <w:bookmarkStart w:id="10" w:name="_heading=h.6n06tvj0kznh" w:colFirst="0" w:colLast="0"/>
      <w:bookmarkEnd w:id="10"/>
      <w:r>
        <w:lastRenderedPageBreak/>
        <w:t>Governance</w:t>
      </w:r>
      <w:r w:rsidR="00BF059B">
        <w:t xml:space="preserve"> </w:t>
      </w:r>
      <w:r>
        <w:t>Statement</w:t>
      </w:r>
      <w:r w:rsidR="00BF059B">
        <w:t xml:space="preserve"> </w:t>
      </w:r>
    </w:p>
    <w:p w14:paraId="3D181A19" w14:textId="77777777" w:rsidR="00BA76E3" w:rsidRDefault="00BA76E3" w:rsidP="00BA76E3">
      <w:pPr>
        <w:pStyle w:val="Heading2"/>
      </w:pPr>
    </w:p>
    <w:p w14:paraId="0DD99C05" w14:textId="74781059" w:rsidR="00BE13A8" w:rsidRDefault="00D70530" w:rsidP="00BA76E3">
      <w:pPr>
        <w:pStyle w:val="Heading3"/>
      </w:pPr>
      <w:r>
        <w:t>Scope</w:t>
      </w:r>
      <w:r w:rsidR="00BF059B">
        <w:t xml:space="preserve"> </w:t>
      </w:r>
      <w:r>
        <w:t>of</w:t>
      </w:r>
      <w:r w:rsidR="00BF059B">
        <w:t xml:space="preserve"> </w:t>
      </w:r>
      <w:r>
        <w:t>responsibility</w:t>
      </w:r>
    </w:p>
    <w:p w14:paraId="704312ED" w14:textId="77777777" w:rsidR="00BE13A8" w:rsidRDefault="00BE13A8"/>
    <w:p w14:paraId="583A0741" w14:textId="7960505D" w:rsidR="00BE13A8" w:rsidRDefault="00D70530" w:rsidP="00BA76E3">
      <w:pPr>
        <w:tabs>
          <w:tab w:val="left" w:pos="397"/>
        </w:tabs>
      </w:pPr>
      <w:r>
        <w:t>As</w:t>
      </w:r>
      <w:r w:rsidR="00BF059B">
        <w:t xml:space="preserve"> </w:t>
      </w:r>
      <w:r>
        <w:t>Accounting</w:t>
      </w:r>
      <w:r w:rsidR="00BF059B">
        <w:t xml:space="preserve"> </w:t>
      </w:r>
      <w:r>
        <w:t>Officer</w:t>
      </w:r>
      <w:r w:rsidR="00BF059B">
        <w:t xml:space="preserve"> </w:t>
      </w:r>
      <w:r>
        <w:t>and</w:t>
      </w:r>
      <w:r w:rsidR="00BF059B">
        <w:t xml:space="preserve"> </w:t>
      </w:r>
      <w:r>
        <w:t>Trustees</w:t>
      </w:r>
      <w:r w:rsidR="00BF059B">
        <w:t xml:space="preserve"> </w:t>
      </w:r>
      <w:r>
        <w:t>of</w:t>
      </w:r>
      <w:r w:rsidR="00BF059B">
        <w:t xml:space="preserve"> </w:t>
      </w:r>
      <w:r>
        <w:t>the</w:t>
      </w:r>
      <w:r w:rsidR="00BF059B">
        <w:t xml:space="preserve"> </w:t>
      </w:r>
      <w:r>
        <w:t>Horniman</w:t>
      </w:r>
      <w:r w:rsidR="00BF059B">
        <w:t xml:space="preserve"> </w:t>
      </w:r>
      <w:r>
        <w:t>Museum</w:t>
      </w:r>
      <w:r w:rsidR="00BF059B">
        <w:t xml:space="preserve"> </w:t>
      </w:r>
      <w:r>
        <w:t>and</w:t>
      </w:r>
      <w:r w:rsidR="00BF059B">
        <w:t xml:space="preserve"> </w:t>
      </w:r>
      <w:r>
        <w:t>Gardens,</w:t>
      </w:r>
      <w:r w:rsidR="00BF059B">
        <w:t xml:space="preserve"> </w:t>
      </w:r>
      <w:r>
        <w:t>we</w:t>
      </w:r>
      <w:r w:rsidR="00BF059B">
        <w:t xml:space="preserve"> </w:t>
      </w:r>
      <w:r>
        <w:t>have</w:t>
      </w:r>
      <w:r w:rsidR="00BF059B">
        <w:t xml:space="preserve"> </w:t>
      </w:r>
      <w:r>
        <w:t>responsibility</w:t>
      </w:r>
      <w:r w:rsidR="00BF059B">
        <w:t xml:space="preserve"> </w:t>
      </w:r>
      <w:r>
        <w:t>for</w:t>
      </w:r>
      <w:r w:rsidR="00BF059B">
        <w:t xml:space="preserve"> </w:t>
      </w:r>
      <w:r>
        <w:t>putting</w:t>
      </w:r>
      <w:r w:rsidR="00BF059B">
        <w:t xml:space="preserve"> </w:t>
      </w:r>
      <w:r>
        <w:t>in</w:t>
      </w:r>
      <w:r w:rsidR="00BF059B">
        <w:t xml:space="preserve"> </w:t>
      </w:r>
      <w:r>
        <w:t>place</w:t>
      </w:r>
      <w:r w:rsidR="00BF059B">
        <w:t xml:space="preserve"> </w:t>
      </w:r>
      <w:r>
        <w:t>and</w:t>
      </w:r>
      <w:r w:rsidR="00BF059B">
        <w:t xml:space="preserve"> </w:t>
      </w:r>
      <w:r>
        <w:t>maintaining</w:t>
      </w:r>
      <w:r w:rsidR="00BF059B">
        <w:t xml:space="preserve"> </w:t>
      </w:r>
      <w:r>
        <w:t>proper</w:t>
      </w:r>
      <w:r w:rsidR="00BF059B">
        <w:t xml:space="preserve"> </w:t>
      </w:r>
      <w:r>
        <w:t>arrangements</w:t>
      </w:r>
      <w:r w:rsidR="00BF059B">
        <w:t xml:space="preserve"> </w:t>
      </w:r>
      <w:r>
        <w:t>for</w:t>
      </w:r>
      <w:r w:rsidR="00BF059B">
        <w:t xml:space="preserve"> </w:t>
      </w:r>
      <w:r>
        <w:t>the</w:t>
      </w:r>
      <w:r w:rsidR="00BF059B">
        <w:t xml:space="preserve"> </w:t>
      </w:r>
      <w:r>
        <w:t>governance</w:t>
      </w:r>
      <w:r w:rsidR="00BF059B">
        <w:t xml:space="preserve"> </w:t>
      </w:r>
      <w:r>
        <w:t>of</w:t>
      </w:r>
      <w:r w:rsidR="00BF059B">
        <w:t xml:space="preserve"> </w:t>
      </w:r>
      <w:r>
        <w:t>the</w:t>
      </w:r>
      <w:r w:rsidR="00BF059B">
        <w:t xml:space="preserve"> </w:t>
      </w:r>
      <w:r>
        <w:t>Horniman’s</w:t>
      </w:r>
      <w:r w:rsidR="00BF059B">
        <w:t xml:space="preserve"> </w:t>
      </w:r>
      <w:r>
        <w:t>affairs</w:t>
      </w:r>
      <w:r w:rsidR="00BF059B">
        <w:t xml:space="preserve"> </w:t>
      </w:r>
      <w:r>
        <w:t>together</w:t>
      </w:r>
      <w:r w:rsidR="00BF059B">
        <w:t xml:space="preserve"> </w:t>
      </w:r>
      <w:r>
        <w:t>with</w:t>
      </w:r>
      <w:r w:rsidR="00BF059B">
        <w:t xml:space="preserve"> </w:t>
      </w:r>
      <w:r>
        <w:t>a</w:t>
      </w:r>
      <w:r w:rsidR="00BF059B">
        <w:t xml:space="preserve"> </w:t>
      </w:r>
      <w:r>
        <w:t>sound</w:t>
      </w:r>
      <w:r w:rsidR="00BF059B">
        <w:t xml:space="preserve"> </w:t>
      </w:r>
      <w:r>
        <w:t>system</w:t>
      </w:r>
      <w:r w:rsidR="00BF059B">
        <w:t xml:space="preserve"> </w:t>
      </w:r>
      <w:r>
        <w:t>of</w:t>
      </w:r>
      <w:r w:rsidR="00BF059B">
        <w:t xml:space="preserve"> </w:t>
      </w:r>
      <w:r>
        <w:t>internal</w:t>
      </w:r>
      <w:r w:rsidR="00BF059B">
        <w:t xml:space="preserve"> </w:t>
      </w:r>
      <w:r>
        <w:t>control</w:t>
      </w:r>
      <w:r w:rsidR="00BF059B">
        <w:t xml:space="preserve"> </w:t>
      </w:r>
      <w:r>
        <w:t>that</w:t>
      </w:r>
      <w:r w:rsidR="00BF059B">
        <w:t xml:space="preserve"> </w:t>
      </w:r>
      <w:r>
        <w:t>supports</w:t>
      </w:r>
      <w:r w:rsidR="00BF059B">
        <w:t xml:space="preserve"> </w:t>
      </w:r>
      <w:r>
        <w:t>the</w:t>
      </w:r>
      <w:r w:rsidR="00BF059B">
        <w:t xml:space="preserve"> </w:t>
      </w:r>
      <w:r>
        <w:t>achievement</w:t>
      </w:r>
      <w:r w:rsidR="00BF059B">
        <w:t xml:space="preserve"> </w:t>
      </w:r>
      <w:r>
        <w:t>of</w:t>
      </w:r>
      <w:r w:rsidR="00BF059B">
        <w:t xml:space="preserve"> </w:t>
      </w:r>
      <w:r>
        <w:t>the</w:t>
      </w:r>
      <w:r w:rsidR="00BF059B">
        <w:t xml:space="preserve"> </w:t>
      </w:r>
      <w:r>
        <w:t>Horniman’s</w:t>
      </w:r>
      <w:r w:rsidR="00BF059B">
        <w:t xml:space="preserve"> </w:t>
      </w:r>
      <w:r>
        <w:t>policies,</w:t>
      </w:r>
      <w:r w:rsidR="00BF059B">
        <w:t xml:space="preserve"> </w:t>
      </w:r>
      <w:r>
        <w:t>aims</w:t>
      </w:r>
      <w:r w:rsidR="00BF059B">
        <w:t xml:space="preserve"> </w:t>
      </w:r>
      <w:r>
        <w:t>and</w:t>
      </w:r>
      <w:r w:rsidR="00BF059B">
        <w:t xml:space="preserve"> </w:t>
      </w:r>
      <w:r>
        <w:t>objectives,</w:t>
      </w:r>
      <w:r w:rsidR="00BF059B">
        <w:t xml:space="preserve"> </w:t>
      </w:r>
      <w:r>
        <w:t>whilst</w:t>
      </w:r>
      <w:r w:rsidR="00BF059B">
        <w:t xml:space="preserve"> </w:t>
      </w:r>
      <w:r>
        <w:t>safeguarding</w:t>
      </w:r>
      <w:r w:rsidR="00BF059B">
        <w:t xml:space="preserve"> </w:t>
      </w:r>
      <w:r>
        <w:t>the</w:t>
      </w:r>
      <w:r w:rsidR="00BF059B">
        <w:t xml:space="preserve"> </w:t>
      </w:r>
      <w:r>
        <w:t>public</w:t>
      </w:r>
      <w:r w:rsidR="00BF059B">
        <w:t xml:space="preserve"> </w:t>
      </w:r>
      <w:r>
        <w:t>funds</w:t>
      </w:r>
      <w:r w:rsidR="00BF059B">
        <w:t xml:space="preserve"> </w:t>
      </w:r>
      <w:r>
        <w:t>and</w:t>
      </w:r>
      <w:r w:rsidR="00BF059B">
        <w:t xml:space="preserve"> </w:t>
      </w:r>
      <w:r>
        <w:t>assets</w:t>
      </w:r>
      <w:r w:rsidR="00BF059B">
        <w:t xml:space="preserve"> </w:t>
      </w:r>
      <w:r>
        <w:t>for</w:t>
      </w:r>
      <w:r w:rsidR="00BF059B">
        <w:t xml:space="preserve"> </w:t>
      </w:r>
      <w:r>
        <w:t>which</w:t>
      </w:r>
      <w:r w:rsidR="00BF059B">
        <w:t xml:space="preserve"> </w:t>
      </w:r>
      <w:r>
        <w:t>the</w:t>
      </w:r>
      <w:r w:rsidR="00BF059B">
        <w:t xml:space="preserve"> </w:t>
      </w:r>
      <w:r>
        <w:t>Accounting</w:t>
      </w:r>
      <w:r w:rsidR="00BF059B">
        <w:t xml:space="preserve"> </w:t>
      </w:r>
      <w:r>
        <w:t>Officer</w:t>
      </w:r>
      <w:r w:rsidR="00BF059B">
        <w:t xml:space="preserve"> </w:t>
      </w:r>
      <w:r>
        <w:t>is</w:t>
      </w:r>
      <w:r w:rsidR="00BF059B">
        <w:t xml:space="preserve"> </w:t>
      </w:r>
      <w:r>
        <w:t>personally</w:t>
      </w:r>
      <w:r w:rsidR="00BF059B">
        <w:t xml:space="preserve"> </w:t>
      </w:r>
      <w:r>
        <w:t>responsible,</w:t>
      </w:r>
      <w:r w:rsidR="00BF059B">
        <w:t xml:space="preserve"> </w:t>
      </w:r>
      <w:r>
        <w:t>in</w:t>
      </w:r>
      <w:r w:rsidR="00BF059B">
        <w:t xml:space="preserve"> </w:t>
      </w:r>
      <w:r>
        <w:t>accordance</w:t>
      </w:r>
      <w:r w:rsidR="00BF059B">
        <w:t xml:space="preserve"> </w:t>
      </w:r>
      <w:r>
        <w:t>with</w:t>
      </w:r>
      <w:r w:rsidR="00BF059B">
        <w:t xml:space="preserve"> </w:t>
      </w:r>
      <w:r>
        <w:t>the</w:t>
      </w:r>
      <w:r w:rsidR="00BF059B">
        <w:t xml:space="preserve"> </w:t>
      </w:r>
      <w:r>
        <w:t>responsibilities</w:t>
      </w:r>
      <w:r w:rsidR="00BF059B">
        <w:t xml:space="preserve"> </w:t>
      </w:r>
      <w:r>
        <w:t>assigned</w:t>
      </w:r>
      <w:r w:rsidR="00BF059B">
        <w:t xml:space="preserve"> </w:t>
      </w:r>
      <w:r>
        <w:t>in</w:t>
      </w:r>
      <w:r w:rsidR="00BF059B">
        <w:t xml:space="preserve"> </w:t>
      </w:r>
      <w:r>
        <w:t>Managing</w:t>
      </w:r>
      <w:r w:rsidR="00BF059B">
        <w:t xml:space="preserve"> </w:t>
      </w:r>
      <w:r>
        <w:t>Public</w:t>
      </w:r>
      <w:r w:rsidR="00BF059B">
        <w:t xml:space="preserve"> </w:t>
      </w:r>
      <w:r>
        <w:t>Money</w:t>
      </w:r>
      <w:r w:rsidR="00BF059B">
        <w:t xml:space="preserve"> </w:t>
      </w:r>
      <w:r>
        <w:t>and</w:t>
      </w:r>
      <w:r w:rsidR="00BF059B">
        <w:t xml:space="preserve"> </w:t>
      </w:r>
      <w:r>
        <w:t>ensuring</w:t>
      </w:r>
      <w:r w:rsidR="00BF059B">
        <w:t xml:space="preserve"> </w:t>
      </w:r>
      <w:r>
        <w:t>compliance</w:t>
      </w:r>
      <w:r w:rsidR="00BF059B">
        <w:t xml:space="preserve"> </w:t>
      </w:r>
      <w:r>
        <w:t>with</w:t>
      </w:r>
      <w:r w:rsidR="00BF059B">
        <w:t xml:space="preserve"> </w:t>
      </w:r>
      <w:r>
        <w:t>the</w:t>
      </w:r>
      <w:r w:rsidR="00BF059B">
        <w:t xml:space="preserve"> </w:t>
      </w:r>
      <w:r>
        <w:t>requirements</w:t>
      </w:r>
      <w:r w:rsidR="00BF059B">
        <w:t xml:space="preserve"> </w:t>
      </w:r>
      <w:r>
        <w:t>of</w:t>
      </w:r>
      <w:r w:rsidR="00BF059B">
        <w:t xml:space="preserve"> </w:t>
      </w:r>
      <w:r>
        <w:t>the</w:t>
      </w:r>
      <w:r w:rsidR="00BF059B">
        <w:t xml:space="preserve"> </w:t>
      </w:r>
      <w:r>
        <w:t>Management</w:t>
      </w:r>
      <w:r w:rsidR="00BF059B">
        <w:t xml:space="preserve"> </w:t>
      </w:r>
      <w:r>
        <w:t>Statement</w:t>
      </w:r>
      <w:r w:rsidR="00BF059B">
        <w:t xml:space="preserve"> </w:t>
      </w:r>
      <w:r>
        <w:t>and</w:t>
      </w:r>
      <w:r w:rsidR="00BF059B">
        <w:t xml:space="preserve"> </w:t>
      </w:r>
      <w:r>
        <w:t>Financial</w:t>
      </w:r>
      <w:r w:rsidR="00BF059B">
        <w:t xml:space="preserve"> </w:t>
      </w:r>
      <w:r>
        <w:t>Memorandum.</w:t>
      </w:r>
      <w:r w:rsidR="00BF059B">
        <w:t xml:space="preserve">  </w:t>
      </w:r>
    </w:p>
    <w:p w14:paraId="04174D88" w14:textId="77777777" w:rsidR="00BA76E3" w:rsidRDefault="00BA76E3" w:rsidP="00BA76E3">
      <w:pPr>
        <w:pStyle w:val="Heading1"/>
      </w:pPr>
    </w:p>
    <w:p w14:paraId="45353DE0" w14:textId="73544CE8" w:rsidR="00BE13A8" w:rsidRDefault="00D70530" w:rsidP="00BA76E3">
      <w:pPr>
        <w:pStyle w:val="Heading3"/>
      </w:pPr>
      <w:r>
        <w:t>The</w:t>
      </w:r>
      <w:r w:rsidR="00BF059B">
        <w:t xml:space="preserve"> </w:t>
      </w:r>
      <w:r>
        <w:t>purpose</w:t>
      </w:r>
      <w:r w:rsidR="00BF059B">
        <w:t xml:space="preserve"> </w:t>
      </w:r>
      <w:r>
        <w:t>of</w:t>
      </w:r>
      <w:r w:rsidR="00BF059B">
        <w:t xml:space="preserve"> </w:t>
      </w:r>
      <w:r>
        <w:t>the</w:t>
      </w:r>
      <w:r w:rsidR="00BF059B">
        <w:t xml:space="preserve"> </w:t>
      </w:r>
      <w:r>
        <w:t>governance</w:t>
      </w:r>
      <w:r w:rsidR="00BF059B">
        <w:t xml:space="preserve"> </w:t>
      </w:r>
      <w:r>
        <w:t>framework</w:t>
      </w:r>
    </w:p>
    <w:p w14:paraId="26939E7B" w14:textId="77777777" w:rsidR="00BE13A8" w:rsidRDefault="00BE13A8" w:rsidP="00BA76E3"/>
    <w:p w14:paraId="0833A1F0" w14:textId="224CC0AB" w:rsidR="00BE13A8" w:rsidRDefault="00D70530" w:rsidP="00BA76E3">
      <w:pPr>
        <w:pBdr>
          <w:top w:val="nil"/>
          <w:left w:val="nil"/>
          <w:bottom w:val="nil"/>
          <w:right w:val="nil"/>
          <w:between w:val="nil"/>
        </w:pBdr>
        <w:rPr>
          <w:color w:val="000000"/>
        </w:rPr>
      </w:pPr>
      <w:r>
        <w:rPr>
          <w:color w:val="000000"/>
        </w:rPr>
        <w:t>The</w:t>
      </w:r>
      <w:r w:rsidR="00BF059B">
        <w:rPr>
          <w:color w:val="000000"/>
        </w:rPr>
        <w:t xml:space="preserve"> </w:t>
      </w:r>
      <w:r>
        <w:rPr>
          <w:color w:val="000000"/>
        </w:rPr>
        <w:t>governance</w:t>
      </w:r>
      <w:r w:rsidR="00BF059B">
        <w:rPr>
          <w:color w:val="000000"/>
        </w:rPr>
        <w:t xml:space="preserve"> </w:t>
      </w:r>
      <w:r>
        <w:rPr>
          <w:color w:val="000000"/>
        </w:rPr>
        <w:t>framework</w:t>
      </w:r>
      <w:r w:rsidR="00BF059B">
        <w:rPr>
          <w:color w:val="000000"/>
        </w:rPr>
        <w:t xml:space="preserve"> </w:t>
      </w:r>
      <w:r>
        <w:rPr>
          <w:color w:val="000000"/>
        </w:rPr>
        <w:t>comprises</w:t>
      </w:r>
      <w:r w:rsidR="00BF059B">
        <w:rPr>
          <w:color w:val="000000"/>
        </w:rPr>
        <w:t xml:space="preserve"> </w:t>
      </w:r>
      <w:r>
        <w:rPr>
          <w:color w:val="000000"/>
        </w:rPr>
        <w:t>the</w:t>
      </w:r>
      <w:r w:rsidR="00BF059B">
        <w:rPr>
          <w:color w:val="000000"/>
        </w:rPr>
        <w:t xml:space="preserve"> </w:t>
      </w:r>
      <w:r>
        <w:rPr>
          <w:color w:val="000000"/>
        </w:rPr>
        <w:t>systems</w:t>
      </w:r>
      <w:r w:rsidR="00BF059B">
        <w:rPr>
          <w:color w:val="000000"/>
        </w:rPr>
        <w:t xml:space="preserve"> </w:t>
      </w:r>
      <w:r>
        <w:rPr>
          <w:color w:val="000000"/>
        </w:rPr>
        <w:t>and</w:t>
      </w:r>
      <w:r w:rsidR="00BF059B">
        <w:rPr>
          <w:color w:val="000000"/>
        </w:rPr>
        <w:t xml:space="preserve"> </w:t>
      </w:r>
      <w:r>
        <w:rPr>
          <w:color w:val="000000"/>
        </w:rPr>
        <w:t>processes</w:t>
      </w:r>
      <w:r w:rsidR="00BF059B">
        <w:rPr>
          <w:color w:val="000000"/>
        </w:rPr>
        <w:t xml:space="preserve"> </w:t>
      </w:r>
      <w:r>
        <w:rPr>
          <w:color w:val="000000"/>
        </w:rPr>
        <w:t>by</w:t>
      </w:r>
      <w:r w:rsidR="00BF059B">
        <w:rPr>
          <w:color w:val="000000"/>
        </w:rPr>
        <w:t xml:space="preserve"> </w:t>
      </w:r>
      <w:r>
        <w:rPr>
          <w:color w:val="000000"/>
        </w:rPr>
        <w:t>which</w:t>
      </w:r>
      <w:r w:rsidR="00BF059B">
        <w:rPr>
          <w:color w:val="000000"/>
        </w:rPr>
        <w:t xml:space="preserve"> </w:t>
      </w:r>
      <w:r>
        <w:rPr>
          <w:color w:val="000000"/>
        </w:rPr>
        <w:t>the</w:t>
      </w:r>
      <w:r w:rsidR="00BF059B">
        <w:rPr>
          <w:color w:val="000000"/>
        </w:rPr>
        <w:t xml:space="preserve"> </w:t>
      </w:r>
      <w:r>
        <w:rPr>
          <w:color w:val="000000"/>
        </w:rPr>
        <w:t>Horniman</w:t>
      </w:r>
      <w:r w:rsidR="00BF059B">
        <w:rPr>
          <w:color w:val="000000"/>
        </w:rPr>
        <w:t xml:space="preserve"> </w:t>
      </w:r>
      <w:r>
        <w:rPr>
          <w:color w:val="000000"/>
        </w:rPr>
        <w:t>is</w:t>
      </w:r>
      <w:r w:rsidR="00BF059B">
        <w:rPr>
          <w:color w:val="000000"/>
        </w:rPr>
        <w:t xml:space="preserve"> </w:t>
      </w:r>
      <w:r>
        <w:rPr>
          <w:color w:val="000000"/>
        </w:rPr>
        <w:t>directed</w:t>
      </w:r>
      <w:r w:rsidR="00BF059B">
        <w:rPr>
          <w:color w:val="000000"/>
        </w:rPr>
        <w:t xml:space="preserve"> </w:t>
      </w:r>
      <w:r>
        <w:rPr>
          <w:color w:val="000000"/>
        </w:rPr>
        <w:t>and</w:t>
      </w:r>
      <w:r w:rsidR="00BF059B">
        <w:rPr>
          <w:color w:val="000000"/>
        </w:rPr>
        <w:t xml:space="preserve"> </w:t>
      </w:r>
      <w:r>
        <w:rPr>
          <w:color w:val="000000"/>
        </w:rPr>
        <w:t>controlled.</w:t>
      </w:r>
      <w:r w:rsidR="00BF059B">
        <w:rPr>
          <w:color w:val="000000"/>
        </w:rPr>
        <w:t xml:space="preserve"> </w:t>
      </w:r>
      <w:r>
        <w:rPr>
          <w:color w:val="000000"/>
        </w:rPr>
        <w:t>It</w:t>
      </w:r>
      <w:r w:rsidR="00BF059B">
        <w:rPr>
          <w:color w:val="000000"/>
        </w:rPr>
        <w:t xml:space="preserve"> </w:t>
      </w:r>
      <w:r>
        <w:rPr>
          <w:color w:val="000000"/>
        </w:rPr>
        <w:t>enables</w:t>
      </w:r>
      <w:r w:rsidR="00BF059B">
        <w:rPr>
          <w:color w:val="000000"/>
        </w:rPr>
        <w:t xml:space="preserve"> </w:t>
      </w:r>
      <w:r>
        <w:rPr>
          <w:color w:val="000000"/>
        </w:rPr>
        <w:t>the</w:t>
      </w:r>
      <w:r w:rsidR="00BF059B">
        <w:rPr>
          <w:color w:val="000000"/>
        </w:rPr>
        <w:t xml:space="preserve"> </w:t>
      </w:r>
      <w:r>
        <w:rPr>
          <w:color w:val="000000"/>
        </w:rPr>
        <w:t>Board</w:t>
      </w:r>
      <w:r w:rsidR="00BF059B">
        <w:rPr>
          <w:color w:val="000000"/>
        </w:rPr>
        <w:t xml:space="preserve"> </w:t>
      </w:r>
      <w:r>
        <w:rPr>
          <w:color w:val="000000"/>
        </w:rPr>
        <w:t>to</w:t>
      </w:r>
      <w:r w:rsidR="00BF059B">
        <w:rPr>
          <w:color w:val="000000"/>
        </w:rPr>
        <w:t xml:space="preserve"> </w:t>
      </w:r>
      <w:r>
        <w:rPr>
          <w:color w:val="000000"/>
        </w:rPr>
        <w:t>monitor</w:t>
      </w:r>
      <w:r w:rsidR="00BF059B">
        <w:rPr>
          <w:color w:val="000000"/>
        </w:rPr>
        <w:t xml:space="preserve"> </w:t>
      </w:r>
      <w:r>
        <w:rPr>
          <w:color w:val="000000"/>
        </w:rPr>
        <w:t>achievement</w:t>
      </w:r>
      <w:r w:rsidR="00BF059B">
        <w:rPr>
          <w:color w:val="000000"/>
        </w:rPr>
        <w:t xml:space="preserve"> </w:t>
      </w:r>
      <w:r>
        <w:rPr>
          <w:color w:val="000000"/>
        </w:rPr>
        <w:t>of</w:t>
      </w:r>
      <w:r w:rsidR="00BF059B">
        <w:rPr>
          <w:color w:val="000000"/>
        </w:rPr>
        <w:t xml:space="preserve"> </w:t>
      </w:r>
      <w:r>
        <w:rPr>
          <w:color w:val="000000"/>
        </w:rPr>
        <w:t>its</w:t>
      </w:r>
      <w:r w:rsidR="00BF059B">
        <w:rPr>
          <w:color w:val="000000"/>
        </w:rPr>
        <w:t xml:space="preserve"> </w:t>
      </w:r>
      <w:r>
        <w:rPr>
          <w:color w:val="000000"/>
        </w:rPr>
        <w:t>strategic</w:t>
      </w:r>
      <w:r w:rsidR="00BF059B">
        <w:rPr>
          <w:color w:val="000000"/>
        </w:rPr>
        <w:t xml:space="preserve"> </w:t>
      </w:r>
      <w:r>
        <w:rPr>
          <w:color w:val="000000"/>
        </w:rPr>
        <w:t>objectives.</w:t>
      </w:r>
      <w:r w:rsidR="00BF059B">
        <w:rPr>
          <w:color w:val="000000"/>
        </w:rPr>
        <w:t xml:space="preserve"> </w:t>
      </w:r>
      <w:r>
        <w:rPr>
          <w:color w:val="000000"/>
        </w:rPr>
        <w:t>The</w:t>
      </w:r>
      <w:r w:rsidR="00BF059B">
        <w:rPr>
          <w:color w:val="000000"/>
        </w:rPr>
        <w:t xml:space="preserve"> </w:t>
      </w:r>
      <w:r>
        <w:rPr>
          <w:color w:val="000000"/>
        </w:rPr>
        <w:t>system</w:t>
      </w:r>
      <w:r w:rsidR="00BF059B">
        <w:rPr>
          <w:color w:val="000000"/>
        </w:rPr>
        <w:t xml:space="preserve"> </w:t>
      </w:r>
      <w:r>
        <w:rPr>
          <w:color w:val="000000"/>
        </w:rPr>
        <w:t>of</w:t>
      </w:r>
      <w:r w:rsidR="00BF059B">
        <w:rPr>
          <w:color w:val="000000"/>
        </w:rPr>
        <w:t xml:space="preserve"> </w:t>
      </w:r>
      <w:r>
        <w:rPr>
          <w:color w:val="000000"/>
        </w:rPr>
        <w:t>internal</w:t>
      </w:r>
      <w:r w:rsidR="00BF059B">
        <w:rPr>
          <w:color w:val="000000"/>
        </w:rPr>
        <w:t xml:space="preserve"> </w:t>
      </w:r>
      <w:r>
        <w:rPr>
          <w:color w:val="000000"/>
        </w:rPr>
        <w:t>control</w:t>
      </w:r>
      <w:r w:rsidR="00BF059B">
        <w:rPr>
          <w:color w:val="000000"/>
        </w:rPr>
        <w:t xml:space="preserve"> </w:t>
      </w:r>
      <w:r>
        <w:rPr>
          <w:color w:val="000000"/>
        </w:rPr>
        <w:t>is</w:t>
      </w:r>
      <w:r w:rsidR="00BF059B">
        <w:rPr>
          <w:color w:val="000000"/>
        </w:rPr>
        <w:t xml:space="preserve"> </w:t>
      </w:r>
      <w:r>
        <w:rPr>
          <w:color w:val="000000"/>
        </w:rPr>
        <w:t>a</w:t>
      </w:r>
      <w:r w:rsidR="00BF059B">
        <w:rPr>
          <w:color w:val="000000"/>
        </w:rPr>
        <w:t xml:space="preserve"> </w:t>
      </w:r>
      <w:r>
        <w:rPr>
          <w:color w:val="000000"/>
        </w:rPr>
        <w:t>significant</w:t>
      </w:r>
      <w:r w:rsidR="00BF059B">
        <w:rPr>
          <w:color w:val="000000"/>
        </w:rPr>
        <w:t xml:space="preserve"> </w:t>
      </w:r>
      <w:r>
        <w:rPr>
          <w:color w:val="000000"/>
        </w:rPr>
        <w:t>part</w:t>
      </w:r>
      <w:r w:rsidR="00BF059B">
        <w:rPr>
          <w:color w:val="000000"/>
        </w:rPr>
        <w:t xml:space="preserve"> </w:t>
      </w:r>
      <w:r>
        <w:rPr>
          <w:color w:val="000000"/>
        </w:rPr>
        <w:t>of</w:t>
      </w:r>
      <w:r w:rsidR="00BF059B">
        <w:rPr>
          <w:color w:val="000000"/>
        </w:rPr>
        <w:t xml:space="preserve"> </w:t>
      </w:r>
      <w:r>
        <w:rPr>
          <w:color w:val="000000"/>
        </w:rPr>
        <w:t>that</w:t>
      </w:r>
      <w:r w:rsidR="00BF059B">
        <w:rPr>
          <w:color w:val="000000"/>
        </w:rPr>
        <w:t xml:space="preserve"> </w:t>
      </w:r>
      <w:r>
        <w:rPr>
          <w:color w:val="000000"/>
        </w:rPr>
        <w:t>framework</w:t>
      </w:r>
      <w:r w:rsidR="00BF059B">
        <w:rPr>
          <w:color w:val="000000"/>
        </w:rPr>
        <w:t xml:space="preserve"> </w:t>
      </w:r>
      <w:r>
        <w:rPr>
          <w:color w:val="000000"/>
        </w:rPr>
        <w:t>and</w:t>
      </w:r>
      <w:r w:rsidR="00BF059B">
        <w:rPr>
          <w:color w:val="000000"/>
        </w:rPr>
        <w:t xml:space="preserve"> </w:t>
      </w:r>
      <w:r>
        <w:rPr>
          <w:color w:val="000000"/>
        </w:rPr>
        <w:t>is</w:t>
      </w:r>
      <w:r w:rsidR="00BF059B">
        <w:rPr>
          <w:color w:val="000000"/>
        </w:rPr>
        <w:t xml:space="preserve"> </w:t>
      </w:r>
      <w:r>
        <w:rPr>
          <w:color w:val="000000"/>
        </w:rPr>
        <w:t>designed</w:t>
      </w:r>
      <w:r w:rsidR="00BF059B">
        <w:rPr>
          <w:color w:val="000000"/>
        </w:rPr>
        <w:t xml:space="preserve"> </w:t>
      </w:r>
      <w:r>
        <w:rPr>
          <w:color w:val="000000"/>
        </w:rPr>
        <w:t>to</w:t>
      </w:r>
      <w:r w:rsidR="00BF059B">
        <w:rPr>
          <w:color w:val="000000"/>
        </w:rPr>
        <w:t xml:space="preserve"> </w:t>
      </w:r>
      <w:r>
        <w:rPr>
          <w:color w:val="000000"/>
        </w:rPr>
        <w:t>manage</w:t>
      </w:r>
      <w:r w:rsidR="00BF059B">
        <w:rPr>
          <w:color w:val="000000"/>
        </w:rPr>
        <w:t xml:space="preserve"> </w:t>
      </w:r>
      <w:r>
        <w:rPr>
          <w:color w:val="000000"/>
        </w:rPr>
        <w:t>risk</w:t>
      </w:r>
      <w:r w:rsidR="00BF059B">
        <w:rPr>
          <w:color w:val="000000"/>
        </w:rPr>
        <w:t xml:space="preserve"> </w:t>
      </w:r>
      <w:r>
        <w:rPr>
          <w:color w:val="000000"/>
        </w:rPr>
        <w:t>to</w:t>
      </w:r>
      <w:r w:rsidR="00BF059B">
        <w:rPr>
          <w:color w:val="000000"/>
        </w:rPr>
        <w:t xml:space="preserve"> </w:t>
      </w:r>
      <w:r>
        <w:rPr>
          <w:color w:val="000000"/>
        </w:rPr>
        <w:t>a</w:t>
      </w:r>
      <w:r w:rsidR="00BF059B">
        <w:rPr>
          <w:color w:val="000000"/>
        </w:rPr>
        <w:t xml:space="preserve"> </w:t>
      </w:r>
      <w:r>
        <w:rPr>
          <w:color w:val="000000"/>
        </w:rPr>
        <w:t>reasonable</w:t>
      </w:r>
      <w:r w:rsidR="00BF059B">
        <w:rPr>
          <w:color w:val="000000"/>
        </w:rPr>
        <w:t xml:space="preserve"> </w:t>
      </w:r>
      <w:r>
        <w:rPr>
          <w:color w:val="000000"/>
        </w:rPr>
        <w:t>level</w:t>
      </w:r>
      <w:r w:rsidR="00BF059B">
        <w:rPr>
          <w:color w:val="000000"/>
        </w:rPr>
        <w:t xml:space="preserve"> </w:t>
      </w:r>
      <w:r>
        <w:rPr>
          <w:color w:val="000000"/>
        </w:rPr>
        <w:t>rather</w:t>
      </w:r>
      <w:r w:rsidR="00BF059B">
        <w:rPr>
          <w:color w:val="000000"/>
        </w:rPr>
        <w:t xml:space="preserve"> </w:t>
      </w:r>
      <w:r>
        <w:rPr>
          <w:color w:val="000000"/>
        </w:rPr>
        <w:t>than</w:t>
      </w:r>
      <w:r w:rsidR="00BF059B">
        <w:rPr>
          <w:color w:val="000000"/>
        </w:rPr>
        <w:t xml:space="preserve"> </w:t>
      </w:r>
      <w:r>
        <w:rPr>
          <w:color w:val="000000"/>
        </w:rPr>
        <w:t>to</w:t>
      </w:r>
      <w:r w:rsidR="00BF059B">
        <w:rPr>
          <w:color w:val="000000"/>
        </w:rPr>
        <w:t xml:space="preserve"> </w:t>
      </w:r>
      <w:r>
        <w:rPr>
          <w:color w:val="000000"/>
        </w:rPr>
        <w:t>eliminate</w:t>
      </w:r>
      <w:r w:rsidR="00BF059B">
        <w:rPr>
          <w:color w:val="000000"/>
        </w:rPr>
        <w:t xml:space="preserve"> </w:t>
      </w:r>
      <w:r>
        <w:rPr>
          <w:color w:val="000000"/>
        </w:rPr>
        <w:t>all</w:t>
      </w:r>
      <w:r w:rsidR="00BF059B">
        <w:rPr>
          <w:color w:val="000000"/>
        </w:rPr>
        <w:t xml:space="preserve"> </w:t>
      </w:r>
      <w:r>
        <w:rPr>
          <w:color w:val="000000"/>
        </w:rPr>
        <w:t>risk</w:t>
      </w:r>
      <w:r w:rsidR="00BF059B">
        <w:rPr>
          <w:color w:val="000000"/>
        </w:rPr>
        <w:t xml:space="preserve"> </w:t>
      </w:r>
      <w:r>
        <w:rPr>
          <w:color w:val="000000"/>
        </w:rPr>
        <w:t>of</w:t>
      </w:r>
      <w:r w:rsidR="00BF059B">
        <w:rPr>
          <w:color w:val="000000"/>
        </w:rPr>
        <w:t xml:space="preserve"> </w:t>
      </w:r>
      <w:r>
        <w:rPr>
          <w:color w:val="000000"/>
        </w:rPr>
        <w:t>failure</w:t>
      </w:r>
      <w:r w:rsidR="00BF059B">
        <w:rPr>
          <w:color w:val="000000"/>
        </w:rPr>
        <w:t xml:space="preserve"> </w:t>
      </w:r>
      <w:r>
        <w:rPr>
          <w:color w:val="000000"/>
        </w:rPr>
        <w:t>to</w:t>
      </w:r>
      <w:r w:rsidR="00BF059B">
        <w:rPr>
          <w:color w:val="000000"/>
        </w:rPr>
        <w:t xml:space="preserve"> </w:t>
      </w:r>
      <w:r>
        <w:rPr>
          <w:color w:val="000000"/>
        </w:rPr>
        <w:t>achieve</w:t>
      </w:r>
      <w:r w:rsidR="00BF059B">
        <w:rPr>
          <w:color w:val="000000"/>
        </w:rPr>
        <w:t xml:space="preserve"> </w:t>
      </w:r>
      <w:r>
        <w:rPr>
          <w:color w:val="000000"/>
        </w:rPr>
        <w:t>policies,</w:t>
      </w:r>
      <w:r w:rsidR="00BF059B">
        <w:rPr>
          <w:color w:val="000000"/>
        </w:rPr>
        <w:t xml:space="preserve"> </w:t>
      </w:r>
      <w:r>
        <w:rPr>
          <w:color w:val="000000"/>
        </w:rPr>
        <w:t>aims</w:t>
      </w:r>
      <w:r w:rsidR="00BF059B">
        <w:rPr>
          <w:color w:val="000000"/>
        </w:rPr>
        <w:t xml:space="preserve"> </w:t>
      </w:r>
      <w:r>
        <w:rPr>
          <w:color w:val="000000"/>
        </w:rPr>
        <w:t>and</w:t>
      </w:r>
      <w:r w:rsidR="00BF059B">
        <w:rPr>
          <w:color w:val="000000"/>
        </w:rPr>
        <w:t xml:space="preserve"> </w:t>
      </w:r>
      <w:r>
        <w:rPr>
          <w:color w:val="000000"/>
        </w:rPr>
        <w:t>objectives;</w:t>
      </w:r>
      <w:r w:rsidR="00BF059B">
        <w:rPr>
          <w:color w:val="000000"/>
        </w:rPr>
        <w:t xml:space="preserve"> </w:t>
      </w:r>
      <w:r>
        <w:rPr>
          <w:color w:val="000000"/>
        </w:rPr>
        <w:t>it</w:t>
      </w:r>
      <w:r w:rsidR="00BF059B">
        <w:rPr>
          <w:color w:val="000000"/>
        </w:rPr>
        <w:t xml:space="preserve"> </w:t>
      </w:r>
      <w:r>
        <w:rPr>
          <w:color w:val="000000"/>
        </w:rPr>
        <w:t>can</w:t>
      </w:r>
      <w:r w:rsidR="00BF059B">
        <w:rPr>
          <w:color w:val="000000"/>
        </w:rPr>
        <w:t xml:space="preserve"> </w:t>
      </w:r>
      <w:r>
        <w:rPr>
          <w:color w:val="000000"/>
        </w:rPr>
        <w:t>therefore</w:t>
      </w:r>
      <w:r w:rsidR="00BF059B">
        <w:rPr>
          <w:color w:val="000000"/>
        </w:rPr>
        <w:t xml:space="preserve"> </w:t>
      </w:r>
      <w:r>
        <w:rPr>
          <w:color w:val="000000"/>
        </w:rPr>
        <w:t>only</w:t>
      </w:r>
      <w:r w:rsidR="00BF059B">
        <w:rPr>
          <w:color w:val="000000"/>
        </w:rPr>
        <w:t xml:space="preserve"> </w:t>
      </w:r>
      <w:r>
        <w:rPr>
          <w:color w:val="000000"/>
        </w:rPr>
        <w:t>provide</w:t>
      </w:r>
      <w:r w:rsidR="00BF059B">
        <w:rPr>
          <w:color w:val="000000"/>
        </w:rPr>
        <w:t xml:space="preserve"> </w:t>
      </w:r>
      <w:r>
        <w:rPr>
          <w:color w:val="000000"/>
        </w:rPr>
        <w:t>reasonable</w:t>
      </w:r>
      <w:r w:rsidR="00BF059B">
        <w:rPr>
          <w:color w:val="000000"/>
        </w:rPr>
        <w:t xml:space="preserve"> </w:t>
      </w:r>
      <w:r>
        <w:rPr>
          <w:color w:val="000000"/>
        </w:rPr>
        <w:t>and</w:t>
      </w:r>
      <w:r w:rsidR="00BF059B">
        <w:rPr>
          <w:color w:val="000000"/>
        </w:rPr>
        <w:t xml:space="preserve"> </w:t>
      </w:r>
      <w:r>
        <w:rPr>
          <w:color w:val="000000"/>
        </w:rPr>
        <w:t>not</w:t>
      </w:r>
      <w:r w:rsidR="00BF059B">
        <w:rPr>
          <w:color w:val="000000"/>
        </w:rPr>
        <w:t xml:space="preserve"> </w:t>
      </w:r>
      <w:r>
        <w:rPr>
          <w:color w:val="000000"/>
        </w:rPr>
        <w:t>absolute</w:t>
      </w:r>
      <w:r w:rsidR="00BF059B">
        <w:rPr>
          <w:color w:val="000000"/>
        </w:rPr>
        <w:t xml:space="preserve"> </w:t>
      </w:r>
      <w:r>
        <w:rPr>
          <w:color w:val="000000"/>
        </w:rPr>
        <w:t>assurance</w:t>
      </w:r>
      <w:r w:rsidR="00BF059B">
        <w:rPr>
          <w:color w:val="000000"/>
        </w:rPr>
        <w:t xml:space="preserve"> </w:t>
      </w:r>
      <w:r>
        <w:rPr>
          <w:color w:val="000000"/>
        </w:rPr>
        <w:t>of</w:t>
      </w:r>
      <w:r w:rsidR="00BF059B">
        <w:rPr>
          <w:color w:val="000000"/>
        </w:rPr>
        <w:t xml:space="preserve"> </w:t>
      </w:r>
      <w:r>
        <w:rPr>
          <w:color w:val="000000"/>
        </w:rPr>
        <w:t>effectiveness.</w:t>
      </w:r>
      <w:r w:rsidR="00BF059B">
        <w:rPr>
          <w:color w:val="000000"/>
        </w:rPr>
        <w:t xml:space="preserve"> </w:t>
      </w:r>
      <w:r>
        <w:rPr>
          <w:color w:val="000000"/>
        </w:rPr>
        <w:t>The</w:t>
      </w:r>
      <w:r w:rsidR="00BF059B">
        <w:rPr>
          <w:color w:val="000000"/>
        </w:rPr>
        <w:t xml:space="preserve"> </w:t>
      </w:r>
      <w:r>
        <w:rPr>
          <w:color w:val="000000"/>
        </w:rPr>
        <w:t>system</w:t>
      </w:r>
      <w:r w:rsidR="00BF059B">
        <w:rPr>
          <w:color w:val="000000"/>
        </w:rPr>
        <w:t xml:space="preserve"> </w:t>
      </w:r>
      <w:r>
        <w:rPr>
          <w:color w:val="000000"/>
        </w:rPr>
        <w:t>of</w:t>
      </w:r>
      <w:r w:rsidR="00BF059B">
        <w:rPr>
          <w:color w:val="000000"/>
        </w:rPr>
        <w:t xml:space="preserve"> </w:t>
      </w:r>
      <w:r>
        <w:rPr>
          <w:color w:val="000000"/>
        </w:rPr>
        <w:t>internal</w:t>
      </w:r>
      <w:r w:rsidR="00BF059B">
        <w:rPr>
          <w:color w:val="000000"/>
        </w:rPr>
        <w:t xml:space="preserve"> </w:t>
      </w:r>
      <w:r>
        <w:rPr>
          <w:color w:val="000000"/>
        </w:rPr>
        <w:t>control</w:t>
      </w:r>
      <w:r w:rsidR="00BF059B">
        <w:rPr>
          <w:color w:val="000000"/>
        </w:rPr>
        <w:t xml:space="preserve"> </w:t>
      </w:r>
      <w:r>
        <w:rPr>
          <w:color w:val="000000"/>
        </w:rPr>
        <w:t>is</w:t>
      </w:r>
      <w:r w:rsidR="00BF059B">
        <w:rPr>
          <w:color w:val="000000"/>
        </w:rPr>
        <w:t xml:space="preserve"> </w:t>
      </w:r>
      <w:r>
        <w:rPr>
          <w:color w:val="000000"/>
        </w:rPr>
        <w:t>based</w:t>
      </w:r>
      <w:r w:rsidR="00BF059B">
        <w:rPr>
          <w:color w:val="000000"/>
        </w:rPr>
        <w:t xml:space="preserve"> </w:t>
      </w:r>
      <w:r>
        <w:rPr>
          <w:color w:val="000000"/>
        </w:rPr>
        <w:t>on</w:t>
      </w:r>
      <w:r w:rsidR="00BF059B">
        <w:rPr>
          <w:color w:val="000000"/>
        </w:rPr>
        <w:t xml:space="preserve"> </w:t>
      </w:r>
      <w:r>
        <w:rPr>
          <w:color w:val="000000"/>
        </w:rPr>
        <w:t>an</w:t>
      </w:r>
      <w:r w:rsidR="00BF059B">
        <w:rPr>
          <w:color w:val="000000"/>
        </w:rPr>
        <w:t xml:space="preserve"> </w:t>
      </w:r>
      <w:r>
        <w:rPr>
          <w:color w:val="000000"/>
        </w:rPr>
        <w:t>ongoing</w:t>
      </w:r>
      <w:r w:rsidR="00BF059B">
        <w:rPr>
          <w:color w:val="000000"/>
        </w:rPr>
        <w:t xml:space="preserve"> </w:t>
      </w:r>
      <w:r>
        <w:rPr>
          <w:color w:val="000000"/>
        </w:rPr>
        <w:t>process</w:t>
      </w:r>
      <w:r w:rsidR="00BF059B">
        <w:rPr>
          <w:color w:val="000000"/>
        </w:rPr>
        <w:t xml:space="preserve"> </w:t>
      </w:r>
      <w:r>
        <w:rPr>
          <w:color w:val="000000"/>
        </w:rPr>
        <w:t>designed</w:t>
      </w:r>
      <w:r w:rsidR="00BF059B">
        <w:rPr>
          <w:color w:val="000000"/>
        </w:rPr>
        <w:t xml:space="preserve"> </w:t>
      </w:r>
      <w:r>
        <w:rPr>
          <w:color w:val="000000"/>
        </w:rPr>
        <w:t>to</w:t>
      </w:r>
      <w:r w:rsidR="00BF059B">
        <w:rPr>
          <w:color w:val="000000"/>
        </w:rPr>
        <w:t xml:space="preserve"> </w:t>
      </w:r>
      <w:r>
        <w:rPr>
          <w:color w:val="000000"/>
        </w:rPr>
        <w:t>identify</w:t>
      </w:r>
      <w:r w:rsidR="00BF059B">
        <w:rPr>
          <w:color w:val="000000"/>
        </w:rPr>
        <w:t xml:space="preserve"> </w:t>
      </w:r>
      <w:r>
        <w:rPr>
          <w:color w:val="000000"/>
        </w:rPr>
        <w:t>and</w:t>
      </w:r>
      <w:r w:rsidR="00BF059B">
        <w:rPr>
          <w:color w:val="000000"/>
        </w:rPr>
        <w:t xml:space="preserve"> </w:t>
      </w:r>
      <w:r>
        <w:rPr>
          <w:color w:val="000000"/>
        </w:rPr>
        <w:t>prioritise</w:t>
      </w:r>
      <w:r w:rsidR="00BF059B">
        <w:rPr>
          <w:color w:val="000000"/>
        </w:rPr>
        <w:t xml:space="preserve"> </w:t>
      </w:r>
      <w:r>
        <w:rPr>
          <w:color w:val="000000"/>
        </w:rPr>
        <w:t>the</w:t>
      </w:r>
      <w:r w:rsidR="00BF059B">
        <w:rPr>
          <w:color w:val="000000"/>
        </w:rPr>
        <w:t xml:space="preserve"> </w:t>
      </w:r>
      <w:r>
        <w:rPr>
          <w:color w:val="000000"/>
        </w:rPr>
        <w:t>risks</w:t>
      </w:r>
      <w:r w:rsidR="00BF059B">
        <w:rPr>
          <w:color w:val="000000"/>
        </w:rPr>
        <w:t xml:space="preserve"> </w:t>
      </w:r>
      <w:r>
        <w:rPr>
          <w:color w:val="000000"/>
        </w:rPr>
        <w:t>to</w:t>
      </w:r>
      <w:r w:rsidR="00BF059B">
        <w:rPr>
          <w:color w:val="000000"/>
        </w:rPr>
        <w:t xml:space="preserve"> </w:t>
      </w:r>
      <w:r>
        <w:rPr>
          <w:color w:val="000000"/>
        </w:rPr>
        <w:t>the</w:t>
      </w:r>
      <w:r w:rsidR="00BF059B">
        <w:rPr>
          <w:color w:val="000000"/>
        </w:rPr>
        <w:t xml:space="preserve"> </w:t>
      </w:r>
      <w:r>
        <w:rPr>
          <w:color w:val="000000"/>
        </w:rPr>
        <w:t>achievement</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Horniman’s</w:t>
      </w:r>
      <w:r w:rsidR="00BF059B">
        <w:rPr>
          <w:color w:val="000000"/>
        </w:rPr>
        <w:t xml:space="preserve"> </w:t>
      </w:r>
      <w:r>
        <w:rPr>
          <w:color w:val="000000"/>
        </w:rPr>
        <w:t>policies,</w:t>
      </w:r>
      <w:r w:rsidR="00BF059B">
        <w:rPr>
          <w:color w:val="000000"/>
        </w:rPr>
        <w:t xml:space="preserve"> </w:t>
      </w:r>
      <w:r>
        <w:rPr>
          <w:color w:val="000000"/>
        </w:rPr>
        <w:t>aims</w:t>
      </w:r>
      <w:r w:rsidR="00BF059B">
        <w:rPr>
          <w:color w:val="000000"/>
        </w:rPr>
        <w:t xml:space="preserve"> </w:t>
      </w:r>
      <w:r>
        <w:rPr>
          <w:color w:val="000000"/>
        </w:rPr>
        <w:t>and</w:t>
      </w:r>
      <w:r w:rsidR="00BF059B">
        <w:rPr>
          <w:color w:val="000000"/>
        </w:rPr>
        <w:t xml:space="preserve"> </w:t>
      </w:r>
      <w:r>
        <w:rPr>
          <w:color w:val="000000"/>
        </w:rPr>
        <w:t>objectives,</w:t>
      </w:r>
      <w:r w:rsidR="00BF059B">
        <w:rPr>
          <w:color w:val="000000"/>
        </w:rPr>
        <w:t xml:space="preserve"> </w:t>
      </w:r>
      <w:r>
        <w:rPr>
          <w:color w:val="000000"/>
        </w:rPr>
        <w:t>to</w:t>
      </w:r>
      <w:r w:rsidR="00BF059B">
        <w:rPr>
          <w:color w:val="000000"/>
        </w:rPr>
        <w:t xml:space="preserve"> </w:t>
      </w:r>
      <w:r>
        <w:rPr>
          <w:color w:val="000000"/>
        </w:rPr>
        <w:t>evaluate</w:t>
      </w:r>
      <w:r w:rsidR="00BF059B">
        <w:rPr>
          <w:color w:val="000000"/>
        </w:rPr>
        <w:t xml:space="preserve"> </w:t>
      </w:r>
      <w:r>
        <w:rPr>
          <w:color w:val="000000"/>
        </w:rPr>
        <w:t>the</w:t>
      </w:r>
      <w:r w:rsidR="00BF059B">
        <w:rPr>
          <w:color w:val="000000"/>
        </w:rPr>
        <w:t xml:space="preserve"> </w:t>
      </w:r>
      <w:r>
        <w:rPr>
          <w:color w:val="000000"/>
        </w:rPr>
        <w:t>likelihood</w:t>
      </w:r>
      <w:r w:rsidR="00BF059B">
        <w:rPr>
          <w:color w:val="000000"/>
        </w:rPr>
        <w:t xml:space="preserve"> </w:t>
      </w:r>
      <w:r>
        <w:rPr>
          <w:color w:val="000000"/>
        </w:rPr>
        <w:t>of</w:t>
      </w:r>
      <w:r w:rsidR="00BF059B">
        <w:rPr>
          <w:color w:val="000000"/>
        </w:rPr>
        <w:t xml:space="preserve"> </w:t>
      </w:r>
      <w:r>
        <w:rPr>
          <w:color w:val="000000"/>
        </w:rPr>
        <w:t>those</w:t>
      </w:r>
      <w:r w:rsidR="00BF059B">
        <w:rPr>
          <w:color w:val="000000"/>
        </w:rPr>
        <w:t xml:space="preserve"> </w:t>
      </w:r>
      <w:r>
        <w:rPr>
          <w:color w:val="000000"/>
        </w:rPr>
        <w:t>risks</w:t>
      </w:r>
      <w:r w:rsidR="00BF059B">
        <w:rPr>
          <w:color w:val="000000"/>
        </w:rPr>
        <w:t xml:space="preserve"> </w:t>
      </w:r>
      <w:r>
        <w:rPr>
          <w:color w:val="000000"/>
        </w:rPr>
        <w:t>being</w:t>
      </w:r>
      <w:r w:rsidR="00BF059B">
        <w:rPr>
          <w:color w:val="000000"/>
        </w:rPr>
        <w:t xml:space="preserve"> </w:t>
      </w:r>
      <w:r>
        <w:rPr>
          <w:color w:val="000000"/>
        </w:rPr>
        <w:t>realised</w:t>
      </w:r>
      <w:r w:rsidR="00BF059B">
        <w:rPr>
          <w:color w:val="000000"/>
        </w:rPr>
        <w:t xml:space="preserve"> </w:t>
      </w:r>
      <w:r>
        <w:rPr>
          <w:color w:val="000000"/>
        </w:rPr>
        <w:t>and</w:t>
      </w:r>
      <w:r w:rsidR="00BF059B">
        <w:rPr>
          <w:color w:val="000000"/>
        </w:rPr>
        <w:t xml:space="preserve"> </w:t>
      </w:r>
      <w:r>
        <w:rPr>
          <w:color w:val="000000"/>
        </w:rPr>
        <w:t>the</w:t>
      </w:r>
      <w:r w:rsidR="00BF059B">
        <w:rPr>
          <w:color w:val="000000"/>
        </w:rPr>
        <w:t xml:space="preserve"> </w:t>
      </w:r>
      <w:r>
        <w:rPr>
          <w:color w:val="000000"/>
        </w:rPr>
        <w:t>impact</w:t>
      </w:r>
      <w:r w:rsidR="00BF059B">
        <w:rPr>
          <w:color w:val="000000"/>
        </w:rPr>
        <w:t xml:space="preserve"> </w:t>
      </w:r>
      <w:r>
        <w:rPr>
          <w:color w:val="000000"/>
        </w:rPr>
        <w:t>should</w:t>
      </w:r>
      <w:r w:rsidR="00BF059B">
        <w:rPr>
          <w:color w:val="000000"/>
        </w:rPr>
        <w:t xml:space="preserve"> </w:t>
      </w:r>
      <w:r>
        <w:rPr>
          <w:color w:val="000000"/>
        </w:rPr>
        <w:t>they</w:t>
      </w:r>
      <w:r w:rsidR="00BF059B">
        <w:rPr>
          <w:color w:val="000000"/>
        </w:rPr>
        <w:t xml:space="preserve"> </w:t>
      </w:r>
      <w:r>
        <w:rPr>
          <w:color w:val="000000"/>
        </w:rPr>
        <w:t>be</w:t>
      </w:r>
      <w:r w:rsidR="00BF059B">
        <w:rPr>
          <w:color w:val="000000"/>
        </w:rPr>
        <w:t xml:space="preserve"> </w:t>
      </w:r>
      <w:r>
        <w:rPr>
          <w:color w:val="000000"/>
        </w:rPr>
        <w:t>realised,</w:t>
      </w:r>
      <w:r w:rsidR="00BF059B">
        <w:rPr>
          <w:color w:val="000000"/>
        </w:rPr>
        <w:t xml:space="preserve"> </w:t>
      </w:r>
      <w:r>
        <w:rPr>
          <w:color w:val="000000"/>
        </w:rPr>
        <w:t>and</w:t>
      </w:r>
      <w:r w:rsidR="00BF059B">
        <w:rPr>
          <w:color w:val="000000"/>
        </w:rPr>
        <w:t xml:space="preserve"> </w:t>
      </w:r>
      <w:r>
        <w:rPr>
          <w:color w:val="000000"/>
        </w:rPr>
        <w:t>to</w:t>
      </w:r>
      <w:r w:rsidR="00BF059B">
        <w:rPr>
          <w:color w:val="000000"/>
        </w:rPr>
        <w:t xml:space="preserve"> </w:t>
      </w:r>
      <w:r>
        <w:rPr>
          <w:color w:val="000000"/>
        </w:rPr>
        <w:t>manage</w:t>
      </w:r>
      <w:r w:rsidR="00BF059B">
        <w:rPr>
          <w:color w:val="000000"/>
        </w:rPr>
        <w:t xml:space="preserve"> </w:t>
      </w:r>
      <w:r>
        <w:rPr>
          <w:color w:val="000000"/>
        </w:rPr>
        <w:t>them</w:t>
      </w:r>
      <w:r w:rsidR="00BF059B">
        <w:rPr>
          <w:color w:val="000000"/>
        </w:rPr>
        <w:t xml:space="preserve"> </w:t>
      </w:r>
      <w:r>
        <w:rPr>
          <w:color w:val="000000"/>
        </w:rPr>
        <w:t>efficiently,</w:t>
      </w:r>
      <w:r w:rsidR="00BF059B">
        <w:rPr>
          <w:color w:val="000000"/>
        </w:rPr>
        <w:t xml:space="preserve"> </w:t>
      </w:r>
      <w:r>
        <w:rPr>
          <w:color w:val="000000"/>
        </w:rPr>
        <w:t>effectively</w:t>
      </w:r>
      <w:r w:rsidR="00BF059B">
        <w:rPr>
          <w:color w:val="000000"/>
        </w:rPr>
        <w:t xml:space="preserve"> </w:t>
      </w:r>
      <w:r>
        <w:rPr>
          <w:color w:val="000000"/>
        </w:rPr>
        <w:t>and</w:t>
      </w:r>
      <w:r w:rsidR="00BF059B">
        <w:rPr>
          <w:i/>
          <w:color w:val="000000"/>
        </w:rPr>
        <w:t xml:space="preserve"> </w:t>
      </w:r>
      <w:r>
        <w:rPr>
          <w:color w:val="000000"/>
        </w:rPr>
        <w:t>economically.</w:t>
      </w:r>
      <w:r w:rsidR="00BF059B">
        <w:rPr>
          <w:color w:val="000000"/>
        </w:rPr>
        <w:t xml:space="preserve"> </w:t>
      </w:r>
    </w:p>
    <w:p w14:paraId="3FD83214" w14:textId="77777777" w:rsidR="00BE13A8" w:rsidRDefault="00BE13A8" w:rsidP="00BA76E3">
      <w:pPr>
        <w:pBdr>
          <w:top w:val="nil"/>
          <w:left w:val="nil"/>
          <w:bottom w:val="nil"/>
          <w:right w:val="nil"/>
          <w:between w:val="nil"/>
        </w:pBdr>
        <w:rPr>
          <w:color w:val="000000"/>
        </w:rPr>
      </w:pPr>
    </w:p>
    <w:p w14:paraId="64060474" w14:textId="455CD941" w:rsidR="00BE13A8" w:rsidRDefault="00D70530" w:rsidP="00BA76E3">
      <w:pPr>
        <w:pBdr>
          <w:top w:val="nil"/>
          <w:left w:val="nil"/>
          <w:bottom w:val="nil"/>
          <w:right w:val="nil"/>
          <w:between w:val="nil"/>
        </w:pBdr>
        <w:rPr>
          <w:color w:val="000000"/>
        </w:rPr>
      </w:pPr>
      <w:r>
        <w:rPr>
          <w:color w:val="000000"/>
        </w:rPr>
        <w:t>The</w:t>
      </w:r>
      <w:r w:rsidR="00BF059B">
        <w:rPr>
          <w:color w:val="000000"/>
        </w:rPr>
        <w:t xml:space="preserve"> </w:t>
      </w:r>
      <w:r>
        <w:rPr>
          <w:color w:val="000000"/>
        </w:rPr>
        <w:t>governance</w:t>
      </w:r>
      <w:r w:rsidR="00BF059B">
        <w:rPr>
          <w:color w:val="000000"/>
        </w:rPr>
        <w:t xml:space="preserve"> </w:t>
      </w:r>
      <w:r>
        <w:rPr>
          <w:color w:val="000000"/>
        </w:rPr>
        <w:t>framework</w:t>
      </w:r>
      <w:r w:rsidR="00BF059B">
        <w:rPr>
          <w:color w:val="000000"/>
        </w:rPr>
        <w:t xml:space="preserve"> </w:t>
      </w:r>
      <w:r>
        <w:rPr>
          <w:color w:val="000000"/>
        </w:rPr>
        <w:t>has</w:t>
      </w:r>
      <w:r w:rsidR="00BF059B">
        <w:rPr>
          <w:color w:val="000000"/>
        </w:rPr>
        <w:t xml:space="preserve"> </w:t>
      </w:r>
      <w:r>
        <w:rPr>
          <w:color w:val="000000"/>
        </w:rPr>
        <w:t>been</w:t>
      </w:r>
      <w:r w:rsidR="00BF059B">
        <w:rPr>
          <w:color w:val="000000"/>
        </w:rPr>
        <w:t xml:space="preserve"> </w:t>
      </w:r>
      <w:r>
        <w:rPr>
          <w:color w:val="000000"/>
        </w:rPr>
        <w:t>in</w:t>
      </w:r>
      <w:r w:rsidR="00BF059B">
        <w:rPr>
          <w:color w:val="000000"/>
        </w:rPr>
        <w:t xml:space="preserve"> </w:t>
      </w:r>
      <w:r>
        <w:rPr>
          <w:color w:val="000000"/>
        </w:rPr>
        <w:t>place</w:t>
      </w:r>
      <w:r w:rsidR="00BF059B">
        <w:rPr>
          <w:color w:val="000000"/>
        </w:rPr>
        <w:t xml:space="preserve"> </w:t>
      </w:r>
      <w:r>
        <w:rPr>
          <w:color w:val="000000"/>
        </w:rPr>
        <w:t>throughout</w:t>
      </w:r>
      <w:r w:rsidR="00BF059B">
        <w:rPr>
          <w:color w:val="000000"/>
        </w:rPr>
        <w:t xml:space="preserve"> </w:t>
      </w:r>
      <w:r>
        <w:rPr>
          <w:color w:val="000000"/>
        </w:rPr>
        <w:t>the</w:t>
      </w:r>
      <w:r w:rsidR="00BF059B">
        <w:rPr>
          <w:color w:val="000000"/>
        </w:rPr>
        <w:t xml:space="preserve"> </w:t>
      </w:r>
      <w:r>
        <w:rPr>
          <w:color w:val="000000"/>
        </w:rPr>
        <w:t>year</w:t>
      </w:r>
      <w:r w:rsidR="00BF059B">
        <w:rPr>
          <w:color w:val="000000"/>
        </w:rPr>
        <w:t xml:space="preserve"> </w:t>
      </w:r>
      <w:r>
        <w:rPr>
          <w:color w:val="000000"/>
        </w:rPr>
        <w:t>ended</w:t>
      </w:r>
      <w:r w:rsidR="00BF059B">
        <w:rPr>
          <w:color w:val="000000"/>
        </w:rPr>
        <w:t xml:space="preserve"> </w:t>
      </w:r>
      <w:r>
        <w:rPr>
          <w:color w:val="000000"/>
        </w:rPr>
        <w:t>31</w:t>
      </w:r>
      <w:r w:rsidR="00BF059B">
        <w:rPr>
          <w:color w:val="000000"/>
        </w:rPr>
        <w:t xml:space="preserve"> </w:t>
      </w:r>
      <w:r>
        <w:rPr>
          <w:color w:val="000000"/>
        </w:rPr>
        <w:t>March</w:t>
      </w:r>
      <w:r w:rsidR="00BF059B">
        <w:rPr>
          <w:color w:val="000000"/>
        </w:rPr>
        <w:t xml:space="preserve"> </w:t>
      </w:r>
      <w:r>
        <w:rPr>
          <w:color w:val="000000"/>
        </w:rPr>
        <w:t>2025.</w:t>
      </w:r>
    </w:p>
    <w:p w14:paraId="55E5B227" w14:textId="77777777" w:rsidR="00BE13A8" w:rsidRDefault="00BE13A8" w:rsidP="00BA76E3">
      <w:pPr>
        <w:rPr>
          <w:b/>
        </w:rPr>
      </w:pPr>
    </w:p>
    <w:p w14:paraId="67F05E1A" w14:textId="0503E3FD" w:rsidR="00BE13A8" w:rsidRDefault="00D70530" w:rsidP="00BA76E3">
      <w:pPr>
        <w:pStyle w:val="Heading3"/>
      </w:pPr>
      <w:r>
        <w:t>The</w:t>
      </w:r>
      <w:r w:rsidR="00BF059B">
        <w:t xml:space="preserve"> </w:t>
      </w:r>
      <w:r>
        <w:t>governance</w:t>
      </w:r>
      <w:r w:rsidR="00BF059B">
        <w:t xml:space="preserve"> </w:t>
      </w:r>
      <w:r>
        <w:t>framework</w:t>
      </w:r>
    </w:p>
    <w:p w14:paraId="0B5706C8" w14:textId="77777777" w:rsidR="00BE13A8" w:rsidRDefault="00BE13A8" w:rsidP="00BA76E3"/>
    <w:p w14:paraId="24ABD962" w14:textId="61BD2DC8" w:rsidR="00BE13A8" w:rsidRDefault="00D70530" w:rsidP="00BA76E3">
      <w:r>
        <w:t>The</w:t>
      </w:r>
      <w:r w:rsidR="00BF059B">
        <w:t xml:space="preserve"> </w:t>
      </w:r>
      <w:r>
        <w:t>Corporate</w:t>
      </w:r>
      <w:r w:rsidR="00BF059B">
        <w:t xml:space="preserve"> </w:t>
      </w:r>
      <w:r>
        <w:t>Governance</w:t>
      </w:r>
      <w:r w:rsidR="00BF059B">
        <w:t xml:space="preserve"> </w:t>
      </w:r>
      <w:r>
        <w:t>Code</w:t>
      </w:r>
      <w:r w:rsidR="00BF059B">
        <w:t xml:space="preserve"> </w:t>
      </w:r>
      <w:r>
        <w:t>is</w:t>
      </w:r>
      <w:r w:rsidR="00BF059B">
        <w:t xml:space="preserve"> </w:t>
      </w:r>
      <w:r>
        <w:t>approved</w:t>
      </w:r>
      <w:r w:rsidR="00BF059B">
        <w:t xml:space="preserve"> </w:t>
      </w:r>
      <w:r>
        <w:t>by</w:t>
      </w:r>
      <w:r w:rsidR="00BF059B">
        <w:t xml:space="preserve"> </w:t>
      </w:r>
      <w:r>
        <w:t>the</w:t>
      </w:r>
      <w:r w:rsidR="00BF059B">
        <w:t xml:space="preserve"> </w:t>
      </w:r>
      <w:r>
        <w:t>Board</w:t>
      </w:r>
      <w:r w:rsidR="00BF059B">
        <w:t xml:space="preserve"> </w:t>
      </w:r>
      <w:r>
        <w:t>and</w:t>
      </w:r>
      <w:r w:rsidR="00BF059B">
        <w:t xml:space="preserve"> </w:t>
      </w:r>
      <w:r>
        <w:t>outlines</w:t>
      </w:r>
      <w:r w:rsidR="00BF059B">
        <w:t xml:space="preserve"> </w:t>
      </w:r>
      <w:r>
        <w:t>the</w:t>
      </w:r>
      <w:r w:rsidR="00BF059B">
        <w:t xml:space="preserve"> </w:t>
      </w:r>
      <w:r>
        <w:t>way</w:t>
      </w:r>
      <w:r w:rsidR="00BF059B">
        <w:t xml:space="preserve"> </w:t>
      </w:r>
      <w:r>
        <w:t>in</w:t>
      </w:r>
      <w:r w:rsidR="00BF059B">
        <w:t xml:space="preserve"> </w:t>
      </w:r>
      <w:r>
        <w:t>which</w:t>
      </w:r>
      <w:r w:rsidR="00BF059B">
        <w:t xml:space="preserve"> </w:t>
      </w:r>
      <w:r>
        <w:t>the</w:t>
      </w:r>
      <w:r w:rsidR="00BF059B">
        <w:t xml:space="preserve"> </w:t>
      </w:r>
      <w:r>
        <w:t>Trust</w:t>
      </w:r>
      <w:r w:rsidR="00BF059B">
        <w:t xml:space="preserve"> </w:t>
      </w:r>
      <w:r>
        <w:t>directs</w:t>
      </w:r>
      <w:r w:rsidR="00BF059B">
        <w:t xml:space="preserve"> </w:t>
      </w:r>
      <w:r>
        <w:t>and</w:t>
      </w:r>
      <w:r w:rsidR="00BF059B">
        <w:t xml:space="preserve"> </w:t>
      </w:r>
      <w:r>
        <w:t>controls</w:t>
      </w:r>
      <w:r w:rsidR="00BF059B">
        <w:t xml:space="preserve"> </w:t>
      </w:r>
      <w:r>
        <w:t>the</w:t>
      </w:r>
      <w:r w:rsidR="00BF059B">
        <w:t xml:space="preserve"> </w:t>
      </w:r>
      <w:r>
        <w:t>Museum</w:t>
      </w:r>
      <w:r w:rsidR="00BF059B">
        <w:t xml:space="preserve"> </w:t>
      </w:r>
      <w:r>
        <w:t>and</w:t>
      </w:r>
      <w:r w:rsidR="00BF059B">
        <w:t xml:space="preserve"> </w:t>
      </w:r>
      <w:r>
        <w:t>Gardens.</w:t>
      </w:r>
      <w:r w:rsidR="00BF059B">
        <w:t xml:space="preserve"> </w:t>
      </w:r>
      <w:r>
        <w:t>The</w:t>
      </w:r>
      <w:r w:rsidR="00BF059B">
        <w:t xml:space="preserve"> </w:t>
      </w:r>
      <w:r>
        <w:t>Trustees’</w:t>
      </w:r>
      <w:r w:rsidR="00BF059B">
        <w:t xml:space="preserve"> </w:t>
      </w:r>
      <w:r>
        <w:t>Code</w:t>
      </w:r>
      <w:r w:rsidR="00BF059B">
        <w:t xml:space="preserve"> </w:t>
      </w:r>
      <w:r>
        <w:t>of</w:t>
      </w:r>
      <w:r w:rsidR="00BF059B">
        <w:t xml:space="preserve"> </w:t>
      </w:r>
      <w:r>
        <w:t>Practice</w:t>
      </w:r>
      <w:r w:rsidR="00BF059B">
        <w:t xml:space="preserve"> </w:t>
      </w:r>
      <w:r>
        <w:t>outlines</w:t>
      </w:r>
      <w:r w:rsidR="00BF059B">
        <w:t xml:space="preserve"> </w:t>
      </w:r>
      <w:r>
        <w:t>Trustee</w:t>
      </w:r>
      <w:r w:rsidR="00BF059B">
        <w:t xml:space="preserve"> </w:t>
      </w:r>
      <w:r>
        <w:t>responsibilities.</w:t>
      </w:r>
      <w:r w:rsidR="00BF059B">
        <w:t xml:space="preserve"> </w:t>
      </w:r>
    </w:p>
    <w:p w14:paraId="6FBF5D50" w14:textId="77777777" w:rsidR="00BE13A8" w:rsidRDefault="00BE13A8" w:rsidP="00BA76E3"/>
    <w:p w14:paraId="1B6BC8AA" w14:textId="61A1BDF2" w:rsidR="00BE13A8" w:rsidRDefault="00D70530" w:rsidP="00BA76E3">
      <w:r>
        <w:t>The</w:t>
      </w:r>
      <w:r w:rsidR="00BF059B">
        <w:t xml:space="preserve"> </w:t>
      </w:r>
      <w:r>
        <w:t>key</w:t>
      </w:r>
      <w:r w:rsidR="00BF059B">
        <w:t xml:space="preserve"> </w:t>
      </w:r>
      <w:r>
        <w:t>elements</w:t>
      </w:r>
      <w:r w:rsidR="00BF059B">
        <w:t xml:space="preserve"> </w:t>
      </w:r>
      <w:r>
        <w:t>of</w:t>
      </w:r>
      <w:r w:rsidR="00BF059B">
        <w:t xml:space="preserve"> </w:t>
      </w:r>
      <w:r>
        <w:t>the</w:t>
      </w:r>
      <w:r w:rsidR="00BF059B">
        <w:t xml:space="preserve"> </w:t>
      </w:r>
      <w:r>
        <w:t>systems</w:t>
      </w:r>
      <w:r w:rsidR="00BF059B">
        <w:t xml:space="preserve"> </w:t>
      </w:r>
      <w:r>
        <w:t>and</w:t>
      </w:r>
      <w:r w:rsidR="00BF059B">
        <w:t xml:space="preserve"> </w:t>
      </w:r>
      <w:r>
        <w:t>processes</w:t>
      </w:r>
      <w:r w:rsidR="00BF059B">
        <w:t xml:space="preserve"> </w:t>
      </w:r>
      <w:r>
        <w:t>that</w:t>
      </w:r>
      <w:r w:rsidR="00BF059B">
        <w:t xml:space="preserve"> </w:t>
      </w:r>
      <w:r>
        <w:t>comprise</w:t>
      </w:r>
      <w:r w:rsidR="00BF059B">
        <w:t xml:space="preserve"> </w:t>
      </w:r>
      <w:r>
        <w:t>the</w:t>
      </w:r>
      <w:r w:rsidR="00BF059B">
        <w:t xml:space="preserve"> </w:t>
      </w:r>
      <w:r>
        <w:t>Horniman’s</w:t>
      </w:r>
      <w:r w:rsidR="00BF059B">
        <w:t xml:space="preserve"> </w:t>
      </w:r>
      <w:r>
        <w:t>governance</w:t>
      </w:r>
      <w:r w:rsidR="00BF059B">
        <w:t xml:space="preserve"> </w:t>
      </w:r>
      <w:r>
        <w:t>arrangements</w:t>
      </w:r>
      <w:r w:rsidR="00BF059B">
        <w:t xml:space="preserve"> </w:t>
      </w:r>
      <w:r>
        <w:t>are</w:t>
      </w:r>
      <w:r w:rsidR="00BF059B">
        <w:t xml:space="preserve"> </w:t>
      </w:r>
      <w:r>
        <w:t>as</w:t>
      </w:r>
      <w:r w:rsidR="00BF059B">
        <w:t xml:space="preserve"> </w:t>
      </w:r>
      <w:r>
        <w:t>follows:</w:t>
      </w:r>
    </w:p>
    <w:p w14:paraId="10FDEC51" w14:textId="77777777" w:rsidR="00BE13A8" w:rsidRDefault="00BE13A8" w:rsidP="00BA76E3"/>
    <w:p w14:paraId="785F88A2" w14:textId="3D5B6546" w:rsidR="00BE13A8" w:rsidRDefault="00D70530" w:rsidP="00BA76E3">
      <w:pPr>
        <w:numPr>
          <w:ilvl w:val="1"/>
          <w:numId w:val="7"/>
        </w:numPr>
      </w:pPr>
      <w:r>
        <w:t>A</w:t>
      </w:r>
      <w:r w:rsidR="00BF059B">
        <w:t xml:space="preserve"> </w:t>
      </w:r>
      <w:r>
        <w:t>Board</w:t>
      </w:r>
      <w:r w:rsidR="00BF059B">
        <w:t xml:space="preserve"> </w:t>
      </w:r>
      <w:r>
        <w:t>of</w:t>
      </w:r>
      <w:r w:rsidR="00BF059B">
        <w:t xml:space="preserve"> </w:t>
      </w:r>
      <w:r>
        <w:t>Trustees,</w:t>
      </w:r>
      <w:r w:rsidR="00BF059B">
        <w:t xml:space="preserve"> </w:t>
      </w:r>
      <w:r>
        <w:t>which</w:t>
      </w:r>
      <w:r w:rsidR="00BF059B">
        <w:t xml:space="preserve"> </w:t>
      </w:r>
      <w:r>
        <w:t>meets</w:t>
      </w:r>
      <w:r w:rsidR="00BF059B">
        <w:t xml:space="preserve"> </w:t>
      </w:r>
      <w:r>
        <w:t>at</w:t>
      </w:r>
      <w:r w:rsidR="00BF059B">
        <w:t xml:space="preserve"> </w:t>
      </w:r>
      <w:r>
        <w:t>least</w:t>
      </w:r>
      <w:r w:rsidR="00BF059B">
        <w:t xml:space="preserve"> </w:t>
      </w:r>
      <w:r>
        <w:t>quarterly</w:t>
      </w:r>
      <w:r w:rsidR="00BF059B">
        <w:t xml:space="preserve"> </w:t>
      </w:r>
      <w:r>
        <w:t>to</w:t>
      </w:r>
      <w:r w:rsidR="00BF059B">
        <w:t xml:space="preserve"> </w:t>
      </w:r>
      <w:r>
        <w:t>focus</w:t>
      </w:r>
      <w:r w:rsidR="00BF059B">
        <w:t xml:space="preserve"> </w:t>
      </w:r>
      <w:r>
        <w:t>on</w:t>
      </w:r>
      <w:r w:rsidR="00BF059B">
        <w:t xml:space="preserve"> </w:t>
      </w:r>
      <w:r>
        <w:t>the</w:t>
      </w:r>
      <w:r w:rsidR="00BF059B">
        <w:t xml:space="preserve"> </w:t>
      </w:r>
      <w:r>
        <w:t>strategy,</w:t>
      </w:r>
      <w:r w:rsidR="00BF059B">
        <w:t xml:space="preserve"> </w:t>
      </w:r>
      <w:r>
        <w:t>policy</w:t>
      </w:r>
      <w:r w:rsidR="00BF059B">
        <w:t xml:space="preserve"> </w:t>
      </w:r>
      <w:r>
        <w:t>and</w:t>
      </w:r>
      <w:r w:rsidR="00BF059B">
        <w:t xml:space="preserve"> </w:t>
      </w:r>
      <w:r>
        <w:t>direction</w:t>
      </w:r>
      <w:r w:rsidR="00BF059B">
        <w:t xml:space="preserve"> </w:t>
      </w:r>
      <w:r>
        <w:t>of</w:t>
      </w:r>
      <w:r w:rsidR="00BF059B">
        <w:t xml:space="preserve"> </w:t>
      </w:r>
      <w:r>
        <w:t>the</w:t>
      </w:r>
      <w:r w:rsidR="00BF059B">
        <w:t xml:space="preserve"> </w:t>
      </w:r>
      <w:r>
        <w:t>Trust.</w:t>
      </w:r>
      <w:r w:rsidR="00BF059B">
        <w:t xml:space="preserve"> </w:t>
      </w:r>
      <w:r>
        <w:t>This</w:t>
      </w:r>
      <w:r w:rsidR="00BF059B">
        <w:t xml:space="preserve"> </w:t>
      </w:r>
      <w:r>
        <w:t>includes</w:t>
      </w:r>
      <w:r w:rsidR="00BF059B">
        <w:t xml:space="preserve"> </w:t>
      </w:r>
      <w:r>
        <w:t>agreeing</w:t>
      </w:r>
      <w:r w:rsidR="00BF059B">
        <w:t xml:space="preserve"> </w:t>
      </w:r>
      <w:r>
        <w:t>a</w:t>
      </w:r>
      <w:r w:rsidR="00BF059B">
        <w:t xml:space="preserve"> </w:t>
      </w:r>
      <w:r>
        <w:t>corporate</w:t>
      </w:r>
      <w:r w:rsidR="00BF059B">
        <w:t xml:space="preserve"> </w:t>
      </w:r>
      <w:r>
        <w:t>plan</w:t>
      </w:r>
      <w:r w:rsidR="00BF059B">
        <w:t xml:space="preserve"> </w:t>
      </w:r>
      <w:r>
        <w:t>which</w:t>
      </w:r>
      <w:r w:rsidR="00BF059B">
        <w:t xml:space="preserve"> </w:t>
      </w:r>
      <w:r>
        <w:t>is</w:t>
      </w:r>
      <w:r w:rsidR="00BF059B">
        <w:t xml:space="preserve"> </w:t>
      </w:r>
      <w:r>
        <w:t>updated</w:t>
      </w:r>
      <w:r w:rsidR="00BF059B">
        <w:t xml:space="preserve"> </w:t>
      </w:r>
      <w:r>
        <w:t>annually,</w:t>
      </w:r>
      <w:r w:rsidR="00BF059B">
        <w:t xml:space="preserve"> </w:t>
      </w:r>
      <w:r>
        <w:t>setting</w:t>
      </w:r>
      <w:r w:rsidR="00BF059B">
        <w:t xml:space="preserve"> </w:t>
      </w:r>
      <w:r>
        <w:t>key</w:t>
      </w:r>
      <w:r w:rsidR="00BF059B">
        <w:t xml:space="preserve"> </w:t>
      </w:r>
      <w:r>
        <w:t>performance</w:t>
      </w:r>
      <w:r w:rsidR="00BF059B">
        <w:t xml:space="preserve"> </w:t>
      </w:r>
      <w:r>
        <w:t>indicators</w:t>
      </w:r>
      <w:r w:rsidR="00BF059B">
        <w:t xml:space="preserve"> </w:t>
      </w:r>
      <w:r>
        <w:t>and</w:t>
      </w:r>
      <w:r w:rsidR="00BF059B">
        <w:t xml:space="preserve"> </w:t>
      </w:r>
      <w:r>
        <w:t>reviewing</w:t>
      </w:r>
      <w:r w:rsidR="00BF059B">
        <w:t xml:space="preserve"> </w:t>
      </w:r>
      <w:r>
        <w:t>the</w:t>
      </w:r>
      <w:r w:rsidR="00BF059B">
        <w:t xml:space="preserve"> </w:t>
      </w:r>
      <w:r>
        <w:t>major</w:t>
      </w:r>
      <w:r w:rsidR="00BF059B">
        <w:t xml:space="preserve"> </w:t>
      </w:r>
      <w:r>
        <w:t>risks.</w:t>
      </w:r>
    </w:p>
    <w:p w14:paraId="0409AB50" w14:textId="77777777" w:rsidR="00BE13A8" w:rsidRDefault="00BE13A8" w:rsidP="00BA76E3">
      <w:pPr>
        <w:ind w:left="340"/>
      </w:pPr>
    </w:p>
    <w:p w14:paraId="01FDC44E" w14:textId="3EA7DAF1" w:rsidR="00BE13A8" w:rsidRDefault="00D70530" w:rsidP="00BA76E3">
      <w:pPr>
        <w:numPr>
          <w:ilvl w:val="1"/>
          <w:numId w:val="7"/>
        </w:numPr>
        <w:pBdr>
          <w:top w:val="nil"/>
          <w:left w:val="nil"/>
          <w:bottom w:val="nil"/>
          <w:right w:val="nil"/>
          <w:between w:val="nil"/>
        </w:pBdr>
      </w:pPr>
      <w:r>
        <w:rPr>
          <w:color w:val="000000"/>
        </w:rPr>
        <w:t>An</w:t>
      </w:r>
      <w:r w:rsidR="00BF059B">
        <w:rPr>
          <w:color w:val="000000"/>
        </w:rPr>
        <w:t xml:space="preserve"> </w:t>
      </w:r>
      <w:r>
        <w:rPr>
          <w:color w:val="000000"/>
        </w:rPr>
        <w:t>Audit</w:t>
      </w:r>
      <w:r w:rsidR="00BF059B">
        <w:rPr>
          <w:color w:val="000000"/>
        </w:rPr>
        <w:t xml:space="preserve"> </w:t>
      </w:r>
      <w:r>
        <w:rPr>
          <w:color w:val="000000"/>
        </w:rPr>
        <w:t>&amp;</w:t>
      </w:r>
      <w:r w:rsidR="00BF059B">
        <w:rPr>
          <w:color w:val="000000"/>
        </w:rPr>
        <w:t xml:space="preserve"> </w:t>
      </w:r>
      <w:r>
        <w:rPr>
          <w:color w:val="000000"/>
        </w:rPr>
        <w:t>Risk</w:t>
      </w:r>
      <w:r w:rsidR="00BF059B">
        <w:rPr>
          <w:color w:val="000000"/>
        </w:rPr>
        <w:t xml:space="preserve"> </w:t>
      </w:r>
      <w:r>
        <w:rPr>
          <w:color w:val="000000"/>
        </w:rPr>
        <w:t>Committee,</w:t>
      </w:r>
      <w:r w:rsidR="00BF059B">
        <w:rPr>
          <w:color w:val="000000"/>
        </w:rPr>
        <w:t xml:space="preserve"> </w:t>
      </w:r>
      <w:r>
        <w:rPr>
          <w:color w:val="000000"/>
        </w:rPr>
        <w:t>which</w:t>
      </w:r>
      <w:r w:rsidR="00BF059B">
        <w:rPr>
          <w:color w:val="000000"/>
        </w:rPr>
        <w:t xml:space="preserve"> </w:t>
      </w:r>
      <w:r>
        <w:rPr>
          <w:color w:val="000000"/>
        </w:rPr>
        <w:t>meets</w:t>
      </w:r>
      <w:r w:rsidR="00BF059B">
        <w:rPr>
          <w:color w:val="000000"/>
        </w:rPr>
        <w:t xml:space="preserve"> </w:t>
      </w:r>
      <w:r>
        <w:rPr>
          <w:color w:val="000000"/>
        </w:rPr>
        <w:t>three</w:t>
      </w:r>
      <w:r w:rsidR="00BF059B">
        <w:rPr>
          <w:color w:val="000000"/>
        </w:rPr>
        <w:t xml:space="preserve"> </w:t>
      </w:r>
      <w:r>
        <w:rPr>
          <w:color w:val="000000"/>
        </w:rPr>
        <w:t>times</w:t>
      </w:r>
      <w:r w:rsidR="00BF059B">
        <w:rPr>
          <w:color w:val="000000"/>
        </w:rPr>
        <w:t xml:space="preserve"> </w:t>
      </w:r>
      <w:r>
        <w:rPr>
          <w:color w:val="000000"/>
        </w:rPr>
        <w:t>a</w:t>
      </w:r>
      <w:r w:rsidR="00BF059B">
        <w:rPr>
          <w:color w:val="000000"/>
        </w:rPr>
        <w:t xml:space="preserve"> </w:t>
      </w:r>
      <w:r>
        <w:rPr>
          <w:color w:val="000000"/>
        </w:rPr>
        <w:t>year</w:t>
      </w:r>
      <w:r w:rsidR="00BF059B">
        <w:rPr>
          <w:color w:val="000000"/>
        </w:rPr>
        <w:t xml:space="preserve"> </w:t>
      </w:r>
      <w:r>
        <w:rPr>
          <w:color w:val="000000"/>
        </w:rPr>
        <w:t>to</w:t>
      </w:r>
      <w:r w:rsidR="00BF059B">
        <w:rPr>
          <w:color w:val="000000"/>
        </w:rPr>
        <w:t xml:space="preserve"> </w:t>
      </w:r>
      <w:r>
        <w:rPr>
          <w:color w:val="000000"/>
        </w:rPr>
        <w:t>support</w:t>
      </w:r>
      <w:r w:rsidR="00BF059B">
        <w:rPr>
          <w:color w:val="000000"/>
        </w:rPr>
        <w:t xml:space="preserve"> </w:t>
      </w:r>
      <w:r>
        <w:rPr>
          <w:color w:val="000000"/>
        </w:rPr>
        <w:t>the</w:t>
      </w:r>
      <w:r w:rsidR="00BF059B">
        <w:rPr>
          <w:color w:val="000000"/>
        </w:rPr>
        <w:t xml:space="preserve"> </w:t>
      </w:r>
      <w:r>
        <w:rPr>
          <w:color w:val="000000"/>
        </w:rPr>
        <w:t>Board</w:t>
      </w:r>
      <w:r w:rsidR="00BF059B">
        <w:rPr>
          <w:color w:val="000000"/>
        </w:rPr>
        <w:t xml:space="preserve"> </w:t>
      </w:r>
      <w:r>
        <w:rPr>
          <w:color w:val="000000"/>
        </w:rPr>
        <w:t>in</w:t>
      </w:r>
      <w:r w:rsidR="00BF059B">
        <w:rPr>
          <w:color w:val="000000"/>
        </w:rPr>
        <w:t xml:space="preserve"> </w:t>
      </w:r>
      <w:r>
        <w:rPr>
          <w:color w:val="000000"/>
        </w:rPr>
        <w:t>their</w:t>
      </w:r>
      <w:r w:rsidR="00BF059B">
        <w:rPr>
          <w:color w:val="000000"/>
        </w:rPr>
        <w:t xml:space="preserve"> </w:t>
      </w:r>
      <w:r>
        <w:rPr>
          <w:color w:val="000000"/>
        </w:rPr>
        <w:t>responsibilities</w:t>
      </w:r>
      <w:r w:rsidR="00BF059B">
        <w:rPr>
          <w:color w:val="000000"/>
        </w:rPr>
        <w:t xml:space="preserve"> </w:t>
      </w:r>
      <w:r>
        <w:rPr>
          <w:color w:val="000000"/>
        </w:rPr>
        <w:t>relating</w:t>
      </w:r>
      <w:r w:rsidR="00BF059B">
        <w:rPr>
          <w:color w:val="000000"/>
        </w:rPr>
        <w:t xml:space="preserve"> </w:t>
      </w:r>
      <w:r>
        <w:rPr>
          <w:color w:val="000000"/>
        </w:rPr>
        <w:t>to</w:t>
      </w:r>
      <w:r w:rsidR="00BF059B">
        <w:rPr>
          <w:color w:val="000000"/>
        </w:rPr>
        <w:t xml:space="preserve"> </w:t>
      </w:r>
      <w:r>
        <w:rPr>
          <w:color w:val="000000"/>
        </w:rPr>
        <w:t>risk</w:t>
      </w:r>
      <w:r w:rsidR="00BF059B">
        <w:rPr>
          <w:color w:val="000000"/>
        </w:rPr>
        <w:t xml:space="preserve"> </w:t>
      </w:r>
      <w:r>
        <w:rPr>
          <w:color w:val="000000"/>
        </w:rPr>
        <w:t>control</w:t>
      </w:r>
      <w:r w:rsidR="00BF059B">
        <w:rPr>
          <w:color w:val="000000"/>
        </w:rPr>
        <w:t xml:space="preserve"> </w:t>
      </w:r>
      <w:r>
        <w:rPr>
          <w:color w:val="000000"/>
        </w:rPr>
        <w:t>and</w:t>
      </w:r>
      <w:r w:rsidR="00BF059B">
        <w:rPr>
          <w:color w:val="000000"/>
        </w:rPr>
        <w:t xml:space="preserve"> </w:t>
      </w:r>
      <w:r>
        <w:rPr>
          <w:color w:val="000000"/>
        </w:rPr>
        <w:t>governance,</w:t>
      </w:r>
      <w:r w:rsidR="00BF059B">
        <w:rPr>
          <w:color w:val="000000"/>
        </w:rPr>
        <w:t xml:space="preserve"> </w:t>
      </w:r>
      <w:r>
        <w:rPr>
          <w:color w:val="000000"/>
        </w:rPr>
        <w:t>including</w:t>
      </w:r>
      <w:r w:rsidR="00BF059B">
        <w:rPr>
          <w:color w:val="000000"/>
        </w:rPr>
        <w:t xml:space="preserve"> </w:t>
      </w:r>
      <w:r>
        <w:rPr>
          <w:color w:val="000000"/>
        </w:rPr>
        <w:t>detailed</w:t>
      </w:r>
      <w:r w:rsidR="00BF059B">
        <w:rPr>
          <w:color w:val="000000"/>
        </w:rPr>
        <w:t xml:space="preserve"> </w:t>
      </w:r>
      <w:r>
        <w:rPr>
          <w:color w:val="000000"/>
        </w:rPr>
        <w:t>perusal</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Annual</w:t>
      </w:r>
      <w:r w:rsidR="00BF059B">
        <w:rPr>
          <w:color w:val="000000"/>
        </w:rPr>
        <w:t xml:space="preserve"> </w:t>
      </w:r>
      <w:r>
        <w:rPr>
          <w:color w:val="000000"/>
        </w:rPr>
        <w:t>Accounts</w:t>
      </w:r>
      <w:r w:rsidR="00BF059B">
        <w:rPr>
          <w:color w:val="000000"/>
        </w:rPr>
        <w:t xml:space="preserve"> </w:t>
      </w:r>
      <w:r>
        <w:rPr>
          <w:color w:val="000000"/>
        </w:rPr>
        <w:t>and</w:t>
      </w:r>
      <w:r w:rsidR="00BF059B">
        <w:rPr>
          <w:color w:val="000000"/>
        </w:rPr>
        <w:t xml:space="preserve"> </w:t>
      </w:r>
      <w:r>
        <w:rPr>
          <w:color w:val="000000"/>
        </w:rPr>
        <w:t>consideration</w:t>
      </w:r>
      <w:r w:rsidR="00BF059B">
        <w:rPr>
          <w:color w:val="000000"/>
        </w:rPr>
        <w:t xml:space="preserve"> </w:t>
      </w:r>
      <w:r>
        <w:rPr>
          <w:color w:val="000000"/>
        </w:rPr>
        <w:t>of</w:t>
      </w:r>
      <w:r w:rsidR="00BF059B">
        <w:rPr>
          <w:color w:val="000000"/>
        </w:rPr>
        <w:t xml:space="preserve"> </w:t>
      </w:r>
      <w:r>
        <w:rPr>
          <w:color w:val="000000"/>
        </w:rPr>
        <w:t>Internal</w:t>
      </w:r>
      <w:r w:rsidR="00BF059B">
        <w:rPr>
          <w:color w:val="000000"/>
        </w:rPr>
        <w:t xml:space="preserve"> </w:t>
      </w:r>
      <w:r>
        <w:rPr>
          <w:color w:val="000000"/>
        </w:rPr>
        <w:t>Audit</w:t>
      </w:r>
      <w:r w:rsidR="00BF059B">
        <w:rPr>
          <w:color w:val="000000"/>
        </w:rPr>
        <w:t xml:space="preserve"> </w:t>
      </w:r>
      <w:r>
        <w:rPr>
          <w:color w:val="000000"/>
        </w:rPr>
        <w:t>Reports.</w:t>
      </w:r>
    </w:p>
    <w:p w14:paraId="7F608633" w14:textId="77777777" w:rsidR="00BE13A8" w:rsidRDefault="00BE13A8" w:rsidP="00BA76E3">
      <w:pPr>
        <w:pBdr>
          <w:top w:val="nil"/>
          <w:left w:val="nil"/>
          <w:bottom w:val="nil"/>
          <w:right w:val="nil"/>
          <w:between w:val="nil"/>
        </w:pBdr>
        <w:ind w:left="720"/>
        <w:rPr>
          <w:color w:val="000000"/>
        </w:rPr>
      </w:pPr>
    </w:p>
    <w:p w14:paraId="350956A1" w14:textId="2103EC43" w:rsidR="00BE13A8" w:rsidRDefault="00D70530" w:rsidP="00BA76E3">
      <w:pPr>
        <w:numPr>
          <w:ilvl w:val="1"/>
          <w:numId w:val="7"/>
        </w:numPr>
        <w:pBdr>
          <w:top w:val="nil"/>
          <w:left w:val="nil"/>
          <w:bottom w:val="nil"/>
          <w:right w:val="nil"/>
          <w:between w:val="nil"/>
        </w:pBdr>
      </w:pPr>
      <w:r>
        <w:rPr>
          <w:color w:val="000000"/>
        </w:rPr>
        <w:t>A</w:t>
      </w:r>
      <w:r w:rsidR="00BF059B">
        <w:rPr>
          <w:color w:val="000000"/>
        </w:rPr>
        <w:t xml:space="preserve"> </w:t>
      </w:r>
      <w:r>
        <w:rPr>
          <w:color w:val="000000"/>
        </w:rPr>
        <w:t>Remuneration</w:t>
      </w:r>
      <w:r w:rsidR="00BF059B">
        <w:rPr>
          <w:color w:val="000000"/>
        </w:rPr>
        <w:t xml:space="preserve"> </w:t>
      </w:r>
      <w:r>
        <w:rPr>
          <w:color w:val="000000"/>
        </w:rPr>
        <w:t>Committee,</w:t>
      </w:r>
      <w:r w:rsidR="00BF059B">
        <w:rPr>
          <w:color w:val="000000"/>
        </w:rPr>
        <w:t xml:space="preserve"> </w:t>
      </w:r>
      <w:r>
        <w:rPr>
          <w:color w:val="000000"/>
        </w:rPr>
        <w:t>which</w:t>
      </w:r>
      <w:r w:rsidR="00BF059B">
        <w:rPr>
          <w:color w:val="000000"/>
        </w:rPr>
        <w:t xml:space="preserve"> </w:t>
      </w:r>
      <w:r>
        <w:rPr>
          <w:color w:val="000000"/>
        </w:rPr>
        <w:t>makes</w:t>
      </w:r>
      <w:r w:rsidR="00BF059B">
        <w:rPr>
          <w:color w:val="000000"/>
        </w:rPr>
        <w:t xml:space="preserve"> </w:t>
      </w:r>
      <w:r>
        <w:rPr>
          <w:color w:val="000000"/>
        </w:rPr>
        <w:t>recommendations</w:t>
      </w:r>
      <w:r w:rsidR="00BF059B">
        <w:rPr>
          <w:color w:val="000000"/>
        </w:rPr>
        <w:t xml:space="preserve"> </w:t>
      </w:r>
      <w:r>
        <w:rPr>
          <w:color w:val="000000"/>
        </w:rPr>
        <w:t>to</w:t>
      </w:r>
      <w:r w:rsidR="00BF059B">
        <w:rPr>
          <w:color w:val="000000"/>
        </w:rPr>
        <w:t xml:space="preserve"> </w:t>
      </w:r>
      <w:r>
        <w:rPr>
          <w:color w:val="000000"/>
        </w:rPr>
        <w:t>the</w:t>
      </w:r>
      <w:r w:rsidR="00BF059B">
        <w:rPr>
          <w:color w:val="000000"/>
        </w:rPr>
        <w:t xml:space="preserve"> </w:t>
      </w:r>
      <w:r>
        <w:rPr>
          <w:color w:val="000000"/>
        </w:rPr>
        <w:t>Board</w:t>
      </w:r>
      <w:r w:rsidR="00BF059B">
        <w:rPr>
          <w:color w:val="000000"/>
        </w:rPr>
        <w:t xml:space="preserve"> </w:t>
      </w:r>
      <w:r>
        <w:rPr>
          <w:color w:val="000000"/>
        </w:rPr>
        <w:t>on</w:t>
      </w:r>
      <w:r w:rsidR="00BF059B">
        <w:rPr>
          <w:color w:val="000000"/>
        </w:rPr>
        <w:t xml:space="preserve"> </w:t>
      </w:r>
      <w:r>
        <w:rPr>
          <w:color w:val="000000"/>
        </w:rPr>
        <w:t>matters</w:t>
      </w:r>
      <w:r w:rsidR="00BF059B">
        <w:rPr>
          <w:color w:val="000000"/>
        </w:rPr>
        <w:t xml:space="preserve"> </w:t>
      </w:r>
      <w:r>
        <w:rPr>
          <w:color w:val="000000"/>
        </w:rPr>
        <w:t>relating</w:t>
      </w:r>
      <w:r w:rsidR="00BF059B">
        <w:rPr>
          <w:color w:val="000000"/>
        </w:rPr>
        <w:t xml:space="preserve"> </w:t>
      </w:r>
      <w:r>
        <w:rPr>
          <w:color w:val="000000"/>
        </w:rPr>
        <w:t>to</w:t>
      </w:r>
      <w:r w:rsidR="00BF059B">
        <w:rPr>
          <w:color w:val="000000"/>
        </w:rPr>
        <w:t xml:space="preserve"> </w:t>
      </w:r>
      <w:r>
        <w:rPr>
          <w:color w:val="000000"/>
        </w:rPr>
        <w:t>the</w:t>
      </w:r>
      <w:r w:rsidR="00BF059B">
        <w:rPr>
          <w:color w:val="000000"/>
        </w:rPr>
        <w:t xml:space="preserve"> </w:t>
      </w:r>
      <w:r>
        <w:rPr>
          <w:color w:val="000000"/>
        </w:rPr>
        <w:t>Chief</w:t>
      </w:r>
      <w:r w:rsidR="00BF059B">
        <w:rPr>
          <w:color w:val="000000"/>
        </w:rPr>
        <w:t xml:space="preserve"> </w:t>
      </w:r>
      <w:r>
        <w:rPr>
          <w:color w:val="000000"/>
        </w:rPr>
        <w:t>Executive</w:t>
      </w:r>
      <w:r w:rsidR="00BF059B">
        <w:rPr>
          <w:color w:val="000000"/>
        </w:rPr>
        <w:t xml:space="preserve"> </w:t>
      </w:r>
      <w:r>
        <w:rPr>
          <w:color w:val="000000"/>
        </w:rPr>
        <w:t>and</w:t>
      </w:r>
      <w:r w:rsidR="00BF059B">
        <w:rPr>
          <w:color w:val="000000"/>
        </w:rPr>
        <w:t xml:space="preserve"> </w:t>
      </w:r>
      <w:r>
        <w:rPr>
          <w:color w:val="000000"/>
        </w:rPr>
        <w:t>other</w:t>
      </w:r>
      <w:r w:rsidR="00BF059B">
        <w:rPr>
          <w:color w:val="000000"/>
        </w:rPr>
        <w:t xml:space="preserve"> </w:t>
      </w:r>
      <w:r>
        <w:rPr>
          <w:color w:val="000000"/>
        </w:rPr>
        <w:t>senior</w:t>
      </w:r>
      <w:r w:rsidR="00BF059B">
        <w:rPr>
          <w:color w:val="000000"/>
        </w:rPr>
        <w:t xml:space="preserve"> </w:t>
      </w:r>
      <w:r>
        <w:rPr>
          <w:color w:val="000000"/>
        </w:rPr>
        <w:t>management</w:t>
      </w:r>
      <w:r w:rsidR="00BF059B">
        <w:rPr>
          <w:color w:val="000000"/>
        </w:rPr>
        <w:t xml:space="preserve"> </w:t>
      </w:r>
      <w:r>
        <w:rPr>
          <w:color w:val="000000"/>
        </w:rPr>
        <w:t>remuneration</w:t>
      </w:r>
      <w:r w:rsidR="00BF059B">
        <w:rPr>
          <w:color w:val="000000"/>
        </w:rPr>
        <w:t xml:space="preserve"> </w:t>
      </w:r>
      <w:r>
        <w:rPr>
          <w:color w:val="000000"/>
        </w:rPr>
        <w:t>and</w:t>
      </w:r>
      <w:r w:rsidR="00BF059B">
        <w:rPr>
          <w:color w:val="000000"/>
        </w:rPr>
        <w:t xml:space="preserve"> </w:t>
      </w:r>
      <w:r>
        <w:rPr>
          <w:color w:val="000000"/>
        </w:rPr>
        <w:t>remuneration</w:t>
      </w:r>
      <w:r w:rsidR="00BF059B">
        <w:rPr>
          <w:color w:val="000000"/>
        </w:rPr>
        <w:t xml:space="preserve"> </w:t>
      </w:r>
      <w:r>
        <w:rPr>
          <w:color w:val="000000"/>
        </w:rPr>
        <w:t>policy</w:t>
      </w:r>
      <w:r w:rsidR="00BF059B">
        <w:rPr>
          <w:color w:val="000000"/>
        </w:rPr>
        <w:t xml:space="preserve"> </w:t>
      </w:r>
      <w:r>
        <w:rPr>
          <w:color w:val="000000"/>
        </w:rPr>
        <w:t>as</w:t>
      </w:r>
      <w:r w:rsidR="00BF059B">
        <w:rPr>
          <w:color w:val="000000"/>
        </w:rPr>
        <w:t xml:space="preserve"> </w:t>
      </w:r>
      <w:r>
        <w:rPr>
          <w:color w:val="000000"/>
        </w:rPr>
        <w:t>required.</w:t>
      </w:r>
    </w:p>
    <w:p w14:paraId="424D31E2" w14:textId="77777777" w:rsidR="00BE13A8" w:rsidRDefault="00BE13A8" w:rsidP="00BA76E3">
      <w:pPr>
        <w:pBdr>
          <w:top w:val="nil"/>
          <w:left w:val="nil"/>
          <w:bottom w:val="nil"/>
          <w:right w:val="nil"/>
          <w:between w:val="nil"/>
        </w:pBdr>
        <w:ind w:left="720"/>
        <w:rPr>
          <w:color w:val="000000"/>
        </w:rPr>
      </w:pPr>
    </w:p>
    <w:p w14:paraId="267F8B50" w14:textId="5DCAB37D" w:rsidR="00BE13A8" w:rsidRDefault="00D70530" w:rsidP="00BA76E3">
      <w:pPr>
        <w:numPr>
          <w:ilvl w:val="1"/>
          <w:numId w:val="7"/>
        </w:numPr>
        <w:pBdr>
          <w:top w:val="nil"/>
          <w:left w:val="nil"/>
          <w:bottom w:val="nil"/>
          <w:right w:val="nil"/>
          <w:between w:val="nil"/>
        </w:pBdr>
      </w:pPr>
      <w:r>
        <w:rPr>
          <w:color w:val="000000"/>
        </w:rPr>
        <w:t>The</w:t>
      </w:r>
      <w:r w:rsidR="00BF059B">
        <w:rPr>
          <w:color w:val="000000"/>
        </w:rPr>
        <w:t xml:space="preserve"> </w:t>
      </w:r>
      <w:r>
        <w:rPr>
          <w:color w:val="000000"/>
        </w:rPr>
        <w:t>Chief</w:t>
      </w:r>
      <w:r w:rsidR="00BF059B">
        <w:rPr>
          <w:color w:val="000000"/>
        </w:rPr>
        <w:t xml:space="preserve"> </w:t>
      </w:r>
      <w:r>
        <w:rPr>
          <w:color w:val="000000"/>
        </w:rPr>
        <w:t>Executive,</w:t>
      </w:r>
      <w:r w:rsidR="00BF059B">
        <w:rPr>
          <w:color w:val="000000"/>
        </w:rPr>
        <w:t xml:space="preserve"> </w:t>
      </w:r>
      <w:r>
        <w:rPr>
          <w:color w:val="000000"/>
        </w:rPr>
        <w:t>who</w:t>
      </w:r>
      <w:r w:rsidR="00BF059B">
        <w:rPr>
          <w:color w:val="000000"/>
        </w:rPr>
        <w:t xml:space="preserve"> </w:t>
      </w:r>
      <w:r>
        <w:rPr>
          <w:color w:val="000000"/>
        </w:rPr>
        <w:t>has</w:t>
      </w:r>
      <w:r w:rsidR="00BF059B">
        <w:rPr>
          <w:color w:val="000000"/>
        </w:rPr>
        <w:t xml:space="preserve"> </w:t>
      </w:r>
      <w:r>
        <w:rPr>
          <w:color w:val="000000"/>
        </w:rPr>
        <w:t>responsibility</w:t>
      </w:r>
      <w:r w:rsidR="00BF059B">
        <w:rPr>
          <w:color w:val="000000"/>
        </w:rPr>
        <w:t xml:space="preserve"> </w:t>
      </w:r>
      <w:r>
        <w:rPr>
          <w:color w:val="000000"/>
        </w:rPr>
        <w:t>to</w:t>
      </w:r>
      <w:r w:rsidR="00BF059B">
        <w:rPr>
          <w:color w:val="000000"/>
        </w:rPr>
        <w:t xml:space="preserve"> </w:t>
      </w:r>
      <w:r>
        <w:rPr>
          <w:color w:val="000000"/>
        </w:rPr>
        <w:t>the</w:t>
      </w:r>
      <w:r w:rsidR="00BF059B">
        <w:rPr>
          <w:color w:val="000000"/>
        </w:rPr>
        <w:t xml:space="preserve"> </w:t>
      </w:r>
      <w:r>
        <w:rPr>
          <w:color w:val="000000"/>
        </w:rPr>
        <w:t>Board</w:t>
      </w:r>
      <w:r w:rsidR="00BF059B">
        <w:rPr>
          <w:color w:val="000000"/>
        </w:rPr>
        <w:t xml:space="preserve"> </w:t>
      </w:r>
      <w:r>
        <w:rPr>
          <w:color w:val="000000"/>
        </w:rPr>
        <w:t>for</w:t>
      </w:r>
      <w:r w:rsidR="00BF059B">
        <w:rPr>
          <w:color w:val="000000"/>
        </w:rPr>
        <w:t xml:space="preserve"> </w:t>
      </w:r>
      <w:r>
        <w:rPr>
          <w:color w:val="000000"/>
        </w:rPr>
        <w:t>the</w:t>
      </w:r>
      <w:r w:rsidR="00BF059B">
        <w:rPr>
          <w:color w:val="000000"/>
        </w:rPr>
        <w:t xml:space="preserve"> </w:t>
      </w:r>
      <w:r>
        <w:rPr>
          <w:color w:val="000000"/>
        </w:rPr>
        <w:t>overall</w:t>
      </w:r>
      <w:r w:rsidR="00BF059B">
        <w:rPr>
          <w:color w:val="000000"/>
        </w:rPr>
        <w:t xml:space="preserve"> </w:t>
      </w:r>
      <w:r>
        <w:rPr>
          <w:color w:val="000000"/>
        </w:rPr>
        <w:t>organisation,</w:t>
      </w:r>
      <w:r w:rsidR="00BF059B">
        <w:rPr>
          <w:color w:val="000000"/>
        </w:rPr>
        <w:t xml:space="preserve"> </w:t>
      </w:r>
      <w:r>
        <w:rPr>
          <w:color w:val="000000"/>
        </w:rPr>
        <w:t>management</w:t>
      </w:r>
      <w:r w:rsidR="00BF059B">
        <w:rPr>
          <w:color w:val="000000"/>
        </w:rPr>
        <w:t xml:space="preserve"> </w:t>
      </w:r>
      <w:r>
        <w:rPr>
          <w:color w:val="000000"/>
        </w:rPr>
        <w:t>and</w:t>
      </w:r>
      <w:r w:rsidR="00BF059B">
        <w:rPr>
          <w:color w:val="000000"/>
        </w:rPr>
        <w:t xml:space="preserve"> </w:t>
      </w:r>
      <w:r>
        <w:rPr>
          <w:color w:val="000000"/>
        </w:rPr>
        <w:t>staffing</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Trust</w:t>
      </w:r>
      <w:r w:rsidR="00BF059B">
        <w:rPr>
          <w:color w:val="000000"/>
        </w:rPr>
        <w:t xml:space="preserve"> </w:t>
      </w:r>
      <w:r>
        <w:rPr>
          <w:color w:val="000000"/>
        </w:rPr>
        <w:t>and</w:t>
      </w:r>
      <w:r w:rsidR="00BF059B">
        <w:rPr>
          <w:color w:val="000000"/>
        </w:rPr>
        <w:t xml:space="preserve"> </w:t>
      </w:r>
      <w:r>
        <w:rPr>
          <w:color w:val="000000"/>
        </w:rPr>
        <w:t>for</w:t>
      </w:r>
      <w:r w:rsidR="00BF059B">
        <w:rPr>
          <w:color w:val="000000"/>
        </w:rPr>
        <w:t xml:space="preserve"> </w:t>
      </w:r>
      <w:r>
        <w:rPr>
          <w:color w:val="000000"/>
        </w:rPr>
        <w:t>its</w:t>
      </w:r>
      <w:r w:rsidR="00BF059B">
        <w:rPr>
          <w:color w:val="000000"/>
        </w:rPr>
        <w:t xml:space="preserve"> </w:t>
      </w:r>
      <w:r>
        <w:rPr>
          <w:color w:val="000000"/>
        </w:rPr>
        <w:t>procedures</w:t>
      </w:r>
      <w:r w:rsidR="00BF059B">
        <w:rPr>
          <w:color w:val="000000"/>
        </w:rPr>
        <w:t xml:space="preserve"> </w:t>
      </w:r>
      <w:r>
        <w:rPr>
          <w:color w:val="000000"/>
        </w:rPr>
        <w:t>in</w:t>
      </w:r>
      <w:r w:rsidR="00BF059B">
        <w:rPr>
          <w:color w:val="000000"/>
        </w:rPr>
        <w:t xml:space="preserve"> </w:t>
      </w:r>
      <w:r>
        <w:rPr>
          <w:color w:val="000000"/>
        </w:rPr>
        <w:t>financial</w:t>
      </w:r>
      <w:r w:rsidR="00BF059B">
        <w:rPr>
          <w:color w:val="000000"/>
        </w:rPr>
        <w:t xml:space="preserve"> </w:t>
      </w:r>
      <w:r>
        <w:rPr>
          <w:color w:val="000000"/>
        </w:rPr>
        <w:t>and</w:t>
      </w:r>
      <w:r w:rsidR="00BF059B">
        <w:rPr>
          <w:color w:val="000000"/>
        </w:rPr>
        <w:t xml:space="preserve"> </w:t>
      </w:r>
      <w:r>
        <w:rPr>
          <w:color w:val="000000"/>
        </w:rPr>
        <w:t>other</w:t>
      </w:r>
      <w:r w:rsidR="00BF059B">
        <w:rPr>
          <w:color w:val="000000"/>
        </w:rPr>
        <w:t xml:space="preserve"> </w:t>
      </w:r>
      <w:r>
        <w:rPr>
          <w:color w:val="000000"/>
        </w:rPr>
        <w:lastRenderedPageBreak/>
        <w:t>matters.</w:t>
      </w:r>
      <w:r w:rsidR="00BF059B">
        <w:rPr>
          <w:color w:val="000000"/>
        </w:rPr>
        <w:t xml:space="preserve"> </w:t>
      </w:r>
      <w:r>
        <w:rPr>
          <w:color w:val="000000"/>
        </w:rPr>
        <w:t>The</w:t>
      </w:r>
      <w:r w:rsidR="00BF059B">
        <w:rPr>
          <w:color w:val="000000"/>
        </w:rPr>
        <w:t xml:space="preserve"> </w:t>
      </w:r>
      <w:r>
        <w:rPr>
          <w:color w:val="000000"/>
        </w:rPr>
        <w:t>Chief</w:t>
      </w:r>
      <w:r w:rsidR="00BF059B">
        <w:rPr>
          <w:color w:val="000000"/>
        </w:rPr>
        <w:t xml:space="preserve"> </w:t>
      </w:r>
      <w:r>
        <w:rPr>
          <w:color w:val="000000"/>
        </w:rPr>
        <w:t>Executive</w:t>
      </w:r>
      <w:r w:rsidR="00BF059B">
        <w:rPr>
          <w:color w:val="000000"/>
        </w:rPr>
        <w:t xml:space="preserve"> </w:t>
      </w:r>
      <w:r>
        <w:rPr>
          <w:color w:val="000000"/>
        </w:rPr>
        <w:t>is</w:t>
      </w:r>
      <w:r w:rsidR="00BF059B">
        <w:rPr>
          <w:color w:val="000000"/>
        </w:rPr>
        <w:t xml:space="preserve"> </w:t>
      </w:r>
      <w:r>
        <w:rPr>
          <w:color w:val="000000"/>
        </w:rPr>
        <w:t>also</w:t>
      </w:r>
      <w:r w:rsidR="00BF059B">
        <w:rPr>
          <w:color w:val="000000"/>
        </w:rPr>
        <w:t xml:space="preserve"> </w:t>
      </w:r>
      <w:r>
        <w:rPr>
          <w:color w:val="000000"/>
        </w:rPr>
        <w:t>designated</w:t>
      </w:r>
      <w:r w:rsidR="00BF059B">
        <w:rPr>
          <w:color w:val="000000"/>
        </w:rPr>
        <w:t xml:space="preserve"> </w:t>
      </w:r>
      <w:r>
        <w:rPr>
          <w:color w:val="000000"/>
        </w:rPr>
        <w:t>“the</w:t>
      </w:r>
      <w:r w:rsidR="00BF059B">
        <w:rPr>
          <w:color w:val="000000"/>
        </w:rPr>
        <w:t xml:space="preserve"> </w:t>
      </w:r>
      <w:r>
        <w:rPr>
          <w:color w:val="000000"/>
        </w:rPr>
        <w:t>Accounting</w:t>
      </w:r>
      <w:r w:rsidR="00BF059B">
        <w:rPr>
          <w:color w:val="000000"/>
        </w:rPr>
        <w:t xml:space="preserve"> </w:t>
      </w:r>
      <w:r>
        <w:rPr>
          <w:color w:val="000000"/>
        </w:rPr>
        <w:t>Officer”</w:t>
      </w:r>
      <w:r w:rsidR="00BF059B">
        <w:rPr>
          <w:color w:val="000000"/>
        </w:rPr>
        <w:t xml:space="preserve"> </w:t>
      </w:r>
      <w:r>
        <w:rPr>
          <w:color w:val="000000"/>
        </w:rPr>
        <w:t>by</w:t>
      </w:r>
      <w:r w:rsidR="00BF059B">
        <w:rPr>
          <w:color w:val="000000"/>
        </w:rPr>
        <w:t xml:space="preserve"> </w:t>
      </w:r>
      <w:r>
        <w:rPr>
          <w:color w:val="000000"/>
        </w:rPr>
        <w:t>DCMS.</w:t>
      </w:r>
      <w:r w:rsidR="00BF059B">
        <w:rPr>
          <w:color w:val="000000"/>
        </w:rPr>
        <w:t xml:space="preserve"> </w:t>
      </w:r>
      <w:r>
        <w:rPr>
          <w:color w:val="000000"/>
        </w:rPr>
        <w:t>The</w:t>
      </w:r>
      <w:r w:rsidR="00BF059B">
        <w:rPr>
          <w:color w:val="000000"/>
        </w:rPr>
        <w:t xml:space="preserve"> </w:t>
      </w:r>
      <w:r>
        <w:rPr>
          <w:color w:val="000000"/>
        </w:rPr>
        <w:t>Accounting</w:t>
      </w:r>
      <w:r w:rsidR="00BF059B">
        <w:rPr>
          <w:color w:val="000000"/>
        </w:rPr>
        <w:t xml:space="preserve"> </w:t>
      </w:r>
      <w:r>
        <w:rPr>
          <w:color w:val="000000"/>
        </w:rPr>
        <w:t>Officer</w:t>
      </w:r>
      <w:r w:rsidR="00BF059B">
        <w:rPr>
          <w:color w:val="000000"/>
        </w:rPr>
        <w:t xml:space="preserve"> </w:t>
      </w:r>
      <w:r>
        <w:rPr>
          <w:color w:val="000000"/>
        </w:rPr>
        <w:t>is</w:t>
      </w:r>
      <w:r w:rsidR="00BF059B">
        <w:rPr>
          <w:color w:val="000000"/>
        </w:rPr>
        <w:t xml:space="preserve"> </w:t>
      </w:r>
      <w:r>
        <w:rPr>
          <w:color w:val="000000"/>
        </w:rPr>
        <w:t>responsible</w:t>
      </w:r>
      <w:r w:rsidR="00BF059B">
        <w:rPr>
          <w:color w:val="000000"/>
        </w:rPr>
        <w:t xml:space="preserve"> </w:t>
      </w:r>
      <w:r>
        <w:rPr>
          <w:color w:val="000000"/>
        </w:rPr>
        <w:t>for</w:t>
      </w:r>
      <w:r w:rsidR="00BF059B">
        <w:rPr>
          <w:color w:val="000000"/>
        </w:rPr>
        <w:t xml:space="preserve"> </w:t>
      </w:r>
      <w:r>
        <w:rPr>
          <w:color w:val="000000"/>
        </w:rPr>
        <w:t>managing</w:t>
      </w:r>
      <w:r w:rsidR="00BF059B">
        <w:rPr>
          <w:color w:val="000000"/>
        </w:rPr>
        <w:t xml:space="preserve"> </w:t>
      </w:r>
      <w:r>
        <w:rPr>
          <w:color w:val="000000"/>
        </w:rPr>
        <w:t>risk</w:t>
      </w:r>
      <w:r w:rsidR="00BF059B">
        <w:rPr>
          <w:color w:val="000000"/>
        </w:rPr>
        <w:t xml:space="preserve"> </w:t>
      </w:r>
      <w:r>
        <w:rPr>
          <w:color w:val="000000"/>
        </w:rPr>
        <w:t>and</w:t>
      </w:r>
      <w:r w:rsidR="00BF059B">
        <w:rPr>
          <w:color w:val="000000"/>
        </w:rPr>
        <w:t xml:space="preserve"> </w:t>
      </w:r>
      <w:r>
        <w:rPr>
          <w:color w:val="000000"/>
        </w:rPr>
        <w:t>ensuring</w:t>
      </w:r>
      <w:r w:rsidR="00BF059B">
        <w:rPr>
          <w:color w:val="000000"/>
        </w:rPr>
        <w:t xml:space="preserve"> </w:t>
      </w:r>
      <w:r>
        <w:rPr>
          <w:color w:val="000000"/>
        </w:rPr>
        <w:t>that</w:t>
      </w:r>
      <w:r w:rsidR="00BF059B">
        <w:rPr>
          <w:color w:val="000000"/>
        </w:rPr>
        <w:t xml:space="preserve"> </w:t>
      </w:r>
      <w:r>
        <w:rPr>
          <w:color w:val="000000"/>
        </w:rPr>
        <w:t>an</w:t>
      </w:r>
      <w:r w:rsidR="00BF059B">
        <w:rPr>
          <w:color w:val="000000"/>
        </w:rPr>
        <w:t xml:space="preserve"> </w:t>
      </w:r>
      <w:r>
        <w:rPr>
          <w:color w:val="000000"/>
        </w:rPr>
        <w:t>effective</w:t>
      </w:r>
      <w:r w:rsidR="00BF059B">
        <w:rPr>
          <w:color w:val="000000"/>
        </w:rPr>
        <w:t xml:space="preserve"> </w:t>
      </w:r>
      <w:r>
        <w:rPr>
          <w:color w:val="000000"/>
        </w:rPr>
        <w:t>system</w:t>
      </w:r>
      <w:r w:rsidR="00BF059B">
        <w:rPr>
          <w:color w:val="000000"/>
        </w:rPr>
        <w:t xml:space="preserve"> </w:t>
      </w:r>
      <w:r>
        <w:rPr>
          <w:color w:val="000000"/>
        </w:rPr>
        <w:t>of</w:t>
      </w:r>
      <w:r w:rsidR="00BF059B">
        <w:rPr>
          <w:color w:val="000000"/>
        </w:rPr>
        <w:t xml:space="preserve"> </w:t>
      </w:r>
      <w:r>
        <w:rPr>
          <w:color w:val="000000"/>
        </w:rPr>
        <w:t>internal</w:t>
      </w:r>
      <w:r w:rsidR="00BF059B">
        <w:rPr>
          <w:color w:val="000000"/>
        </w:rPr>
        <w:t xml:space="preserve"> </w:t>
      </w:r>
      <w:r>
        <w:rPr>
          <w:color w:val="000000"/>
        </w:rPr>
        <w:t>control</w:t>
      </w:r>
      <w:r w:rsidR="00BF059B">
        <w:rPr>
          <w:color w:val="000000"/>
        </w:rPr>
        <w:t xml:space="preserve"> </w:t>
      </w:r>
      <w:r>
        <w:rPr>
          <w:color w:val="000000"/>
        </w:rPr>
        <w:t>is</w:t>
      </w:r>
      <w:r w:rsidR="00BF059B">
        <w:rPr>
          <w:color w:val="000000"/>
        </w:rPr>
        <w:t xml:space="preserve"> </w:t>
      </w:r>
      <w:r>
        <w:rPr>
          <w:color w:val="000000"/>
        </w:rPr>
        <w:t>maintained</w:t>
      </w:r>
      <w:r w:rsidR="00BF059B">
        <w:rPr>
          <w:color w:val="000000"/>
        </w:rPr>
        <w:t xml:space="preserve"> </w:t>
      </w:r>
      <w:r>
        <w:rPr>
          <w:color w:val="000000"/>
        </w:rPr>
        <w:t>and</w:t>
      </w:r>
      <w:r w:rsidR="00BF059B">
        <w:rPr>
          <w:color w:val="000000"/>
        </w:rPr>
        <w:t xml:space="preserve"> </w:t>
      </w:r>
      <w:r>
        <w:rPr>
          <w:color w:val="000000"/>
        </w:rPr>
        <w:t>operated</w:t>
      </w:r>
      <w:r w:rsidR="00BF059B">
        <w:rPr>
          <w:color w:val="000000"/>
        </w:rPr>
        <w:t xml:space="preserve"> </w:t>
      </w:r>
      <w:r>
        <w:rPr>
          <w:color w:val="000000"/>
        </w:rPr>
        <w:t>within</w:t>
      </w:r>
      <w:r w:rsidR="00BF059B">
        <w:rPr>
          <w:color w:val="000000"/>
        </w:rPr>
        <w:t xml:space="preserve"> </w:t>
      </w:r>
      <w:r>
        <w:rPr>
          <w:color w:val="000000"/>
        </w:rPr>
        <w:t>the</w:t>
      </w:r>
      <w:r w:rsidR="00BF059B">
        <w:rPr>
          <w:color w:val="000000"/>
        </w:rPr>
        <w:t xml:space="preserve"> </w:t>
      </w:r>
      <w:r>
        <w:rPr>
          <w:color w:val="000000"/>
        </w:rPr>
        <w:t>Horniman</w:t>
      </w:r>
    </w:p>
    <w:p w14:paraId="0610383C" w14:textId="2D4EA348" w:rsidR="00BE13A8" w:rsidRDefault="00D70530" w:rsidP="00BA76E3">
      <w:pPr>
        <w:numPr>
          <w:ilvl w:val="0"/>
          <w:numId w:val="1"/>
        </w:numPr>
      </w:pPr>
      <w:r>
        <w:t>The</w:t>
      </w:r>
      <w:r w:rsidR="00BF059B">
        <w:t xml:space="preserve"> </w:t>
      </w:r>
      <w:r>
        <w:t>Senior</w:t>
      </w:r>
      <w:r w:rsidR="00BF059B">
        <w:t xml:space="preserve"> </w:t>
      </w:r>
      <w:r>
        <w:t>Management</w:t>
      </w:r>
      <w:r w:rsidR="00BF059B">
        <w:t xml:space="preserve"> </w:t>
      </w:r>
      <w:r>
        <w:t>Team</w:t>
      </w:r>
      <w:r w:rsidR="00BF059B">
        <w:t xml:space="preserve"> </w:t>
      </w:r>
      <w:r>
        <w:t>supports</w:t>
      </w:r>
      <w:r w:rsidR="00BF059B">
        <w:t xml:space="preserve"> </w:t>
      </w:r>
      <w:r>
        <w:t>the</w:t>
      </w:r>
      <w:r w:rsidR="00BF059B">
        <w:t xml:space="preserve"> </w:t>
      </w:r>
      <w:r>
        <w:t>Chief</w:t>
      </w:r>
      <w:r w:rsidR="00BF059B">
        <w:t xml:space="preserve"> </w:t>
      </w:r>
      <w:r>
        <w:t>Executive</w:t>
      </w:r>
      <w:r w:rsidR="00BF059B">
        <w:t xml:space="preserve"> </w:t>
      </w:r>
      <w:r>
        <w:t>and</w:t>
      </w:r>
      <w:r w:rsidR="00BF059B">
        <w:t xml:space="preserve"> </w:t>
      </w:r>
      <w:r>
        <w:t>is</w:t>
      </w:r>
      <w:r w:rsidR="00BF059B">
        <w:t xml:space="preserve"> </w:t>
      </w:r>
      <w:r>
        <w:t>also</w:t>
      </w:r>
      <w:r w:rsidR="00BF059B">
        <w:t xml:space="preserve"> </w:t>
      </w:r>
      <w:r>
        <w:t>responsible</w:t>
      </w:r>
      <w:r w:rsidR="00BF059B">
        <w:t xml:space="preserve"> </w:t>
      </w:r>
      <w:r>
        <w:t>for</w:t>
      </w:r>
      <w:r w:rsidR="00BF059B">
        <w:t xml:space="preserve"> </w:t>
      </w:r>
      <w:r>
        <w:t>the</w:t>
      </w:r>
      <w:r w:rsidR="00BF059B">
        <w:t xml:space="preserve"> </w:t>
      </w:r>
      <w:r>
        <w:t>management</w:t>
      </w:r>
      <w:r w:rsidR="00BF059B">
        <w:t xml:space="preserve"> </w:t>
      </w:r>
      <w:r>
        <w:t>of</w:t>
      </w:r>
      <w:r w:rsidR="00BF059B">
        <w:t xml:space="preserve"> </w:t>
      </w:r>
      <w:r>
        <w:t>respective</w:t>
      </w:r>
      <w:r w:rsidR="00BF059B">
        <w:t xml:space="preserve"> </w:t>
      </w:r>
      <w:r>
        <w:t>areas</w:t>
      </w:r>
      <w:r w:rsidR="00BF059B">
        <w:t xml:space="preserve"> </w:t>
      </w:r>
      <w:r>
        <w:t>of</w:t>
      </w:r>
      <w:r w:rsidR="00BF059B">
        <w:t xml:space="preserve"> </w:t>
      </w:r>
      <w:r>
        <w:t>responsibility</w:t>
      </w:r>
      <w:r w:rsidR="00BF059B">
        <w:t xml:space="preserve"> </w:t>
      </w:r>
      <w:r>
        <w:t>within</w:t>
      </w:r>
      <w:r w:rsidR="00BF059B">
        <w:t xml:space="preserve"> </w:t>
      </w:r>
      <w:r>
        <w:t>the</w:t>
      </w:r>
      <w:r w:rsidR="00BF059B">
        <w:t xml:space="preserve"> </w:t>
      </w:r>
      <w:r>
        <w:t>Trust</w:t>
      </w:r>
      <w:r w:rsidR="00BF059B">
        <w:t xml:space="preserve"> </w:t>
      </w:r>
      <w:r>
        <w:t>and</w:t>
      </w:r>
      <w:r w:rsidR="00BF059B">
        <w:t xml:space="preserve"> </w:t>
      </w:r>
      <w:r>
        <w:t>thus</w:t>
      </w:r>
      <w:r w:rsidR="00BF059B">
        <w:t xml:space="preserve"> </w:t>
      </w:r>
      <w:r>
        <w:t>for</w:t>
      </w:r>
      <w:r w:rsidR="00BF059B">
        <w:t xml:space="preserve"> </w:t>
      </w:r>
      <w:r>
        <w:t>the</w:t>
      </w:r>
      <w:r w:rsidR="00BF059B">
        <w:t xml:space="preserve"> </w:t>
      </w:r>
      <w:r>
        <w:t>delivery</w:t>
      </w:r>
      <w:r w:rsidR="00BF059B">
        <w:t xml:space="preserve"> </w:t>
      </w:r>
      <w:r>
        <w:t>of</w:t>
      </w:r>
      <w:r w:rsidR="00BF059B">
        <w:t xml:space="preserve"> </w:t>
      </w:r>
      <w:r>
        <w:t>programmes</w:t>
      </w:r>
      <w:r w:rsidR="00BF059B">
        <w:t xml:space="preserve"> </w:t>
      </w:r>
      <w:r>
        <w:t>and</w:t>
      </w:r>
      <w:r w:rsidR="00BF059B">
        <w:t xml:space="preserve"> </w:t>
      </w:r>
      <w:r>
        <w:t>policies</w:t>
      </w:r>
      <w:r w:rsidR="00BF059B">
        <w:t xml:space="preserve"> </w:t>
      </w:r>
      <w:r>
        <w:t>in</w:t>
      </w:r>
      <w:r w:rsidR="00BF059B">
        <w:t xml:space="preserve"> </w:t>
      </w:r>
      <w:r>
        <w:t>those</w:t>
      </w:r>
      <w:r w:rsidR="00BF059B">
        <w:t xml:space="preserve"> </w:t>
      </w:r>
      <w:r>
        <w:t>areas.</w:t>
      </w:r>
    </w:p>
    <w:p w14:paraId="374A03CE" w14:textId="77777777" w:rsidR="00BE13A8" w:rsidRDefault="00BE13A8" w:rsidP="00BA76E3">
      <w:pPr>
        <w:ind w:left="340"/>
      </w:pPr>
    </w:p>
    <w:p w14:paraId="2D80BD8B" w14:textId="09385ACB" w:rsidR="00BE13A8" w:rsidRDefault="00D70530" w:rsidP="00BA76E3">
      <w:pPr>
        <w:numPr>
          <w:ilvl w:val="0"/>
          <w:numId w:val="1"/>
        </w:numPr>
      </w:pPr>
      <w:r>
        <w:t>The</w:t>
      </w:r>
      <w:r w:rsidR="00BF059B">
        <w:t xml:space="preserve"> </w:t>
      </w:r>
      <w:r>
        <w:t>line</w:t>
      </w:r>
      <w:r w:rsidR="00BF059B">
        <w:t xml:space="preserve"> </w:t>
      </w:r>
      <w:r>
        <w:t>management</w:t>
      </w:r>
      <w:r w:rsidR="00BF059B">
        <w:t xml:space="preserve"> </w:t>
      </w:r>
      <w:r>
        <w:t>structure</w:t>
      </w:r>
      <w:r w:rsidR="00BF059B">
        <w:t xml:space="preserve"> </w:t>
      </w:r>
      <w:r>
        <w:t>flows</w:t>
      </w:r>
      <w:r w:rsidR="00BF059B">
        <w:t xml:space="preserve"> </w:t>
      </w:r>
      <w:r>
        <w:t>through</w:t>
      </w:r>
      <w:r w:rsidR="00BF059B">
        <w:t xml:space="preserve"> </w:t>
      </w:r>
      <w:r>
        <w:t>to</w:t>
      </w:r>
      <w:r w:rsidR="00BF059B">
        <w:t xml:space="preserve"> </w:t>
      </w:r>
      <w:r>
        <w:t>the</w:t>
      </w:r>
      <w:r w:rsidR="00BF059B">
        <w:t xml:space="preserve"> </w:t>
      </w:r>
      <w:r>
        <w:t>Heads</w:t>
      </w:r>
      <w:r w:rsidR="00BF059B">
        <w:t xml:space="preserve"> </w:t>
      </w:r>
      <w:r>
        <w:t>of</w:t>
      </w:r>
      <w:r w:rsidR="00BF059B">
        <w:t xml:space="preserve"> </w:t>
      </w:r>
      <w:r>
        <w:t>Department,</w:t>
      </w:r>
      <w:r w:rsidR="00BF059B">
        <w:t xml:space="preserve"> </w:t>
      </w:r>
      <w:r>
        <w:t>who</w:t>
      </w:r>
      <w:r w:rsidR="00BF059B">
        <w:t xml:space="preserve"> </w:t>
      </w:r>
      <w:r>
        <w:t>are</w:t>
      </w:r>
      <w:r w:rsidR="00BF059B">
        <w:t xml:space="preserve"> </w:t>
      </w:r>
      <w:r>
        <w:t>responsible</w:t>
      </w:r>
      <w:r w:rsidR="00BF059B">
        <w:t xml:space="preserve"> </w:t>
      </w:r>
      <w:r>
        <w:t>for</w:t>
      </w:r>
      <w:r w:rsidR="00BF059B">
        <w:t xml:space="preserve"> </w:t>
      </w:r>
      <w:r>
        <w:t>budgets</w:t>
      </w:r>
      <w:r w:rsidR="00BF059B">
        <w:t xml:space="preserve"> </w:t>
      </w:r>
      <w:r>
        <w:t>and</w:t>
      </w:r>
      <w:r w:rsidR="00BF059B">
        <w:t xml:space="preserve"> </w:t>
      </w:r>
      <w:r>
        <w:t>staff</w:t>
      </w:r>
      <w:r w:rsidR="00BF059B">
        <w:t xml:space="preserve"> </w:t>
      </w:r>
      <w:r>
        <w:t>in</w:t>
      </w:r>
      <w:r w:rsidR="00BF059B">
        <w:t xml:space="preserve"> </w:t>
      </w:r>
      <w:r>
        <w:t>their</w:t>
      </w:r>
      <w:r w:rsidR="00BF059B">
        <w:t xml:space="preserve"> </w:t>
      </w:r>
      <w:r>
        <w:t>areas</w:t>
      </w:r>
      <w:r w:rsidR="00BF059B">
        <w:t xml:space="preserve"> </w:t>
      </w:r>
      <w:r>
        <w:t>of</w:t>
      </w:r>
      <w:r w:rsidR="00BF059B">
        <w:t xml:space="preserve"> </w:t>
      </w:r>
      <w:r>
        <w:t>work</w:t>
      </w:r>
      <w:r w:rsidR="00BF059B">
        <w:t xml:space="preserve"> </w:t>
      </w:r>
      <w:r>
        <w:t>as</w:t>
      </w:r>
      <w:r w:rsidR="00BF059B">
        <w:t xml:space="preserve"> </w:t>
      </w:r>
      <w:r>
        <w:t>well</w:t>
      </w:r>
      <w:r w:rsidR="00BF059B">
        <w:t xml:space="preserve"> </w:t>
      </w:r>
      <w:r>
        <w:t>as</w:t>
      </w:r>
      <w:r w:rsidR="00BF059B">
        <w:t xml:space="preserve"> </w:t>
      </w:r>
      <w:r>
        <w:t>for</w:t>
      </w:r>
      <w:r w:rsidR="00BF059B">
        <w:t xml:space="preserve"> </w:t>
      </w:r>
      <w:r>
        <w:t>delivering</w:t>
      </w:r>
      <w:r w:rsidR="00BF059B">
        <w:t xml:space="preserve"> </w:t>
      </w:r>
      <w:r>
        <w:t>their</w:t>
      </w:r>
      <w:r w:rsidR="00BF059B">
        <w:t xml:space="preserve"> </w:t>
      </w:r>
      <w:r>
        <w:t>agreed</w:t>
      </w:r>
      <w:r w:rsidR="00BF059B">
        <w:t xml:space="preserve"> </w:t>
      </w:r>
      <w:r>
        <w:t>outputs.</w:t>
      </w:r>
    </w:p>
    <w:p w14:paraId="3EF450D1" w14:textId="77777777" w:rsidR="00BE13A8" w:rsidRDefault="00BE13A8" w:rsidP="00BA76E3">
      <w:pPr>
        <w:pBdr>
          <w:top w:val="nil"/>
          <w:left w:val="nil"/>
          <w:bottom w:val="nil"/>
          <w:right w:val="nil"/>
          <w:between w:val="nil"/>
        </w:pBdr>
        <w:ind w:left="720"/>
        <w:rPr>
          <w:color w:val="000000"/>
        </w:rPr>
      </w:pPr>
    </w:p>
    <w:p w14:paraId="3DCD3B2A" w14:textId="7FE6613F" w:rsidR="00BE13A8" w:rsidRDefault="00D70530" w:rsidP="00BA76E3">
      <w:pPr>
        <w:numPr>
          <w:ilvl w:val="0"/>
          <w:numId w:val="1"/>
        </w:numPr>
      </w:pPr>
      <w:r>
        <w:t>The</w:t>
      </w:r>
      <w:r w:rsidR="00BF059B">
        <w:t xml:space="preserve"> </w:t>
      </w:r>
      <w:r>
        <w:t>Board</w:t>
      </w:r>
      <w:r w:rsidR="00BF059B">
        <w:t xml:space="preserve"> </w:t>
      </w:r>
      <w:r>
        <w:t>adheres</w:t>
      </w:r>
      <w:r w:rsidR="00BF059B">
        <w:t xml:space="preserve"> </w:t>
      </w:r>
      <w:r>
        <w:t>to</w:t>
      </w:r>
      <w:r w:rsidR="00BF059B">
        <w:t xml:space="preserve"> </w:t>
      </w:r>
      <w:r>
        <w:t>risk</w:t>
      </w:r>
      <w:r w:rsidR="00BF059B">
        <w:t xml:space="preserve"> </w:t>
      </w:r>
      <w:r>
        <w:t>management</w:t>
      </w:r>
      <w:r w:rsidR="00BF059B">
        <w:t xml:space="preserve"> </w:t>
      </w:r>
      <w:r>
        <w:t>principles</w:t>
      </w:r>
      <w:r w:rsidR="00BF059B">
        <w:t xml:space="preserve"> </w:t>
      </w:r>
      <w:r>
        <w:t>and</w:t>
      </w:r>
      <w:r w:rsidR="00BF059B">
        <w:t xml:space="preserve"> </w:t>
      </w:r>
      <w:r>
        <w:t>practices,</w:t>
      </w:r>
      <w:r w:rsidR="00BF059B">
        <w:t xml:space="preserve"> </w:t>
      </w:r>
      <w:r>
        <w:t>including</w:t>
      </w:r>
      <w:r w:rsidR="00BF059B">
        <w:t xml:space="preserve"> </w:t>
      </w:r>
      <w:r>
        <w:t>the</w:t>
      </w:r>
      <w:r w:rsidR="00BF059B">
        <w:t xml:space="preserve"> </w:t>
      </w:r>
      <w:r>
        <w:t>five</w:t>
      </w:r>
      <w:r w:rsidR="00BF059B">
        <w:t xml:space="preserve"> </w:t>
      </w:r>
      <w:r>
        <w:t>principles</w:t>
      </w:r>
      <w:r w:rsidR="00BF059B">
        <w:t xml:space="preserve"> </w:t>
      </w:r>
      <w:r>
        <w:t>defined</w:t>
      </w:r>
      <w:r w:rsidR="00BF059B">
        <w:t xml:space="preserve"> </w:t>
      </w:r>
      <w:r>
        <w:t>in</w:t>
      </w:r>
      <w:r w:rsidR="00BF059B">
        <w:t xml:space="preserve"> </w:t>
      </w:r>
      <w:r>
        <w:t>the</w:t>
      </w:r>
      <w:r w:rsidR="00BF059B">
        <w:t xml:space="preserve"> </w:t>
      </w:r>
      <w:r>
        <w:t>Orange</w:t>
      </w:r>
      <w:r w:rsidR="00BF059B">
        <w:t xml:space="preserve"> </w:t>
      </w:r>
      <w:r>
        <w:t>Book:</w:t>
      </w:r>
    </w:p>
    <w:p w14:paraId="0563A0EA" w14:textId="2AA5E7D6" w:rsidR="00BE13A8" w:rsidRDefault="00D70530" w:rsidP="00BA76E3">
      <w:pPr>
        <w:numPr>
          <w:ilvl w:val="1"/>
          <w:numId w:val="36"/>
        </w:numPr>
        <w:ind w:left="709"/>
      </w:pPr>
      <w:r>
        <w:t>The</w:t>
      </w:r>
      <w:r w:rsidR="00BF059B">
        <w:t xml:space="preserve"> </w:t>
      </w:r>
      <w:r>
        <w:t>Senior</w:t>
      </w:r>
      <w:r w:rsidR="00BF059B">
        <w:t xml:space="preserve"> </w:t>
      </w:r>
      <w:r>
        <w:t>Management</w:t>
      </w:r>
      <w:r w:rsidR="00BF059B">
        <w:t xml:space="preserve"> </w:t>
      </w:r>
      <w:r>
        <w:t>Team</w:t>
      </w:r>
      <w:r w:rsidR="00BF059B">
        <w:rPr>
          <w:i/>
        </w:rPr>
        <w:t xml:space="preserve"> </w:t>
      </w:r>
      <w:r>
        <w:t>maintains</w:t>
      </w:r>
      <w:r w:rsidR="00BF059B">
        <w:t xml:space="preserve"> </w:t>
      </w:r>
      <w:r>
        <w:t>a</w:t>
      </w:r>
      <w:r w:rsidR="00BF059B">
        <w:t xml:space="preserve"> </w:t>
      </w:r>
      <w:r>
        <w:t>key</w:t>
      </w:r>
      <w:r w:rsidR="00BF059B">
        <w:t xml:space="preserve"> </w:t>
      </w:r>
      <w:r>
        <w:t>risk</w:t>
      </w:r>
      <w:r w:rsidR="00BF059B">
        <w:t xml:space="preserve"> </w:t>
      </w:r>
      <w:r>
        <w:t>register</w:t>
      </w:r>
      <w:r w:rsidR="00BF059B">
        <w:t xml:space="preserve"> </w:t>
      </w:r>
      <w:r>
        <w:t>which</w:t>
      </w:r>
      <w:r w:rsidR="00BF059B">
        <w:t xml:space="preserve"> </w:t>
      </w:r>
      <w:r>
        <w:t>is</w:t>
      </w:r>
      <w:r w:rsidR="00BF059B">
        <w:t xml:space="preserve"> </w:t>
      </w:r>
      <w:r>
        <w:t>reviewed</w:t>
      </w:r>
      <w:r w:rsidR="00BF059B">
        <w:t xml:space="preserve"> </w:t>
      </w:r>
      <w:r>
        <w:t>and</w:t>
      </w:r>
      <w:r w:rsidR="00BF059B">
        <w:t xml:space="preserve"> </w:t>
      </w:r>
      <w:r>
        <w:t>updated</w:t>
      </w:r>
      <w:r w:rsidR="00BF059B">
        <w:t xml:space="preserve"> </w:t>
      </w:r>
      <w:r>
        <w:t>at</w:t>
      </w:r>
      <w:r w:rsidR="00BF059B">
        <w:t xml:space="preserve"> </w:t>
      </w:r>
      <w:r>
        <w:t>least</w:t>
      </w:r>
      <w:r w:rsidR="00BF059B">
        <w:t xml:space="preserve"> </w:t>
      </w:r>
      <w:r>
        <w:t>quarterly,</w:t>
      </w:r>
      <w:r w:rsidR="00BF059B">
        <w:t xml:space="preserve"> </w:t>
      </w:r>
      <w:r>
        <w:t>with</w:t>
      </w:r>
      <w:r w:rsidR="00BF059B">
        <w:t xml:space="preserve"> </w:t>
      </w:r>
      <w:r>
        <w:t>key</w:t>
      </w:r>
      <w:r w:rsidR="00BF059B">
        <w:t xml:space="preserve"> </w:t>
      </w:r>
      <w:r>
        <w:t>changes</w:t>
      </w:r>
      <w:r w:rsidR="00BF059B">
        <w:t xml:space="preserve"> </w:t>
      </w:r>
      <w:r>
        <w:t>reported</w:t>
      </w:r>
      <w:r w:rsidR="00BF059B">
        <w:t xml:space="preserve"> </w:t>
      </w:r>
      <w:r>
        <w:t>to</w:t>
      </w:r>
      <w:r w:rsidR="00BF059B">
        <w:t xml:space="preserve"> </w:t>
      </w:r>
      <w:r>
        <w:t>the</w:t>
      </w:r>
      <w:r w:rsidR="00BF059B">
        <w:t xml:space="preserve"> </w:t>
      </w:r>
      <w:r>
        <w:t>Board.</w:t>
      </w:r>
      <w:r w:rsidR="00BF059B">
        <w:t xml:space="preserve"> </w:t>
      </w:r>
      <w:r>
        <w:t>The</w:t>
      </w:r>
      <w:r w:rsidR="00BF059B">
        <w:t xml:space="preserve"> </w:t>
      </w:r>
      <w:r>
        <w:t>Senior</w:t>
      </w:r>
      <w:r w:rsidR="00BF059B">
        <w:t xml:space="preserve"> </w:t>
      </w:r>
      <w:r>
        <w:t>Management</w:t>
      </w:r>
      <w:r w:rsidR="00BF059B">
        <w:t xml:space="preserve"> </w:t>
      </w:r>
      <w:r>
        <w:t>Team</w:t>
      </w:r>
      <w:r w:rsidR="00BF059B">
        <w:t xml:space="preserve"> </w:t>
      </w:r>
      <w:r>
        <w:t>normally</w:t>
      </w:r>
      <w:r w:rsidR="00BF059B">
        <w:t xml:space="preserve"> </w:t>
      </w:r>
      <w:r>
        <w:t>meets</w:t>
      </w:r>
      <w:r w:rsidR="00BF059B">
        <w:t xml:space="preserve"> </w:t>
      </w:r>
      <w:r>
        <w:t>weekly</w:t>
      </w:r>
      <w:r w:rsidR="00BF059B">
        <w:t xml:space="preserve"> </w:t>
      </w:r>
      <w:r>
        <w:t>and</w:t>
      </w:r>
      <w:r w:rsidR="00BF059B">
        <w:t xml:space="preserve"> </w:t>
      </w:r>
      <w:r>
        <w:t>will</w:t>
      </w:r>
      <w:r w:rsidR="00BF059B">
        <w:t xml:space="preserve"> </w:t>
      </w:r>
      <w:r>
        <w:t>discuss</w:t>
      </w:r>
      <w:r w:rsidR="00BF059B">
        <w:t xml:space="preserve"> </w:t>
      </w:r>
      <w:r>
        <w:t>any</w:t>
      </w:r>
      <w:r w:rsidR="00BF059B">
        <w:t xml:space="preserve"> </w:t>
      </w:r>
      <w:r>
        <w:t>changes</w:t>
      </w:r>
      <w:r w:rsidR="00BF059B">
        <w:t xml:space="preserve"> </w:t>
      </w:r>
      <w:r>
        <w:t>to</w:t>
      </w:r>
      <w:r w:rsidR="00BF059B">
        <w:t xml:space="preserve"> </w:t>
      </w:r>
      <w:r>
        <w:t>the</w:t>
      </w:r>
      <w:r w:rsidR="00BF059B">
        <w:t xml:space="preserve"> </w:t>
      </w:r>
      <w:r>
        <w:t>risk</w:t>
      </w:r>
      <w:r w:rsidR="00BF059B">
        <w:t xml:space="preserve"> </w:t>
      </w:r>
      <w:r>
        <w:t>profile,</w:t>
      </w:r>
      <w:r w:rsidR="00BF059B">
        <w:t xml:space="preserve"> </w:t>
      </w:r>
      <w:r>
        <w:t>making</w:t>
      </w:r>
      <w:r w:rsidR="00BF059B">
        <w:t xml:space="preserve"> </w:t>
      </w:r>
      <w:r>
        <w:t>changes</w:t>
      </w:r>
      <w:r w:rsidR="00BF059B">
        <w:t xml:space="preserve"> </w:t>
      </w:r>
      <w:r>
        <w:t>to</w:t>
      </w:r>
      <w:r w:rsidR="00BF059B">
        <w:t xml:space="preserve"> </w:t>
      </w:r>
      <w:r>
        <w:t>the</w:t>
      </w:r>
      <w:r w:rsidR="00BF059B">
        <w:t xml:space="preserve"> </w:t>
      </w:r>
      <w:r>
        <w:t>register</w:t>
      </w:r>
      <w:r w:rsidR="00BF059B">
        <w:t xml:space="preserve"> </w:t>
      </w:r>
      <w:r>
        <w:t>when</w:t>
      </w:r>
      <w:r w:rsidR="00BF059B">
        <w:t xml:space="preserve"> </w:t>
      </w:r>
      <w:r>
        <w:t>deemed</w:t>
      </w:r>
      <w:r w:rsidR="00BF059B">
        <w:t xml:space="preserve"> </w:t>
      </w:r>
      <w:r>
        <w:t>appropriate.</w:t>
      </w:r>
    </w:p>
    <w:p w14:paraId="5A20DEA3" w14:textId="56F8B4CD" w:rsidR="00BE13A8" w:rsidRDefault="00D70530" w:rsidP="00BA76E3">
      <w:pPr>
        <w:numPr>
          <w:ilvl w:val="1"/>
          <w:numId w:val="36"/>
        </w:numPr>
        <w:ind w:left="709"/>
      </w:pPr>
      <w:r>
        <w:t>A</w:t>
      </w:r>
      <w:r w:rsidR="00BF059B">
        <w:t xml:space="preserve"> </w:t>
      </w:r>
      <w:r>
        <w:t>business</w:t>
      </w:r>
      <w:r w:rsidR="00BF059B">
        <w:t xml:space="preserve"> </w:t>
      </w:r>
      <w:r>
        <w:t>risk</w:t>
      </w:r>
      <w:r w:rsidR="00BF059B">
        <w:t xml:space="preserve"> </w:t>
      </w:r>
      <w:r>
        <w:t>management</w:t>
      </w:r>
      <w:r w:rsidR="00BF059B">
        <w:t xml:space="preserve"> </w:t>
      </w:r>
      <w:r>
        <w:t>framework</w:t>
      </w:r>
      <w:r w:rsidR="00BF059B">
        <w:t xml:space="preserve"> </w:t>
      </w:r>
      <w:r>
        <w:t>through</w:t>
      </w:r>
      <w:r w:rsidR="00BF059B">
        <w:t xml:space="preserve"> </w:t>
      </w:r>
      <w:r>
        <w:t>which</w:t>
      </w:r>
      <w:r w:rsidR="00BF059B">
        <w:t xml:space="preserve"> </w:t>
      </w:r>
      <w:r>
        <w:t>Heads</w:t>
      </w:r>
      <w:r w:rsidR="00BF059B">
        <w:t xml:space="preserve"> </w:t>
      </w:r>
      <w:r>
        <w:t>of</w:t>
      </w:r>
      <w:r w:rsidR="00BF059B">
        <w:t xml:space="preserve"> </w:t>
      </w:r>
      <w:r>
        <w:t>Department</w:t>
      </w:r>
      <w:r w:rsidR="00BF059B">
        <w:t xml:space="preserve"> </w:t>
      </w:r>
      <w:r>
        <w:t>and</w:t>
      </w:r>
      <w:r w:rsidR="00BF059B">
        <w:t xml:space="preserve"> </w:t>
      </w:r>
      <w:r>
        <w:t>project</w:t>
      </w:r>
      <w:r w:rsidR="00BF059B">
        <w:t xml:space="preserve"> </w:t>
      </w:r>
      <w:r>
        <w:t>managers</w:t>
      </w:r>
      <w:r w:rsidR="00BF059B">
        <w:t xml:space="preserve"> </w:t>
      </w:r>
      <w:r>
        <w:t>are</w:t>
      </w:r>
      <w:r w:rsidR="00BF059B">
        <w:t xml:space="preserve"> </w:t>
      </w:r>
      <w:r>
        <w:t>also</w:t>
      </w:r>
      <w:r w:rsidR="00BF059B">
        <w:t xml:space="preserve"> </w:t>
      </w:r>
      <w:r>
        <w:t>responsible</w:t>
      </w:r>
      <w:r w:rsidR="00BF059B">
        <w:t xml:space="preserve"> </w:t>
      </w:r>
      <w:r>
        <w:t>for</w:t>
      </w:r>
      <w:r w:rsidR="00BF059B">
        <w:t xml:space="preserve"> </w:t>
      </w:r>
      <w:r>
        <w:t>managing</w:t>
      </w:r>
      <w:r w:rsidR="00BF059B">
        <w:t xml:space="preserve"> </w:t>
      </w:r>
      <w:r>
        <w:t>risks</w:t>
      </w:r>
      <w:r w:rsidR="00BF059B">
        <w:t xml:space="preserve"> </w:t>
      </w:r>
      <w:r>
        <w:t>and</w:t>
      </w:r>
      <w:r w:rsidR="00BF059B">
        <w:t xml:space="preserve"> </w:t>
      </w:r>
      <w:r>
        <w:t>maintaining</w:t>
      </w:r>
      <w:r w:rsidR="00BF059B">
        <w:t xml:space="preserve"> </w:t>
      </w:r>
      <w:r>
        <w:t>key</w:t>
      </w:r>
      <w:r w:rsidR="00BF059B">
        <w:t xml:space="preserve"> </w:t>
      </w:r>
      <w:r>
        <w:t>risk</w:t>
      </w:r>
      <w:r w:rsidR="00BF059B">
        <w:t xml:space="preserve"> </w:t>
      </w:r>
      <w:r>
        <w:t>lists</w:t>
      </w:r>
      <w:r w:rsidR="00BF059B">
        <w:t xml:space="preserve"> </w:t>
      </w:r>
      <w:r>
        <w:t>for</w:t>
      </w:r>
      <w:r w:rsidR="00BF059B">
        <w:t xml:space="preserve"> </w:t>
      </w:r>
      <w:r>
        <w:t>their</w:t>
      </w:r>
      <w:r w:rsidR="00BF059B">
        <w:t xml:space="preserve"> </w:t>
      </w:r>
      <w:r>
        <w:t>areas</w:t>
      </w:r>
      <w:r w:rsidR="00BF059B">
        <w:t xml:space="preserve"> </w:t>
      </w:r>
      <w:r>
        <w:t>of</w:t>
      </w:r>
      <w:r w:rsidR="00BF059B">
        <w:t xml:space="preserve"> </w:t>
      </w:r>
      <w:r>
        <w:t>responsibility,</w:t>
      </w:r>
      <w:r w:rsidR="00BF059B">
        <w:t xml:space="preserve"> </w:t>
      </w:r>
      <w:r>
        <w:t>which</w:t>
      </w:r>
      <w:r w:rsidR="00BF059B">
        <w:t xml:space="preserve"> </w:t>
      </w:r>
      <w:r>
        <w:t>are</w:t>
      </w:r>
      <w:r w:rsidR="00BF059B">
        <w:t xml:space="preserve"> </w:t>
      </w:r>
      <w:r>
        <w:t>updated</w:t>
      </w:r>
      <w:r w:rsidR="00BF059B">
        <w:t xml:space="preserve"> </w:t>
      </w:r>
      <w:r>
        <w:t>at</w:t>
      </w:r>
      <w:r w:rsidR="00BF059B">
        <w:t xml:space="preserve"> </w:t>
      </w:r>
      <w:r>
        <w:t>least</w:t>
      </w:r>
      <w:r w:rsidR="00BF059B">
        <w:t xml:space="preserve"> </w:t>
      </w:r>
      <w:r>
        <w:t>quarterly,</w:t>
      </w:r>
      <w:r w:rsidR="00BF059B">
        <w:t xml:space="preserve"> </w:t>
      </w:r>
      <w:r>
        <w:t>reviewed</w:t>
      </w:r>
      <w:r w:rsidR="00BF059B">
        <w:t xml:space="preserve"> </w:t>
      </w:r>
      <w:r>
        <w:t>by</w:t>
      </w:r>
      <w:r w:rsidR="00BF059B">
        <w:t xml:space="preserve"> </w:t>
      </w:r>
      <w:r>
        <w:t>the</w:t>
      </w:r>
      <w:r w:rsidR="00BF059B">
        <w:t xml:space="preserve"> </w:t>
      </w:r>
      <w:r>
        <w:t>Senior</w:t>
      </w:r>
      <w:r w:rsidR="00BF059B">
        <w:t xml:space="preserve"> </w:t>
      </w:r>
      <w:r>
        <w:t>Management</w:t>
      </w:r>
      <w:r w:rsidR="00BF059B">
        <w:t xml:space="preserve"> </w:t>
      </w:r>
      <w:r>
        <w:t>Team.</w:t>
      </w:r>
      <w:r w:rsidR="00BF059B">
        <w:t xml:space="preserve"> </w:t>
      </w:r>
    </w:p>
    <w:p w14:paraId="3A0A04CF" w14:textId="7C7EE053" w:rsidR="00BE13A8" w:rsidRDefault="00D70530" w:rsidP="00BA76E3">
      <w:pPr>
        <w:numPr>
          <w:ilvl w:val="1"/>
          <w:numId w:val="36"/>
        </w:numPr>
        <w:ind w:left="709"/>
      </w:pPr>
      <w:r>
        <w:t>Periodic</w:t>
      </w:r>
      <w:r w:rsidR="00BF059B">
        <w:t xml:space="preserve"> </w:t>
      </w:r>
      <w:r>
        <w:t>risk</w:t>
      </w:r>
      <w:r w:rsidR="00BF059B">
        <w:t xml:space="preserve"> </w:t>
      </w:r>
      <w:r>
        <w:t>awareness</w:t>
      </w:r>
      <w:r w:rsidR="00BF059B">
        <w:t xml:space="preserve"> </w:t>
      </w:r>
      <w:r>
        <w:t>training</w:t>
      </w:r>
      <w:r w:rsidR="00BF059B">
        <w:t xml:space="preserve"> </w:t>
      </w:r>
      <w:r>
        <w:t>is</w:t>
      </w:r>
      <w:r w:rsidR="00BF059B">
        <w:t xml:space="preserve"> </w:t>
      </w:r>
      <w:r>
        <w:t>given</w:t>
      </w:r>
      <w:r w:rsidR="00BF059B">
        <w:t xml:space="preserve"> </w:t>
      </w:r>
      <w:r>
        <w:t>to</w:t>
      </w:r>
      <w:r w:rsidR="00BF059B">
        <w:t xml:space="preserve"> </w:t>
      </w:r>
      <w:r>
        <w:t>senior</w:t>
      </w:r>
      <w:r w:rsidR="00BF059B">
        <w:t xml:space="preserve"> </w:t>
      </w:r>
      <w:r>
        <w:t>managers</w:t>
      </w:r>
      <w:r w:rsidR="00BF059B">
        <w:t xml:space="preserve"> </w:t>
      </w:r>
      <w:r>
        <w:t>and</w:t>
      </w:r>
      <w:r w:rsidR="00BF059B">
        <w:t xml:space="preserve"> </w:t>
      </w:r>
      <w:r>
        <w:t>departmental</w:t>
      </w:r>
      <w:r w:rsidR="00BF059B">
        <w:t xml:space="preserve"> </w:t>
      </w:r>
      <w:r>
        <w:t>managers</w:t>
      </w:r>
    </w:p>
    <w:p w14:paraId="2D673AC3" w14:textId="3158F4AA" w:rsidR="00BE13A8" w:rsidRDefault="00D70530" w:rsidP="00BA76E3">
      <w:pPr>
        <w:numPr>
          <w:ilvl w:val="1"/>
          <w:numId w:val="36"/>
        </w:numPr>
        <w:pBdr>
          <w:top w:val="nil"/>
          <w:left w:val="nil"/>
          <w:bottom w:val="nil"/>
          <w:right w:val="nil"/>
          <w:between w:val="nil"/>
        </w:pBdr>
        <w:ind w:left="709"/>
        <w:rPr>
          <w:rFonts w:ascii="Aptos" w:eastAsia="Aptos" w:hAnsi="Aptos" w:cs="Aptos"/>
          <w:color w:val="000000"/>
        </w:rPr>
      </w:pPr>
      <w:r>
        <w:rPr>
          <w:color w:val="000000"/>
        </w:rPr>
        <w:t>Risk</w:t>
      </w:r>
      <w:r w:rsidR="00BF059B">
        <w:rPr>
          <w:color w:val="000000"/>
        </w:rPr>
        <w:t xml:space="preserve"> </w:t>
      </w:r>
      <w:r>
        <w:rPr>
          <w:color w:val="000000"/>
        </w:rPr>
        <w:t>is</w:t>
      </w:r>
      <w:r w:rsidR="00BF059B">
        <w:rPr>
          <w:color w:val="000000"/>
        </w:rPr>
        <w:t xml:space="preserve"> </w:t>
      </w:r>
      <w:r>
        <w:rPr>
          <w:color w:val="000000"/>
        </w:rPr>
        <w:t>also</w:t>
      </w:r>
      <w:r w:rsidR="00BF059B">
        <w:rPr>
          <w:color w:val="000000"/>
        </w:rPr>
        <w:t xml:space="preserve"> </w:t>
      </w:r>
      <w:r>
        <w:rPr>
          <w:color w:val="000000"/>
        </w:rPr>
        <w:t>integral</w:t>
      </w:r>
      <w:r w:rsidR="00BF059B">
        <w:rPr>
          <w:color w:val="000000"/>
        </w:rPr>
        <w:t xml:space="preserve"> </w:t>
      </w:r>
      <w:r>
        <w:rPr>
          <w:color w:val="000000"/>
        </w:rPr>
        <w:t>to</w:t>
      </w:r>
      <w:r w:rsidR="00BF059B">
        <w:rPr>
          <w:color w:val="000000"/>
        </w:rPr>
        <w:t xml:space="preserve"> </w:t>
      </w:r>
      <w:r>
        <w:rPr>
          <w:color w:val="000000"/>
        </w:rPr>
        <w:t>managing</w:t>
      </w:r>
      <w:r w:rsidR="00BF059B">
        <w:rPr>
          <w:color w:val="000000"/>
        </w:rPr>
        <w:t xml:space="preserve"> </w:t>
      </w:r>
      <w:r>
        <w:rPr>
          <w:color w:val="000000"/>
        </w:rPr>
        <w:t>projects,</w:t>
      </w:r>
      <w:r w:rsidR="00BF059B">
        <w:rPr>
          <w:color w:val="000000"/>
        </w:rPr>
        <w:t xml:space="preserve"> </w:t>
      </w:r>
      <w:r>
        <w:rPr>
          <w:color w:val="000000"/>
        </w:rPr>
        <w:t>and</w:t>
      </w:r>
      <w:r w:rsidR="00BF059B">
        <w:rPr>
          <w:color w:val="000000"/>
        </w:rPr>
        <w:t xml:space="preserve"> </w:t>
      </w:r>
      <w:r>
        <w:rPr>
          <w:color w:val="000000"/>
        </w:rPr>
        <w:t>when</w:t>
      </w:r>
      <w:r w:rsidR="00BF059B">
        <w:rPr>
          <w:color w:val="000000"/>
        </w:rPr>
        <w:t xml:space="preserve"> </w:t>
      </w:r>
      <w:r>
        <w:rPr>
          <w:color w:val="000000"/>
        </w:rPr>
        <w:t>making</w:t>
      </w:r>
      <w:r w:rsidR="00BF059B">
        <w:rPr>
          <w:color w:val="000000"/>
        </w:rPr>
        <w:t xml:space="preserve"> </w:t>
      </w:r>
      <w:r>
        <w:rPr>
          <w:color w:val="000000"/>
        </w:rPr>
        <w:t>changes</w:t>
      </w:r>
      <w:r w:rsidR="00BF059B">
        <w:rPr>
          <w:color w:val="000000"/>
        </w:rPr>
        <w:t xml:space="preserve"> </w:t>
      </w:r>
      <w:r>
        <w:rPr>
          <w:color w:val="000000"/>
        </w:rPr>
        <w:t>to</w:t>
      </w:r>
      <w:r w:rsidR="00BF059B">
        <w:rPr>
          <w:color w:val="000000"/>
        </w:rPr>
        <w:t xml:space="preserve"> </w:t>
      </w:r>
      <w:r>
        <w:rPr>
          <w:color w:val="000000"/>
        </w:rPr>
        <w:t>existing</w:t>
      </w:r>
      <w:r w:rsidR="00BF059B">
        <w:rPr>
          <w:color w:val="000000"/>
        </w:rPr>
        <w:t xml:space="preserve"> </w:t>
      </w:r>
      <w:r>
        <w:rPr>
          <w:color w:val="000000"/>
        </w:rPr>
        <w:t>processes</w:t>
      </w:r>
      <w:r w:rsidR="00BF059B">
        <w:rPr>
          <w:color w:val="000000"/>
        </w:rPr>
        <w:t xml:space="preserve"> </w:t>
      </w:r>
      <w:r>
        <w:rPr>
          <w:color w:val="000000"/>
        </w:rPr>
        <w:t>and</w:t>
      </w:r>
      <w:r w:rsidR="00BF059B">
        <w:rPr>
          <w:color w:val="000000"/>
        </w:rPr>
        <w:t xml:space="preserve"> </w:t>
      </w:r>
      <w:r>
        <w:rPr>
          <w:color w:val="000000"/>
        </w:rPr>
        <w:t>ways</w:t>
      </w:r>
      <w:r w:rsidR="00BF059B">
        <w:rPr>
          <w:color w:val="000000"/>
        </w:rPr>
        <w:t xml:space="preserve"> </w:t>
      </w:r>
      <w:r>
        <w:rPr>
          <w:color w:val="000000"/>
        </w:rPr>
        <w:t>of</w:t>
      </w:r>
      <w:r w:rsidR="00BF059B">
        <w:rPr>
          <w:color w:val="000000"/>
        </w:rPr>
        <w:t xml:space="preserve"> </w:t>
      </w:r>
      <w:r>
        <w:rPr>
          <w:color w:val="000000"/>
        </w:rPr>
        <w:t>working,</w:t>
      </w:r>
      <w:r w:rsidR="00BF059B">
        <w:rPr>
          <w:color w:val="000000"/>
        </w:rPr>
        <w:t xml:space="preserve"> </w:t>
      </w:r>
      <w:r>
        <w:rPr>
          <w:color w:val="000000"/>
        </w:rPr>
        <w:t>and</w:t>
      </w:r>
      <w:r w:rsidR="00BF059B">
        <w:rPr>
          <w:color w:val="000000"/>
        </w:rPr>
        <w:t xml:space="preserve"> </w:t>
      </w:r>
      <w:r>
        <w:rPr>
          <w:color w:val="000000"/>
        </w:rPr>
        <w:t>where</w:t>
      </w:r>
      <w:r w:rsidR="00BF059B">
        <w:rPr>
          <w:color w:val="000000"/>
        </w:rPr>
        <w:t xml:space="preserve"> </w:t>
      </w:r>
      <w:r>
        <w:rPr>
          <w:color w:val="000000"/>
        </w:rPr>
        <w:t>decisions</w:t>
      </w:r>
      <w:r w:rsidR="00BF059B">
        <w:rPr>
          <w:color w:val="000000"/>
        </w:rPr>
        <w:t xml:space="preserve"> </w:t>
      </w:r>
      <w:r>
        <w:rPr>
          <w:color w:val="000000"/>
        </w:rPr>
        <w:t>are</w:t>
      </w:r>
      <w:r w:rsidR="00BF059B">
        <w:rPr>
          <w:color w:val="000000"/>
        </w:rPr>
        <w:t xml:space="preserve"> </w:t>
      </w:r>
      <w:r>
        <w:rPr>
          <w:color w:val="000000"/>
        </w:rPr>
        <w:t>made.</w:t>
      </w:r>
      <w:r w:rsidR="00BF059B">
        <w:rPr>
          <w:color w:val="000000"/>
        </w:rPr>
        <w:t xml:space="preserve">  </w:t>
      </w:r>
    </w:p>
    <w:p w14:paraId="6C462234" w14:textId="3762ED87" w:rsidR="00BE13A8" w:rsidRDefault="00D70530" w:rsidP="00BA76E3">
      <w:pPr>
        <w:numPr>
          <w:ilvl w:val="1"/>
          <w:numId w:val="36"/>
        </w:numPr>
        <w:pBdr>
          <w:top w:val="nil"/>
          <w:left w:val="nil"/>
          <w:bottom w:val="nil"/>
          <w:right w:val="nil"/>
          <w:between w:val="nil"/>
        </w:pBdr>
        <w:ind w:left="709"/>
        <w:rPr>
          <w:rFonts w:ascii="Aptos" w:eastAsia="Aptos" w:hAnsi="Aptos" w:cs="Aptos"/>
          <w:color w:val="000000"/>
        </w:rPr>
      </w:pPr>
      <w:r>
        <w:rPr>
          <w:color w:val="000000"/>
        </w:rPr>
        <w:t>The</w:t>
      </w:r>
      <w:r w:rsidR="00BF059B">
        <w:rPr>
          <w:color w:val="000000"/>
        </w:rPr>
        <w:t xml:space="preserve"> </w:t>
      </w:r>
      <w:r>
        <w:rPr>
          <w:color w:val="000000"/>
        </w:rPr>
        <w:t>Audit</w:t>
      </w:r>
      <w:r w:rsidR="00BF059B">
        <w:rPr>
          <w:color w:val="000000"/>
        </w:rPr>
        <w:t xml:space="preserve"> </w:t>
      </w:r>
      <w:r>
        <w:rPr>
          <w:color w:val="000000"/>
        </w:rPr>
        <w:t>&amp;</w:t>
      </w:r>
      <w:r w:rsidR="00BF059B">
        <w:rPr>
          <w:color w:val="000000"/>
        </w:rPr>
        <w:t xml:space="preserve"> </w:t>
      </w:r>
      <w:r>
        <w:rPr>
          <w:color w:val="000000"/>
        </w:rPr>
        <w:t>Risk</w:t>
      </w:r>
      <w:r w:rsidR="00BF059B">
        <w:rPr>
          <w:color w:val="000000"/>
        </w:rPr>
        <w:t xml:space="preserve"> </w:t>
      </w:r>
      <w:r>
        <w:rPr>
          <w:color w:val="000000"/>
        </w:rPr>
        <w:t>Committee</w:t>
      </w:r>
      <w:r w:rsidR="00BF059B">
        <w:rPr>
          <w:color w:val="000000"/>
        </w:rPr>
        <w:t xml:space="preserve"> </w:t>
      </w:r>
      <w:r>
        <w:rPr>
          <w:color w:val="000000"/>
        </w:rPr>
        <w:t>review</w:t>
      </w:r>
      <w:r w:rsidR="00BF059B">
        <w:rPr>
          <w:color w:val="000000"/>
        </w:rPr>
        <w:t xml:space="preserve"> </w:t>
      </w:r>
      <w:r>
        <w:rPr>
          <w:color w:val="000000"/>
        </w:rPr>
        <w:t>the</w:t>
      </w:r>
      <w:r w:rsidR="00BF059B">
        <w:rPr>
          <w:color w:val="000000"/>
        </w:rPr>
        <w:t xml:space="preserve"> </w:t>
      </w:r>
      <w:r>
        <w:rPr>
          <w:color w:val="000000"/>
        </w:rPr>
        <w:t>risks</w:t>
      </w:r>
      <w:r w:rsidR="00BF059B">
        <w:rPr>
          <w:color w:val="000000"/>
        </w:rPr>
        <w:t xml:space="preserve"> </w:t>
      </w:r>
      <w:r>
        <w:rPr>
          <w:color w:val="000000"/>
        </w:rPr>
        <w:t>and</w:t>
      </w:r>
      <w:r w:rsidR="00BF059B">
        <w:rPr>
          <w:color w:val="000000"/>
        </w:rPr>
        <w:t xml:space="preserve"> </w:t>
      </w:r>
      <w:r>
        <w:rPr>
          <w:color w:val="000000"/>
        </w:rPr>
        <w:t>provide</w:t>
      </w:r>
      <w:r w:rsidR="00BF059B">
        <w:rPr>
          <w:color w:val="000000"/>
        </w:rPr>
        <w:t xml:space="preserve"> </w:t>
      </w:r>
      <w:r>
        <w:rPr>
          <w:color w:val="000000"/>
        </w:rPr>
        <w:t>an</w:t>
      </w:r>
      <w:r w:rsidR="00BF059B">
        <w:rPr>
          <w:color w:val="000000"/>
        </w:rPr>
        <w:t xml:space="preserve"> </w:t>
      </w:r>
      <w:r>
        <w:rPr>
          <w:color w:val="000000"/>
        </w:rPr>
        <w:t>independent</w:t>
      </w:r>
      <w:r w:rsidR="00BF059B">
        <w:rPr>
          <w:color w:val="000000"/>
        </w:rPr>
        <w:t xml:space="preserve"> </w:t>
      </w:r>
      <w:r>
        <w:rPr>
          <w:color w:val="000000"/>
        </w:rPr>
        <w:t>view</w:t>
      </w:r>
      <w:r w:rsidR="00BF059B">
        <w:rPr>
          <w:color w:val="000000"/>
        </w:rPr>
        <w:t xml:space="preserve"> </w:t>
      </w:r>
      <w:r>
        <w:rPr>
          <w:color w:val="000000"/>
        </w:rPr>
        <w:t>on</w:t>
      </w:r>
      <w:r w:rsidR="00BF059B">
        <w:rPr>
          <w:color w:val="000000"/>
        </w:rPr>
        <w:t xml:space="preserve"> </w:t>
      </w:r>
      <w:r>
        <w:rPr>
          <w:color w:val="000000"/>
        </w:rPr>
        <w:t>the</w:t>
      </w:r>
      <w:r w:rsidR="00BF059B">
        <w:rPr>
          <w:color w:val="000000"/>
        </w:rPr>
        <w:t xml:space="preserve"> </w:t>
      </w:r>
      <w:r>
        <w:rPr>
          <w:color w:val="000000"/>
        </w:rPr>
        <w:t>Museum’s</w:t>
      </w:r>
      <w:r w:rsidR="00BF059B">
        <w:rPr>
          <w:color w:val="000000"/>
        </w:rPr>
        <w:t xml:space="preserve"> </w:t>
      </w:r>
      <w:r>
        <w:rPr>
          <w:color w:val="000000"/>
        </w:rPr>
        <w:t>risk</w:t>
      </w:r>
      <w:r w:rsidR="00BF059B">
        <w:rPr>
          <w:color w:val="000000"/>
        </w:rPr>
        <w:t xml:space="preserve"> </w:t>
      </w:r>
      <w:r>
        <w:rPr>
          <w:color w:val="000000"/>
        </w:rPr>
        <w:t>profile,</w:t>
      </w:r>
      <w:r w:rsidR="00BF059B">
        <w:rPr>
          <w:color w:val="000000"/>
        </w:rPr>
        <w:t xml:space="preserve"> </w:t>
      </w:r>
      <w:r>
        <w:rPr>
          <w:color w:val="000000"/>
        </w:rPr>
        <w:t>and</w:t>
      </w:r>
      <w:r w:rsidR="00BF059B">
        <w:rPr>
          <w:color w:val="000000"/>
        </w:rPr>
        <w:t xml:space="preserve"> </w:t>
      </w:r>
      <w:r>
        <w:rPr>
          <w:color w:val="000000"/>
        </w:rPr>
        <w:t>make</w:t>
      </w:r>
      <w:r w:rsidR="00BF059B">
        <w:rPr>
          <w:color w:val="000000"/>
        </w:rPr>
        <w:t xml:space="preserve"> </w:t>
      </w:r>
      <w:r>
        <w:rPr>
          <w:color w:val="000000"/>
        </w:rPr>
        <w:t>recommendations</w:t>
      </w:r>
      <w:r w:rsidR="00BF059B">
        <w:rPr>
          <w:color w:val="000000"/>
        </w:rPr>
        <w:t xml:space="preserve"> </w:t>
      </w:r>
      <w:r>
        <w:rPr>
          <w:color w:val="000000"/>
        </w:rPr>
        <w:t>to</w:t>
      </w:r>
      <w:r w:rsidR="00BF059B">
        <w:rPr>
          <w:color w:val="000000"/>
        </w:rPr>
        <w:t xml:space="preserve"> </w:t>
      </w:r>
      <w:r>
        <w:rPr>
          <w:color w:val="000000"/>
        </w:rPr>
        <w:t>improve</w:t>
      </w:r>
      <w:r w:rsidR="00BF059B">
        <w:rPr>
          <w:color w:val="000000"/>
        </w:rPr>
        <w:t xml:space="preserve"> </w:t>
      </w:r>
      <w:r>
        <w:rPr>
          <w:color w:val="000000"/>
        </w:rPr>
        <w:t>the</w:t>
      </w:r>
      <w:r w:rsidR="00BF059B">
        <w:rPr>
          <w:color w:val="000000"/>
        </w:rPr>
        <w:t xml:space="preserve"> </w:t>
      </w:r>
      <w:r>
        <w:rPr>
          <w:color w:val="000000"/>
        </w:rPr>
        <w:t>mechanisms</w:t>
      </w:r>
      <w:r w:rsidR="00BF059B">
        <w:rPr>
          <w:color w:val="000000"/>
        </w:rPr>
        <w:t xml:space="preserve"> </w:t>
      </w:r>
      <w:r>
        <w:rPr>
          <w:color w:val="000000"/>
        </w:rPr>
        <w:t>for</w:t>
      </w:r>
      <w:r w:rsidR="00BF059B">
        <w:rPr>
          <w:color w:val="000000"/>
        </w:rPr>
        <w:t xml:space="preserve"> </w:t>
      </w:r>
      <w:r>
        <w:rPr>
          <w:color w:val="000000"/>
        </w:rPr>
        <w:t>identifying,</w:t>
      </w:r>
      <w:r w:rsidR="00BF059B">
        <w:rPr>
          <w:color w:val="000000"/>
        </w:rPr>
        <w:t xml:space="preserve"> </w:t>
      </w:r>
      <w:r>
        <w:rPr>
          <w:color w:val="000000"/>
        </w:rPr>
        <w:t>assessing,</w:t>
      </w:r>
      <w:r w:rsidR="00BF059B">
        <w:rPr>
          <w:color w:val="000000"/>
        </w:rPr>
        <w:t xml:space="preserve"> </w:t>
      </w:r>
      <w:r>
        <w:rPr>
          <w:color w:val="000000"/>
        </w:rPr>
        <w:t>managing</w:t>
      </w:r>
      <w:r w:rsidR="00BF059B">
        <w:rPr>
          <w:color w:val="000000"/>
        </w:rPr>
        <w:t xml:space="preserve"> </w:t>
      </w:r>
      <w:r>
        <w:rPr>
          <w:color w:val="000000"/>
        </w:rPr>
        <w:t>and</w:t>
      </w:r>
      <w:r w:rsidR="00BF059B">
        <w:rPr>
          <w:color w:val="000000"/>
        </w:rPr>
        <w:t xml:space="preserve"> </w:t>
      </w:r>
      <w:r>
        <w:rPr>
          <w:color w:val="000000"/>
        </w:rPr>
        <w:t>recording</w:t>
      </w:r>
      <w:r w:rsidR="00BF059B">
        <w:rPr>
          <w:color w:val="000000"/>
        </w:rPr>
        <w:t xml:space="preserve"> </w:t>
      </w:r>
      <w:r>
        <w:rPr>
          <w:color w:val="000000"/>
        </w:rPr>
        <w:t>risks.</w:t>
      </w:r>
      <w:r w:rsidR="00BF059B">
        <w:rPr>
          <w:color w:val="000000"/>
        </w:rPr>
        <w:t xml:space="preserve"> </w:t>
      </w:r>
    </w:p>
    <w:p w14:paraId="599B1D26" w14:textId="66EF1ED0" w:rsidR="00BE13A8" w:rsidRDefault="00D70530" w:rsidP="00BA76E3">
      <w:pPr>
        <w:numPr>
          <w:ilvl w:val="1"/>
          <w:numId w:val="36"/>
        </w:numPr>
        <w:pBdr>
          <w:top w:val="nil"/>
          <w:left w:val="nil"/>
          <w:bottom w:val="nil"/>
          <w:right w:val="nil"/>
          <w:between w:val="nil"/>
        </w:pBdr>
        <w:ind w:left="709"/>
        <w:rPr>
          <w:rFonts w:ascii="Aptos" w:eastAsia="Aptos" w:hAnsi="Aptos" w:cs="Aptos"/>
          <w:color w:val="000000"/>
        </w:rPr>
      </w:pPr>
      <w:r>
        <w:rPr>
          <w:color w:val="000000"/>
        </w:rPr>
        <w:t>Management</w:t>
      </w:r>
      <w:r w:rsidR="00BF059B">
        <w:rPr>
          <w:color w:val="000000"/>
        </w:rPr>
        <w:t xml:space="preserve"> </w:t>
      </w:r>
      <w:r>
        <w:rPr>
          <w:color w:val="000000"/>
        </w:rPr>
        <w:t>and</w:t>
      </w:r>
      <w:r w:rsidR="00BF059B">
        <w:rPr>
          <w:color w:val="000000"/>
        </w:rPr>
        <w:t xml:space="preserve"> </w:t>
      </w:r>
      <w:r>
        <w:rPr>
          <w:color w:val="000000"/>
        </w:rPr>
        <w:t>the</w:t>
      </w:r>
      <w:r w:rsidR="00BF059B">
        <w:rPr>
          <w:color w:val="000000"/>
        </w:rPr>
        <w:t xml:space="preserve"> </w:t>
      </w:r>
      <w:r>
        <w:rPr>
          <w:color w:val="000000"/>
        </w:rPr>
        <w:t>Board</w:t>
      </w:r>
      <w:r w:rsidR="00BF059B">
        <w:rPr>
          <w:color w:val="000000"/>
        </w:rPr>
        <w:t xml:space="preserve"> </w:t>
      </w:r>
      <w:r>
        <w:rPr>
          <w:color w:val="000000"/>
        </w:rPr>
        <w:t>consider</w:t>
      </w:r>
      <w:r w:rsidR="00BF059B">
        <w:rPr>
          <w:color w:val="000000"/>
        </w:rPr>
        <w:t xml:space="preserve"> </w:t>
      </w:r>
      <w:r>
        <w:rPr>
          <w:color w:val="000000"/>
        </w:rPr>
        <w:t>the</w:t>
      </w:r>
      <w:r w:rsidR="00BF059B">
        <w:rPr>
          <w:color w:val="000000"/>
        </w:rPr>
        <w:t xml:space="preserve"> </w:t>
      </w:r>
      <w:r>
        <w:rPr>
          <w:color w:val="000000"/>
        </w:rPr>
        <w:t>risks</w:t>
      </w:r>
      <w:r w:rsidR="00BF059B">
        <w:rPr>
          <w:color w:val="000000"/>
        </w:rPr>
        <w:t xml:space="preserve"> </w:t>
      </w:r>
      <w:r>
        <w:rPr>
          <w:color w:val="000000"/>
        </w:rPr>
        <w:t>when</w:t>
      </w:r>
      <w:r w:rsidR="00BF059B">
        <w:rPr>
          <w:color w:val="000000"/>
        </w:rPr>
        <w:t xml:space="preserve"> </w:t>
      </w:r>
      <w:r>
        <w:rPr>
          <w:color w:val="000000"/>
        </w:rPr>
        <w:t>they</w:t>
      </w:r>
      <w:r w:rsidR="00BF059B">
        <w:rPr>
          <w:color w:val="000000"/>
        </w:rPr>
        <w:t xml:space="preserve"> </w:t>
      </w:r>
      <w:r>
        <w:rPr>
          <w:color w:val="000000"/>
        </w:rPr>
        <w:t>evaluate</w:t>
      </w:r>
      <w:r w:rsidR="00BF059B">
        <w:rPr>
          <w:color w:val="000000"/>
        </w:rPr>
        <w:t xml:space="preserve"> </w:t>
      </w:r>
      <w:r>
        <w:rPr>
          <w:color w:val="000000"/>
        </w:rPr>
        <w:t>organisational</w:t>
      </w:r>
      <w:r w:rsidR="00BF059B">
        <w:rPr>
          <w:color w:val="000000"/>
        </w:rPr>
        <w:t xml:space="preserve"> </w:t>
      </w:r>
      <w:r>
        <w:rPr>
          <w:color w:val="000000"/>
        </w:rPr>
        <w:t>performance,</w:t>
      </w:r>
      <w:r w:rsidR="00BF059B">
        <w:rPr>
          <w:color w:val="000000"/>
        </w:rPr>
        <w:t xml:space="preserve"> </w:t>
      </w:r>
      <w:r>
        <w:rPr>
          <w:color w:val="000000"/>
        </w:rPr>
        <w:t>when</w:t>
      </w:r>
      <w:r w:rsidR="00BF059B">
        <w:rPr>
          <w:color w:val="000000"/>
        </w:rPr>
        <w:t xml:space="preserve"> </w:t>
      </w:r>
      <w:r>
        <w:rPr>
          <w:color w:val="000000"/>
        </w:rPr>
        <w:t>they</w:t>
      </w:r>
      <w:r w:rsidR="00BF059B">
        <w:rPr>
          <w:color w:val="000000"/>
        </w:rPr>
        <w:t xml:space="preserve"> </w:t>
      </w:r>
      <w:r>
        <w:rPr>
          <w:color w:val="000000"/>
        </w:rPr>
        <w:t>make</w:t>
      </w:r>
      <w:r w:rsidR="00BF059B">
        <w:rPr>
          <w:color w:val="000000"/>
        </w:rPr>
        <w:t xml:space="preserve"> </w:t>
      </w:r>
      <w:r>
        <w:rPr>
          <w:color w:val="000000"/>
        </w:rPr>
        <w:t>decisions,</w:t>
      </w:r>
      <w:r w:rsidR="00BF059B">
        <w:rPr>
          <w:color w:val="000000"/>
        </w:rPr>
        <w:t xml:space="preserve"> </w:t>
      </w:r>
      <w:r>
        <w:rPr>
          <w:color w:val="000000"/>
        </w:rPr>
        <w:t>including</w:t>
      </w:r>
      <w:r w:rsidR="00BF059B">
        <w:rPr>
          <w:color w:val="000000"/>
        </w:rPr>
        <w:t xml:space="preserve"> </w:t>
      </w:r>
      <w:r>
        <w:rPr>
          <w:color w:val="000000"/>
        </w:rPr>
        <w:t>who</w:t>
      </w:r>
      <w:r w:rsidR="00BF059B">
        <w:rPr>
          <w:color w:val="000000"/>
        </w:rPr>
        <w:t xml:space="preserve"> </w:t>
      </w:r>
      <w:r>
        <w:rPr>
          <w:color w:val="000000"/>
        </w:rPr>
        <w:t>(and</w:t>
      </w:r>
      <w:r w:rsidR="00BF059B">
        <w:rPr>
          <w:color w:val="000000"/>
        </w:rPr>
        <w:t xml:space="preserve"> </w:t>
      </w:r>
      <w:r>
        <w:rPr>
          <w:color w:val="000000"/>
        </w:rPr>
        <w:t>how)</w:t>
      </w:r>
      <w:r w:rsidR="00BF059B">
        <w:rPr>
          <w:color w:val="000000"/>
        </w:rPr>
        <w:t xml:space="preserve"> </w:t>
      </w:r>
      <w:r>
        <w:rPr>
          <w:color w:val="000000"/>
        </w:rPr>
        <w:t>they</w:t>
      </w:r>
      <w:r w:rsidR="00BF059B">
        <w:rPr>
          <w:color w:val="000000"/>
        </w:rPr>
        <w:t xml:space="preserve"> </w:t>
      </w:r>
      <w:r>
        <w:rPr>
          <w:color w:val="000000"/>
        </w:rPr>
        <w:t>work</w:t>
      </w:r>
      <w:r w:rsidR="00BF059B">
        <w:rPr>
          <w:color w:val="000000"/>
        </w:rPr>
        <w:t xml:space="preserve"> </w:t>
      </w:r>
      <w:r>
        <w:rPr>
          <w:color w:val="000000"/>
        </w:rPr>
        <w:t>with</w:t>
      </w:r>
      <w:r w:rsidR="00BF059B">
        <w:rPr>
          <w:color w:val="000000"/>
        </w:rPr>
        <w:t xml:space="preserve"> </w:t>
      </w:r>
      <w:r>
        <w:rPr>
          <w:color w:val="000000"/>
        </w:rPr>
        <w:t>other</w:t>
      </w:r>
      <w:r w:rsidR="00BF059B">
        <w:rPr>
          <w:color w:val="000000"/>
        </w:rPr>
        <w:t xml:space="preserve"> </w:t>
      </w:r>
      <w:r>
        <w:rPr>
          <w:color w:val="000000"/>
        </w:rPr>
        <w:t>organisations.</w:t>
      </w:r>
      <w:r w:rsidR="00BF059B">
        <w:rPr>
          <w:color w:val="000000"/>
        </w:rPr>
        <w:t xml:space="preserve"> </w:t>
      </w:r>
    </w:p>
    <w:p w14:paraId="2EBA292D" w14:textId="30959F56" w:rsidR="00BE13A8" w:rsidRDefault="00D70530" w:rsidP="00BA76E3">
      <w:pPr>
        <w:numPr>
          <w:ilvl w:val="1"/>
          <w:numId w:val="36"/>
        </w:numPr>
        <w:pBdr>
          <w:top w:val="nil"/>
          <w:left w:val="nil"/>
          <w:bottom w:val="nil"/>
          <w:right w:val="nil"/>
          <w:between w:val="nil"/>
        </w:pBdr>
        <w:ind w:left="709"/>
        <w:rPr>
          <w:rFonts w:ascii="Aptos" w:eastAsia="Aptos" w:hAnsi="Aptos" w:cs="Aptos"/>
          <w:color w:val="000000"/>
        </w:rPr>
      </w:pPr>
      <w:r>
        <w:rPr>
          <w:color w:val="000000"/>
        </w:rPr>
        <w:t>The</w:t>
      </w:r>
      <w:r w:rsidR="00BF059B">
        <w:rPr>
          <w:color w:val="000000"/>
        </w:rPr>
        <w:t xml:space="preserve"> </w:t>
      </w:r>
      <w:r>
        <w:rPr>
          <w:color w:val="000000"/>
        </w:rPr>
        <w:t>Museum</w:t>
      </w:r>
      <w:r w:rsidR="00BF059B">
        <w:rPr>
          <w:color w:val="000000"/>
        </w:rPr>
        <w:t xml:space="preserve"> </w:t>
      </w:r>
      <w:r>
        <w:rPr>
          <w:color w:val="000000"/>
        </w:rPr>
        <w:t>has</w:t>
      </w:r>
      <w:r w:rsidR="00BF059B">
        <w:rPr>
          <w:color w:val="000000"/>
        </w:rPr>
        <w:t xml:space="preserve"> </w:t>
      </w:r>
      <w:r>
        <w:rPr>
          <w:color w:val="000000"/>
        </w:rPr>
        <w:t>a</w:t>
      </w:r>
      <w:r w:rsidR="00BF059B">
        <w:rPr>
          <w:color w:val="000000"/>
        </w:rPr>
        <w:t xml:space="preserve"> </w:t>
      </w:r>
      <w:r>
        <w:rPr>
          <w:color w:val="000000"/>
        </w:rPr>
        <w:t>broad</w:t>
      </w:r>
      <w:r w:rsidR="00BF059B">
        <w:rPr>
          <w:color w:val="000000"/>
        </w:rPr>
        <w:t xml:space="preserve"> </w:t>
      </w:r>
      <w:r>
        <w:rPr>
          <w:color w:val="000000"/>
        </w:rPr>
        <w:t>set</w:t>
      </w:r>
      <w:r w:rsidR="00BF059B">
        <w:rPr>
          <w:color w:val="000000"/>
        </w:rPr>
        <w:t xml:space="preserve"> </w:t>
      </w:r>
      <w:r>
        <w:rPr>
          <w:color w:val="000000"/>
        </w:rPr>
        <w:t>of</w:t>
      </w:r>
      <w:r w:rsidR="00BF059B">
        <w:rPr>
          <w:color w:val="000000"/>
        </w:rPr>
        <w:t xml:space="preserve"> </w:t>
      </w:r>
      <w:r>
        <w:rPr>
          <w:color w:val="000000"/>
        </w:rPr>
        <w:t>data</w:t>
      </w:r>
      <w:r w:rsidR="00BF059B">
        <w:rPr>
          <w:color w:val="000000"/>
        </w:rPr>
        <w:t xml:space="preserve"> </w:t>
      </w:r>
      <w:r>
        <w:rPr>
          <w:color w:val="000000"/>
        </w:rPr>
        <w:t>and</w:t>
      </w:r>
      <w:r w:rsidR="00BF059B">
        <w:rPr>
          <w:color w:val="000000"/>
        </w:rPr>
        <w:t xml:space="preserve"> </w:t>
      </w:r>
      <w:r>
        <w:rPr>
          <w:color w:val="000000"/>
        </w:rPr>
        <w:t>information</w:t>
      </w:r>
      <w:r w:rsidR="00BF059B">
        <w:rPr>
          <w:color w:val="000000"/>
        </w:rPr>
        <w:t xml:space="preserve"> </w:t>
      </w:r>
      <w:r>
        <w:rPr>
          <w:color w:val="000000"/>
        </w:rPr>
        <w:t>sources</w:t>
      </w:r>
      <w:r w:rsidR="00BF059B">
        <w:rPr>
          <w:color w:val="000000"/>
        </w:rPr>
        <w:t xml:space="preserve"> </w:t>
      </w:r>
      <w:r>
        <w:rPr>
          <w:color w:val="000000"/>
        </w:rPr>
        <w:t>which</w:t>
      </w:r>
      <w:r w:rsidR="00BF059B">
        <w:rPr>
          <w:color w:val="000000"/>
        </w:rPr>
        <w:t xml:space="preserve"> </w:t>
      </w:r>
      <w:r>
        <w:rPr>
          <w:color w:val="000000"/>
        </w:rPr>
        <w:t>help</w:t>
      </w:r>
      <w:r w:rsidR="00BF059B">
        <w:rPr>
          <w:color w:val="000000"/>
        </w:rPr>
        <w:t xml:space="preserve"> </w:t>
      </w:r>
      <w:r>
        <w:rPr>
          <w:color w:val="000000"/>
        </w:rPr>
        <w:t>to</w:t>
      </w:r>
      <w:r w:rsidR="00BF059B">
        <w:rPr>
          <w:color w:val="000000"/>
        </w:rPr>
        <w:t xml:space="preserve"> </w:t>
      </w:r>
      <w:r>
        <w:rPr>
          <w:color w:val="000000"/>
        </w:rPr>
        <w:t>calibrate</w:t>
      </w:r>
      <w:r w:rsidR="00BF059B">
        <w:rPr>
          <w:color w:val="000000"/>
        </w:rPr>
        <w:t xml:space="preserve"> </w:t>
      </w:r>
      <w:r>
        <w:rPr>
          <w:color w:val="000000"/>
        </w:rPr>
        <w:t>the</w:t>
      </w:r>
      <w:r w:rsidR="00BF059B">
        <w:rPr>
          <w:color w:val="000000"/>
        </w:rPr>
        <w:t xml:space="preserve"> </w:t>
      </w:r>
      <w:r>
        <w:rPr>
          <w:color w:val="000000"/>
        </w:rPr>
        <w:t>risk</w:t>
      </w:r>
      <w:r w:rsidR="00BF059B">
        <w:rPr>
          <w:color w:val="000000"/>
        </w:rPr>
        <w:t xml:space="preserve"> </w:t>
      </w:r>
      <w:r>
        <w:rPr>
          <w:color w:val="000000"/>
        </w:rPr>
        <w:t>profile</w:t>
      </w:r>
      <w:r w:rsidR="00BF059B">
        <w:rPr>
          <w:color w:val="000000"/>
        </w:rPr>
        <w:t xml:space="preserve"> </w:t>
      </w:r>
      <w:r>
        <w:rPr>
          <w:color w:val="000000"/>
        </w:rPr>
        <w:t>and</w:t>
      </w:r>
      <w:r w:rsidR="00BF059B">
        <w:rPr>
          <w:color w:val="000000"/>
        </w:rPr>
        <w:t xml:space="preserve"> </w:t>
      </w:r>
      <w:r>
        <w:rPr>
          <w:color w:val="000000"/>
        </w:rPr>
        <w:t>provide</w:t>
      </w:r>
      <w:r w:rsidR="00BF059B">
        <w:rPr>
          <w:color w:val="000000"/>
        </w:rPr>
        <w:t xml:space="preserve"> </w:t>
      </w:r>
      <w:r>
        <w:rPr>
          <w:color w:val="000000"/>
        </w:rPr>
        <w:t>an</w:t>
      </w:r>
      <w:r w:rsidR="00BF059B">
        <w:rPr>
          <w:color w:val="000000"/>
        </w:rPr>
        <w:t xml:space="preserve"> </w:t>
      </w:r>
      <w:r>
        <w:rPr>
          <w:color w:val="000000"/>
        </w:rPr>
        <w:t>objective</w:t>
      </w:r>
      <w:r w:rsidR="00BF059B">
        <w:rPr>
          <w:color w:val="000000"/>
        </w:rPr>
        <w:t xml:space="preserve"> </w:t>
      </w:r>
      <w:r>
        <w:rPr>
          <w:color w:val="000000"/>
        </w:rPr>
        <w:t>assessment</w:t>
      </w:r>
      <w:r w:rsidR="00BF059B">
        <w:rPr>
          <w:color w:val="000000"/>
        </w:rPr>
        <w:t xml:space="preserve"> </w:t>
      </w:r>
      <w:r>
        <w:rPr>
          <w:color w:val="000000"/>
        </w:rPr>
        <w:t>of</w:t>
      </w:r>
      <w:r w:rsidR="00BF059B">
        <w:rPr>
          <w:color w:val="000000"/>
        </w:rPr>
        <w:t xml:space="preserve"> </w:t>
      </w:r>
      <w:r>
        <w:rPr>
          <w:color w:val="000000"/>
        </w:rPr>
        <w:t>risk.</w:t>
      </w:r>
      <w:r w:rsidR="00BF059B">
        <w:rPr>
          <w:color w:val="000000"/>
        </w:rPr>
        <w:t xml:space="preserve">  </w:t>
      </w:r>
    </w:p>
    <w:p w14:paraId="36CA6C2E" w14:textId="07C4745E" w:rsidR="00BE13A8" w:rsidRDefault="00D70530" w:rsidP="00BA76E3">
      <w:pPr>
        <w:numPr>
          <w:ilvl w:val="1"/>
          <w:numId w:val="36"/>
        </w:numPr>
        <w:pBdr>
          <w:top w:val="nil"/>
          <w:left w:val="nil"/>
          <w:bottom w:val="nil"/>
          <w:right w:val="nil"/>
          <w:between w:val="nil"/>
        </w:pBdr>
        <w:ind w:left="709"/>
        <w:rPr>
          <w:rFonts w:ascii="Aptos" w:eastAsia="Aptos" w:hAnsi="Aptos" w:cs="Aptos"/>
          <w:color w:val="000000"/>
        </w:rPr>
      </w:pPr>
      <w:r>
        <w:rPr>
          <w:color w:val="000000"/>
        </w:rPr>
        <w:t>Risks</w:t>
      </w:r>
      <w:r w:rsidR="00BF059B">
        <w:rPr>
          <w:color w:val="000000"/>
        </w:rPr>
        <w:t xml:space="preserve"> </w:t>
      </w:r>
      <w:r>
        <w:rPr>
          <w:color w:val="000000"/>
        </w:rPr>
        <w:t>are</w:t>
      </w:r>
      <w:r w:rsidR="00BF059B">
        <w:rPr>
          <w:color w:val="000000"/>
        </w:rPr>
        <w:t xml:space="preserve"> </w:t>
      </w:r>
      <w:r>
        <w:rPr>
          <w:color w:val="000000"/>
        </w:rPr>
        <w:t>framed</w:t>
      </w:r>
      <w:r w:rsidR="00BF059B">
        <w:rPr>
          <w:color w:val="000000"/>
        </w:rPr>
        <w:t xml:space="preserve"> </w:t>
      </w:r>
      <w:r>
        <w:rPr>
          <w:color w:val="000000"/>
        </w:rPr>
        <w:t>in</w:t>
      </w:r>
      <w:r w:rsidR="00BF059B">
        <w:rPr>
          <w:color w:val="000000"/>
        </w:rPr>
        <w:t xml:space="preserve"> </w:t>
      </w:r>
      <w:r>
        <w:rPr>
          <w:color w:val="000000"/>
        </w:rPr>
        <w:t>terms</w:t>
      </w:r>
      <w:r w:rsidR="00BF059B">
        <w:rPr>
          <w:color w:val="000000"/>
        </w:rPr>
        <w:t xml:space="preserve"> </w:t>
      </w:r>
      <w:r>
        <w:rPr>
          <w:color w:val="000000"/>
        </w:rPr>
        <w:t>of</w:t>
      </w:r>
      <w:r w:rsidR="00BF059B">
        <w:rPr>
          <w:color w:val="000000"/>
        </w:rPr>
        <w:t xml:space="preserve"> </w:t>
      </w:r>
      <w:r>
        <w:rPr>
          <w:color w:val="000000"/>
        </w:rPr>
        <w:t>the</w:t>
      </w:r>
      <w:r w:rsidR="00BF059B">
        <w:rPr>
          <w:color w:val="000000"/>
        </w:rPr>
        <w:t xml:space="preserve"> </w:t>
      </w:r>
      <w:r>
        <w:rPr>
          <w:color w:val="000000"/>
        </w:rPr>
        <w:t>risk</w:t>
      </w:r>
      <w:r w:rsidR="00BF059B">
        <w:rPr>
          <w:color w:val="000000"/>
        </w:rPr>
        <w:t xml:space="preserve"> </w:t>
      </w:r>
      <w:r>
        <w:rPr>
          <w:color w:val="000000"/>
        </w:rPr>
        <w:t>of</w:t>
      </w:r>
      <w:r w:rsidR="00BF059B">
        <w:rPr>
          <w:color w:val="000000"/>
        </w:rPr>
        <w:t xml:space="preserve"> </w:t>
      </w:r>
      <w:r>
        <w:rPr>
          <w:color w:val="000000"/>
        </w:rPr>
        <w:t>not</w:t>
      </w:r>
      <w:r w:rsidR="00BF059B">
        <w:rPr>
          <w:color w:val="000000"/>
        </w:rPr>
        <w:t xml:space="preserve"> </w:t>
      </w:r>
      <w:r>
        <w:rPr>
          <w:color w:val="000000"/>
        </w:rPr>
        <w:t>achieving</w:t>
      </w:r>
      <w:r w:rsidR="00BF059B">
        <w:rPr>
          <w:color w:val="000000"/>
        </w:rPr>
        <w:t xml:space="preserve"> </w:t>
      </w:r>
      <w:r>
        <w:rPr>
          <w:color w:val="000000"/>
        </w:rPr>
        <w:t>organisational</w:t>
      </w:r>
      <w:r w:rsidR="00BF059B">
        <w:rPr>
          <w:color w:val="000000"/>
        </w:rPr>
        <w:t xml:space="preserve"> </w:t>
      </w:r>
      <w:r>
        <w:rPr>
          <w:color w:val="000000"/>
        </w:rPr>
        <w:t>objectives,</w:t>
      </w:r>
      <w:r w:rsidR="00BF059B">
        <w:rPr>
          <w:color w:val="000000"/>
        </w:rPr>
        <w:t xml:space="preserve"> </w:t>
      </w:r>
      <w:r>
        <w:rPr>
          <w:color w:val="000000"/>
        </w:rPr>
        <w:t>and</w:t>
      </w:r>
      <w:r w:rsidR="00BF059B">
        <w:rPr>
          <w:color w:val="000000"/>
        </w:rPr>
        <w:t xml:space="preserve"> </w:t>
      </w:r>
      <w:r>
        <w:rPr>
          <w:color w:val="000000"/>
        </w:rPr>
        <w:t>the</w:t>
      </w:r>
      <w:r w:rsidR="00BF059B">
        <w:rPr>
          <w:color w:val="000000"/>
        </w:rPr>
        <w:t xml:space="preserve"> </w:t>
      </w:r>
      <w:r>
        <w:rPr>
          <w:color w:val="000000"/>
        </w:rPr>
        <w:t>protection</w:t>
      </w:r>
      <w:r w:rsidR="00BF059B">
        <w:rPr>
          <w:color w:val="000000"/>
        </w:rPr>
        <w:t xml:space="preserve"> </w:t>
      </w:r>
      <w:r>
        <w:rPr>
          <w:color w:val="000000"/>
        </w:rPr>
        <w:t>of</w:t>
      </w:r>
      <w:r w:rsidR="00BF059B">
        <w:rPr>
          <w:color w:val="000000"/>
        </w:rPr>
        <w:t xml:space="preserve"> </w:t>
      </w:r>
      <w:r>
        <w:rPr>
          <w:color w:val="000000"/>
        </w:rPr>
        <w:t>collections</w:t>
      </w:r>
      <w:r w:rsidR="00BF059B">
        <w:rPr>
          <w:color w:val="000000"/>
        </w:rPr>
        <w:t xml:space="preserve"> </w:t>
      </w:r>
      <w:r>
        <w:rPr>
          <w:color w:val="000000"/>
        </w:rPr>
        <w:t>and</w:t>
      </w:r>
      <w:r w:rsidR="00BF059B">
        <w:rPr>
          <w:color w:val="000000"/>
        </w:rPr>
        <w:t xml:space="preserve"> </w:t>
      </w:r>
      <w:r>
        <w:rPr>
          <w:color w:val="000000"/>
        </w:rPr>
        <w:t>other</w:t>
      </w:r>
      <w:r w:rsidR="00BF059B">
        <w:rPr>
          <w:color w:val="000000"/>
        </w:rPr>
        <w:t xml:space="preserve"> </w:t>
      </w:r>
      <w:r>
        <w:rPr>
          <w:color w:val="000000"/>
        </w:rPr>
        <w:t>assets,</w:t>
      </w:r>
      <w:r w:rsidR="00BF059B">
        <w:rPr>
          <w:color w:val="000000"/>
        </w:rPr>
        <w:t xml:space="preserve"> </w:t>
      </w:r>
      <w:r>
        <w:rPr>
          <w:color w:val="000000"/>
        </w:rPr>
        <w:t>people,</w:t>
      </w:r>
      <w:r w:rsidR="00BF059B">
        <w:rPr>
          <w:color w:val="000000"/>
        </w:rPr>
        <w:t xml:space="preserve"> </w:t>
      </w:r>
      <w:r>
        <w:rPr>
          <w:color w:val="000000"/>
        </w:rPr>
        <w:t>academic</w:t>
      </w:r>
      <w:r w:rsidR="00BF059B">
        <w:rPr>
          <w:color w:val="000000"/>
        </w:rPr>
        <w:t xml:space="preserve"> </w:t>
      </w:r>
      <w:r>
        <w:rPr>
          <w:color w:val="000000"/>
        </w:rPr>
        <w:t>or</w:t>
      </w:r>
      <w:r w:rsidR="00BF059B">
        <w:rPr>
          <w:color w:val="000000"/>
        </w:rPr>
        <w:t xml:space="preserve"> </w:t>
      </w:r>
      <w:r>
        <w:rPr>
          <w:color w:val="000000"/>
        </w:rPr>
        <w:t>institutional</w:t>
      </w:r>
      <w:r w:rsidR="00BF059B">
        <w:rPr>
          <w:color w:val="000000"/>
        </w:rPr>
        <w:t xml:space="preserve"> </w:t>
      </w:r>
      <w:r>
        <w:rPr>
          <w:color w:val="000000"/>
        </w:rPr>
        <w:t>standing,</w:t>
      </w:r>
      <w:r w:rsidR="00BF059B">
        <w:rPr>
          <w:color w:val="000000"/>
        </w:rPr>
        <w:t xml:space="preserve"> </w:t>
      </w:r>
      <w:r>
        <w:rPr>
          <w:color w:val="000000"/>
        </w:rPr>
        <w:t>visitor</w:t>
      </w:r>
      <w:r w:rsidR="00BF059B">
        <w:rPr>
          <w:color w:val="000000"/>
        </w:rPr>
        <w:t xml:space="preserve"> </w:t>
      </w:r>
      <w:r>
        <w:rPr>
          <w:color w:val="000000"/>
        </w:rPr>
        <w:t>experience</w:t>
      </w:r>
      <w:r w:rsidR="00BF059B">
        <w:rPr>
          <w:color w:val="000000"/>
        </w:rPr>
        <w:t xml:space="preserve"> </w:t>
      </w:r>
      <w:r>
        <w:rPr>
          <w:color w:val="000000"/>
        </w:rPr>
        <w:t>and</w:t>
      </w:r>
      <w:r w:rsidR="00BF059B">
        <w:rPr>
          <w:color w:val="000000"/>
        </w:rPr>
        <w:t xml:space="preserve"> </w:t>
      </w:r>
      <w:r>
        <w:rPr>
          <w:color w:val="000000"/>
        </w:rPr>
        <w:t>financial</w:t>
      </w:r>
      <w:r w:rsidR="00BF059B">
        <w:rPr>
          <w:color w:val="000000"/>
        </w:rPr>
        <w:t xml:space="preserve"> </w:t>
      </w:r>
      <w:r>
        <w:rPr>
          <w:color w:val="000000"/>
        </w:rPr>
        <w:t>resilience.</w:t>
      </w:r>
    </w:p>
    <w:p w14:paraId="0EA4E978" w14:textId="77777777" w:rsidR="00BE13A8" w:rsidRDefault="00BE13A8" w:rsidP="00BA76E3">
      <w:pPr>
        <w:pBdr>
          <w:top w:val="nil"/>
          <w:left w:val="nil"/>
          <w:bottom w:val="nil"/>
          <w:right w:val="nil"/>
          <w:between w:val="nil"/>
        </w:pBdr>
        <w:ind w:left="709"/>
        <w:rPr>
          <w:rFonts w:ascii="Aptos" w:eastAsia="Aptos" w:hAnsi="Aptos" w:cs="Aptos"/>
          <w:color w:val="000000"/>
        </w:rPr>
      </w:pPr>
    </w:p>
    <w:p w14:paraId="1BD40F83" w14:textId="55DA13A6" w:rsidR="00BE13A8" w:rsidRPr="00BA76E3" w:rsidRDefault="00D70530" w:rsidP="00BA76E3">
      <w:pPr>
        <w:numPr>
          <w:ilvl w:val="1"/>
          <w:numId w:val="7"/>
        </w:numPr>
        <w:rPr>
          <w:b/>
        </w:rPr>
      </w:pPr>
      <w:r>
        <w:t>A</w:t>
      </w:r>
      <w:r w:rsidR="00BF059B">
        <w:t xml:space="preserve"> </w:t>
      </w:r>
      <w:r>
        <w:t>system</w:t>
      </w:r>
      <w:r w:rsidR="00BF059B">
        <w:t xml:space="preserve"> </w:t>
      </w:r>
      <w:r>
        <w:t>of</w:t>
      </w:r>
      <w:r w:rsidR="00BF059B">
        <w:t xml:space="preserve"> </w:t>
      </w:r>
      <w:r>
        <w:t>delegation</w:t>
      </w:r>
      <w:r w:rsidR="00BF059B">
        <w:t xml:space="preserve"> </w:t>
      </w:r>
      <w:r>
        <w:t>and</w:t>
      </w:r>
      <w:r w:rsidR="00BF059B">
        <w:t xml:space="preserve"> </w:t>
      </w:r>
      <w:r>
        <w:t>accountability,</w:t>
      </w:r>
      <w:r w:rsidR="00BF059B">
        <w:t xml:space="preserve"> </w:t>
      </w:r>
      <w:r>
        <w:t>which</w:t>
      </w:r>
      <w:r w:rsidR="00BF059B">
        <w:t xml:space="preserve"> </w:t>
      </w:r>
      <w:r>
        <w:t>includes</w:t>
      </w:r>
      <w:r w:rsidR="00BF059B">
        <w:t xml:space="preserve"> </w:t>
      </w:r>
      <w:r>
        <w:t>comprehensive</w:t>
      </w:r>
      <w:r w:rsidR="00BF059B">
        <w:t xml:space="preserve"> </w:t>
      </w:r>
      <w:r>
        <w:t>systems</w:t>
      </w:r>
      <w:r w:rsidR="00BF059B">
        <w:t xml:space="preserve"> </w:t>
      </w:r>
      <w:r>
        <w:t>for</w:t>
      </w:r>
      <w:r w:rsidR="00BF059B">
        <w:t xml:space="preserve"> </w:t>
      </w:r>
      <w:r>
        <w:t>budgeting</w:t>
      </w:r>
      <w:r w:rsidR="00BF059B">
        <w:t xml:space="preserve"> </w:t>
      </w:r>
      <w:r>
        <w:t>and</w:t>
      </w:r>
      <w:r w:rsidR="00BF059B">
        <w:t xml:space="preserve"> </w:t>
      </w:r>
      <w:r>
        <w:t>control</w:t>
      </w:r>
      <w:r w:rsidR="00BF059B">
        <w:t xml:space="preserve"> </w:t>
      </w:r>
      <w:r>
        <w:t>of</w:t>
      </w:r>
      <w:r w:rsidR="00BF059B">
        <w:t xml:space="preserve"> </w:t>
      </w:r>
      <w:r>
        <w:t>expenditure</w:t>
      </w:r>
      <w:r w:rsidR="00BF059B">
        <w:t xml:space="preserve"> </w:t>
      </w:r>
      <w:r>
        <w:t>and</w:t>
      </w:r>
      <w:r w:rsidR="00BF059B">
        <w:t xml:space="preserve"> </w:t>
      </w:r>
      <w:r>
        <w:t>income</w:t>
      </w:r>
      <w:r w:rsidR="00BF059B">
        <w:t xml:space="preserve"> </w:t>
      </w:r>
      <w:r>
        <w:t>which</w:t>
      </w:r>
      <w:r w:rsidR="00BF059B">
        <w:t xml:space="preserve"> </w:t>
      </w:r>
      <w:r>
        <w:t>flow</w:t>
      </w:r>
      <w:r w:rsidR="00BF059B">
        <w:t xml:space="preserve"> </w:t>
      </w:r>
      <w:r>
        <w:t>from</w:t>
      </w:r>
      <w:r w:rsidR="00BF059B">
        <w:t xml:space="preserve"> </w:t>
      </w:r>
      <w:r>
        <w:t>the</w:t>
      </w:r>
      <w:r w:rsidR="00BF059B">
        <w:t xml:space="preserve"> </w:t>
      </w:r>
      <w:r>
        <w:t>corporate</w:t>
      </w:r>
      <w:r w:rsidR="00BF059B">
        <w:t xml:space="preserve"> </w:t>
      </w:r>
      <w:proofErr w:type="gramStart"/>
      <w:r>
        <w:t>plan</w:t>
      </w:r>
      <w:proofErr w:type="gramEnd"/>
      <w:r w:rsidR="00BF059B">
        <w:t xml:space="preserve"> </w:t>
      </w:r>
      <w:r>
        <w:t>which</w:t>
      </w:r>
      <w:r w:rsidR="00BF059B">
        <w:t xml:space="preserve"> </w:t>
      </w:r>
      <w:r>
        <w:t>is</w:t>
      </w:r>
      <w:r w:rsidR="00BF059B">
        <w:t xml:space="preserve"> </w:t>
      </w:r>
      <w:r>
        <w:t>agreed</w:t>
      </w:r>
      <w:r w:rsidR="00BF059B">
        <w:t xml:space="preserve"> </w:t>
      </w:r>
      <w:r>
        <w:t>by</w:t>
      </w:r>
      <w:r w:rsidR="00BF059B">
        <w:t xml:space="preserve"> </w:t>
      </w:r>
      <w:r>
        <w:t>the</w:t>
      </w:r>
      <w:r w:rsidR="00BF059B">
        <w:t xml:space="preserve"> </w:t>
      </w:r>
      <w:r>
        <w:t>Senior</w:t>
      </w:r>
      <w:r w:rsidR="00BF059B">
        <w:t xml:space="preserve"> </w:t>
      </w:r>
      <w:r>
        <w:t>Management</w:t>
      </w:r>
      <w:r w:rsidR="00BF059B">
        <w:t xml:space="preserve"> </w:t>
      </w:r>
      <w:r>
        <w:t>Team,</w:t>
      </w:r>
      <w:r w:rsidR="00BF059B">
        <w:t xml:space="preserve"> </w:t>
      </w:r>
      <w:r>
        <w:t>and</w:t>
      </w:r>
      <w:r w:rsidR="00BF059B">
        <w:t xml:space="preserve"> </w:t>
      </w:r>
      <w:r>
        <w:t>reviewed</w:t>
      </w:r>
      <w:r w:rsidR="00BF059B">
        <w:t xml:space="preserve"> </w:t>
      </w:r>
      <w:r>
        <w:t>and</w:t>
      </w:r>
      <w:r w:rsidR="00BF059B">
        <w:t xml:space="preserve"> </w:t>
      </w:r>
      <w:r>
        <w:t>approved</w:t>
      </w:r>
      <w:r w:rsidR="00BF059B">
        <w:t xml:space="preserve"> </w:t>
      </w:r>
      <w:r>
        <w:t>by</w:t>
      </w:r>
      <w:r w:rsidR="00BF059B">
        <w:t xml:space="preserve"> </w:t>
      </w:r>
      <w:r>
        <w:t>Trustees.</w:t>
      </w:r>
    </w:p>
    <w:p w14:paraId="5EB3C6AE" w14:textId="1015C790" w:rsidR="00BE13A8" w:rsidRPr="00BA76E3" w:rsidRDefault="00D70530" w:rsidP="00BA76E3">
      <w:pPr>
        <w:numPr>
          <w:ilvl w:val="1"/>
          <w:numId w:val="7"/>
        </w:numPr>
        <w:rPr>
          <w:b/>
        </w:rPr>
      </w:pPr>
      <w:r>
        <w:t>A</w:t>
      </w:r>
      <w:r w:rsidR="00BF059B">
        <w:t xml:space="preserve"> </w:t>
      </w:r>
      <w:r>
        <w:t>Health</w:t>
      </w:r>
      <w:r w:rsidR="00BF059B">
        <w:t xml:space="preserve"> </w:t>
      </w:r>
      <w:r>
        <w:t>and</w:t>
      </w:r>
      <w:r w:rsidR="00BF059B">
        <w:t xml:space="preserve"> </w:t>
      </w:r>
      <w:r>
        <w:t>Safety</w:t>
      </w:r>
      <w:r w:rsidR="00BF059B">
        <w:t xml:space="preserve"> </w:t>
      </w:r>
      <w:r>
        <w:t>Committee</w:t>
      </w:r>
      <w:r w:rsidR="00BF059B">
        <w:t xml:space="preserve"> </w:t>
      </w:r>
      <w:r>
        <w:t>which</w:t>
      </w:r>
      <w:r w:rsidR="00BF059B">
        <w:t xml:space="preserve"> </w:t>
      </w:r>
      <w:r>
        <w:t>meets</w:t>
      </w:r>
      <w:r w:rsidR="00BF059B">
        <w:t xml:space="preserve"> </w:t>
      </w:r>
      <w:r>
        <w:t>quarterly</w:t>
      </w:r>
      <w:r w:rsidR="00BF059B">
        <w:t xml:space="preserve"> </w:t>
      </w:r>
      <w:r>
        <w:t>to</w:t>
      </w:r>
      <w:r w:rsidR="00BF059B">
        <w:t xml:space="preserve"> </w:t>
      </w:r>
      <w:r>
        <w:t>consult</w:t>
      </w:r>
      <w:r w:rsidR="00BF059B">
        <w:t xml:space="preserve"> </w:t>
      </w:r>
      <w:r>
        <w:t>with</w:t>
      </w:r>
      <w:r w:rsidR="00BF059B">
        <w:t xml:space="preserve"> </w:t>
      </w:r>
      <w:r>
        <w:t>employees,</w:t>
      </w:r>
      <w:r w:rsidR="00BF059B">
        <w:t xml:space="preserve"> </w:t>
      </w:r>
      <w:r>
        <w:t>review</w:t>
      </w:r>
      <w:r w:rsidR="00BF059B">
        <w:t xml:space="preserve"> </w:t>
      </w:r>
      <w:r>
        <w:t>health</w:t>
      </w:r>
      <w:r w:rsidR="00BF059B">
        <w:t xml:space="preserve"> </w:t>
      </w:r>
      <w:r>
        <w:t>and</w:t>
      </w:r>
      <w:r w:rsidR="00BF059B">
        <w:t xml:space="preserve"> </w:t>
      </w:r>
      <w:r>
        <w:t>safety</w:t>
      </w:r>
      <w:r w:rsidR="00BF059B">
        <w:t xml:space="preserve"> </w:t>
      </w:r>
      <w:r>
        <w:t>practices</w:t>
      </w:r>
      <w:r w:rsidR="00BF059B">
        <w:t xml:space="preserve"> </w:t>
      </w:r>
      <w:r>
        <w:t>and</w:t>
      </w:r>
      <w:r w:rsidR="00BF059B">
        <w:t xml:space="preserve"> </w:t>
      </w:r>
      <w:r>
        <w:t>procedures,</w:t>
      </w:r>
      <w:r w:rsidR="00BF059B">
        <w:t xml:space="preserve"> </w:t>
      </w:r>
      <w:r>
        <w:t>and</w:t>
      </w:r>
      <w:r w:rsidR="00BF059B">
        <w:t xml:space="preserve"> </w:t>
      </w:r>
      <w:r>
        <w:t>address</w:t>
      </w:r>
      <w:r w:rsidR="00BF059B">
        <w:t xml:space="preserve"> </w:t>
      </w:r>
      <w:r>
        <w:t>health</w:t>
      </w:r>
      <w:r w:rsidR="00BF059B">
        <w:t xml:space="preserve"> </w:t>
      </w:r>
      <w:r>
        <w:t>and</w:t>
      </w:r>
      <w:r w:rsidR="00BF059B">
        <w:t xml:space="preserve"> </w:t>
      </w:r>
      <w:r>
        <w:t>safety</w:t>
      </w:r>
      <w:r w:rsidR="00BF059B">
        <w:t xml:space="preserve"> </w:t>
      </w:r>
      <w:r>
        <w:t>concerns.</w:t>
      </w:r>
    </w:p>
    <w:p w14:paraId="0E47ECCD" w14:textId="1F27828F" w:rsidR="00BE13A8" w:rsidRPr="00BA76E3" w:rsidRDefault="00D70530" w:rsidP="00BA76E3">
      <w:pPr>
        <w:numPr>
          <w:ilvl w:val="1"/>
          <w:numId w:val="7"/>
        </w:numPr>
        <w:rPr>
          <w:b/>
        </w:rPr>
      </w:pPr>
      <w:r>
        <w:t>A</w:t>
      </w:r>
      <w:r w:rsidR="00BF059B">
        <w:t xml:space="preserve"> </w:t>
      </w:r>
      <w:r>
        <w:t>Safeguarding</w:t>
      </w:r>
      <w:r w:rsidR="00BF059B">
        <w:t xml:space="preserve"> </w:t>
      </w:r>
      <w:r>
        <w:t>Committee</w:t>
      </w:r>
      <w:r w:rsidR="00BF059B">
        <w:t xml:space="preserve"> </w:t>
      </w:r>
      <w:r>
        <w:t>which</w:t>
      </w:r>
      <w:r w:rsidR="00BF059B">
        <w:t xml:space="preserve"> </w:t>
      </w:r>
      <w:r>
        <w:t>meets</w:t>
      </w:r>
      <w:r w:rsidR="00BF059B">
        <w:t xml:space="preserve"> </w:t>
      </w:r>
      <w:r>
        <w:t>quarterly</w:t>
      </w:r>
      <w:r w:rsidR="00BF059B">
        <w:t xml:space="preserve"> </w:t>
      </w:r>
      <w:r>
        <w:t>to</w:t>
      </w:r>
      <w:r w:rsidR="00BF059B">
        <w:t xml:space="preserve"> </w:t>
      </w:r>
      <w:r>
        <w:t>review</w:t>
      </w:r>
      <w:r w:rsidR="00BF059B">
        <w:t xml:space="preserve"> </w:t>
      </w:r>
      <w:r>
        <w:t>safeguarding</w:t>
      </w:r>
      <w:r w:rsidR="00BF059B">
        <w:t xml:space="preserve"> </w:t>
      </w:r>
      <w:r>
        <w:t>practices</w:t>
      </w:r>
      <w:r w:rsidR="00BF059B">
        <w:t xml:space="preserve"> </w:t>
      </w:r>
      <w:r>
        <w:t>and</w:t>
      </w:r>
      <w:r w:rsidR="00BF059B">
        <w:t xml:space="preserve"> </w:t>
      </w:r>
      <w:r>
        <w:t>procedures</w:t>
      </w:r>
      <w:r w:rsidR="00BF059B">
        <w:t xml:space="preserve"> </w:t>
      </w:r>
      <w:r>
        <w:t>and</w:t>
      </w:r>
      <w:r w:rsidR="00BF059B">
        <w:t xml:space="preserve"> </w:t>
      </w:r>
      <w:r>
        <w:t>address</w:t>
      </w:r>
      <w:r w:rsidR="00BF059B">
        <w:t xml:space="preserve"> </w:t>
      </w:r>
      <w:r>
        <w:t>safeguarding</w:t>
      </w:r>
      <w:r w:rsidR="00BF059B">
        <w:t xml:space="preserve"> </w:t>
      </w:r>
      <w:r>
        <w:t>concerns.</w:t>
      </w:r>
      <w:r w:rsidR="00BF059B">
        <w:t xml:space="preserve"> </w:t>
      </w:r>
      <w:r>
        <w:t>The</w:t>
      </w:r>
      <w:r w:rsidR="00BF059B">
        <w:t xml:space="preserve"> </w:t>
      </w:r>
      <w:r>
        <w:t>Chair</w:t>
      </w:r>
      <w:r w:rsidR="00BF059B">
        <w:t xml:space="preserve"> </w:t>
      </w:r>
      <w:r>
        <w:t>is</w:t>
      </w:r>
      <w:r w:rsidR="00BF059B">
        <w:t xml:space="preserve"> </w:t>
      </w:r>
      <w:r>
        <w:t>the</w:t>
      </w:r>
      <w:r w:rsidR="00BF059B">
        <w:t xml:space="preserve"> </w:t>
      </w:r>
      <w:r>
        <w:t>Board</w:t>
      </w:r>
      <w:r w:rsidR="00BF059B">
        <w:t xml:space="preserve"> </w:t>
      </w:r>
      <w:r>
        <w:t>lead</w:t>
      </w:r>
      <w:r w:rsidR="00BF059B">
        <w:t xml:space="preserve"> </w:t>
      </w:r>
      <w:r>
        <w:t>for</w:t>
      </w:r>
      <w:r w:rsidR="00BF059B">
        <w:t xml:space="preserve"> </w:t>
      </w:r>
      <w:r>
        <w:t>safeguarding.</w:t>
      </w:r>
    </w:p>
    <w:p w14:paraId="527BA532" w14:textId="2FEC0108" w:rsidR="00BE13A8" w:rsidRPr="00BA76E3" w:rsidRDefault="00D70530" w:rsidP="00BA76E3">
      <w:pPr>
        <w:numPr>
          <w:ilvl w:val="1"/>
          <w:numId w:val="7"/>
        </w:numPr>
        <w:rPr>
          <w:b/>
        </w:rPr>
      </w:pPr>
      <w:r>
        <w:t>Policies</w:t>
      </w:r>
      <w:r w:rsidR="00BF059B">
        <w:t xml:space="preserve"> </w:t>
      </w:r>
      <w:r>
        <w:t>and</w:t>
      </w:r>
      <w:r w:rsidR="00BF059B">
        <w:t xml:space="preserve"> </w:t>
      </w:r>
      <w:r>
        <w:t>procedures</w:t>
      </w:r>
      <w:r w:rsidR="00BF059B">
        <w:t xml:space="preserve"> </w:t>
      </w:r>
      <w:r>
        <w:t>for</w:t>
      </w:r>
      <w:r w:rsidR="00BF059B">
        <w:t xml:space="preserve"> </w:t>
      </w:r>
      <w:r>
        <w:t>protecting</w:t>
      </w:r>
      <w:r w:rsidR="00BF059B">
        <w:t xml:space="preserve"> </w:t>
      </w:r>
      <w:r>
        <w:t>the</w:t>
      </w:r>
      <w:r w:rsidR="00BF059B">
        <w:t xml:space="preserve"> </w:t>
      </w:r>
      <w:r>
        <w:t>Horniman</w:t>
      </w:r>
      <w:r w:rsidR="00BF059B">
        <w:t xml:space="preserve"> </w:t>
      </w:r>
      <w:r>
        <w:t>Museum,</w:t>
      </w:r>
      <w:r w:rsidR="00BF059B">
        <w:t xml:space="preserve"> </w:t>
      </w:r>
      <w:r>
        <w:t>including</w:t>
      </w:r>
      <w:r w:rsidR="00BF059B">
        <w:t xml:space="preserve"> </w:t>
      </w:r>
      <w:r>
        <w:t>an</w:t>
      </w:r>
      <w:r w:rsidR="00BF059B">
        <w:t xml:space="preserve"> </w:t>
      </w:r>
      <w:r>
        <w:t>anti-fraud</w:t>
      </w:r>
      <w:r w:rsidR="00BF059B">
        <w:t xml:space="preserve"> </w:t>
      </w:r>
      <w:r>
        <w:t>policy,</w:t>
      </w:r>
      <w:r w:rsidR="00BF059B">
        <w:t xml:space="preserve"> </w:t>
      </w:r>
      <w:r>
        <w:t>anti-bribery</w:t>
      </w:r>
      <w:r w:rsidR="00BF059B">
        <w:t xml:space="preserve"> </w:t>
      </w:r>
      <w:r>
        <w:t>policy,</w:t>
      </w:r>
      <w:r w:rsidR="00BF059B">
        <w:t xml:space="preserve"> </w:t>
      </w:r>
      <w:r>
        <w:t>anti-tax</w:t>
      </w:r>
      <w:r w:rsidR="00BF059B">
        <w:t xml:space="preserve"> </w:t>
      </w:r>
      <w:r>
        <w:t>evasion</w:t>
      </w:r>
      <w:r w:rsidR="00BF059B">
        <w:t xml:space="preserve"> </w:t>
      </w:r>
      <w:r>
        <w:t>policy</w:t>
      </w:r>
      <w:r w:rsidR="00BF059B">
        <w:t xml:space="preserve"> </w:t>
      </w:r>
      <w:r>
        <w:t>and</w:t>
      </w:r>
      <w:r w:rsidR="00BF059B">
        <w:t xml:space="preserve"> </w:t>
      </w:r>
      <w:r>
        <w:t>whistleblowing</w:t>
      </w:r>
      <w:r w:rsidR="00BF059B">
        <w:t xml:space="preserve"> </w:t>
      </w:r>
      <w:r>
        <w:t>policy.</w:t>
      </w:r>
    </w:p>
    <w:p w14:paraId="1D218024" w14:textId="5B36F4B2" w:rsidR="00BE13A8" w:rsidRPr="00BA76E3" w:rsidRDefault="00D70530" w:rsidP="00BA76E3">
      <w:pPr>
        <w:numPr>
          <w:ilvl w:val="1"/>
          <w:numId w:val="7"/>
        </w:numPr>
        <w:jc w:val="both"/>
      </w:pPr>
      <w:r>
        <w:t>Monthly</w:t>
      </w:r>
      <w:r w:rsidR="00BF059B">
        <w:t xml:space="preserve"> </w:t>
      </w:r>
      <w:r>
        <w:t>reviews</w:t>
      </w:r>
      <w:r w:rsidR="00BF059B">
        <w:t xml:space="preserve"> </w:t>
      </w:r>
      <w:r>
        <w:t>by</w:t>
      </w:r>
      <w:r w:rsidR="00BF059B">
        <w:t xml:space="preserve"> </w:t>
      </w:r>
      <w:r>
        <w:t>the</w:t>
      </w:r>
      <w:r w:rsidR="00BF059B">
        <w:t xml:space="preserve"> </w:t>
      </w:r>
      <w:r>
        <w:t>Senior</w:t>
      </w:r>
      <w:r w:rsidR="00BF059B">
        <w:t xml:space="preserve"> </w:t>
      </w:r>
      <w:r>
        <w:t>Management</w:t>
      </w:r>
      <w:r w:rsidR="00BF059B">
        <w:t xml:space="preserve"> </w:t>
      </w:r>
      <w:r>
        <w:t>Team</w:t>
      </w:r>
      <w:r w:rsidR="00BF059B">
        <w:t xml:space="preserve"> </w:t>
      </w:r>
      <w:r>
        <w:t>and</w:t>
      </w:r>
      <w:r w:rsidR="00BF059B">
        <w:t xml:space="preserve"> </w:t>
      </w:r>
      <w:r>
        <w:t>quarterly</w:t>
      </w:r>
      <w:r w:rsidR="00BF059B">
        <w:t xml:space="preserve"> </w:t>
      </w:r>
      <w:r>
        <w:t>reviews</w:t>
      </w:r>
      <w:r w:rsidR="00BF059B">
        <w:t xml:space="preserve"> </w:t>
      </w:r>
      <w:r>
        <w:t>by</w:t>
      </w:r>
      <w:r w:rsidR="00BF059B">
        <w:t xml:space="preserve"> </w:t>
      </w:r>
      <w:r>
        <w:t>Trustees</w:t>
      </w:r>
      <w:r w:rsidR="00BF059B">
        <w:t xml:space="preserve"> </w:t>
      </w:r>
      <w:r>
        <w:t>of</w:t>
      </w:r>
      <w:r w:rsidR="00BF059B">
        <w:t xml:space="preserve"> </w:t>
      </w:r>
      <w:r>
        <w:t>financial</w:t>
      </w:r>
      <w:r w:rsidR="00BF059B">
        <w:t xml:space="preserve"> </w:t>
      </w:r>
      <w:r>
        <w:t>reports</w:t>
      </w:r>
      <w:r w:rsidR="00BF059B">
        <w:t xml:space="preserve"> </w:t>
      </w:r>
      <w:r>
        <w:t>which</w:t>
      </w:r>
      <w:r w:rsidR="00BF059B">
        <w:t xml:space="preserve"> </w:t>
      </w:r>
      <w:r>
        <w:t>indicate</w:t>
      </w:r>
      <w:r w:rsidR="00BF059B">
        <w:t xml:space="preserve"> </w:t>
      </w:r>
      <w:r>
        <w:t>financial</w:t>
      </w:r>
      <w:r w:rsidR="00BF059B">
        <w:t xml:space="preserve"> </w:t>
      </w:r>
      <w:r>
        <w:t>performance</w:t>
      </w:r>
      <w:r w:rsidR="00BF059B">
        <w:t xml:space="preserve"> </w:t>
      </w:r>
      <w:r>
        <w:t>against</w:t>
      </w:r>
      <w:r w:rsidR="00BF059B">
        <w:t xml:space="preserve"> </w:t>
      </w:r>
      <w:r>
        <w:t>budgets</w:t>
      </w:r>
      <w:r w:rsidR="00BF059B">
        <w:t xml:space="preserve"> </w:t>
      </w:r>
      <w:r>
        <w:t>and</w:t>
      </w:r>
      <w:r w:rsidR="00BF059B">
        <w:t xml:space="preserve"> </w:t>
      </w:r>
      <w:r>
        <w:t>longer-term</w:t>
      </w:r>
      <w:r w:rsidR="00BF059B">
        <w:t xml:space="preserve"> </w:t>
      </w:r>
      <w:r>
        <w:t>forecasts.</w:t>
      </w:r>
    </w:p>
    <w:p w14:paraId="3E59AB7F" w14:textId="42A4061B" w:rsidR="00BE13A8" w:rsidRDefault="00D70530" w:rsidP="00BA76E3">
      <w:pPr>
        <w:numPr>
          <w:ilvl w:val="0"/>
          <w:numId w:val="1"/>
        </w:numPr>
      </w:pPr>
      <w:r>
        <w:lastRenderedPageBreak/>
        <w:t>An</w:t>
      </w:r>
      <w:r w:rsidR="00BF059B">
        <w:t xml:space="preserve"> </w:t>
      </w:r>
      <w:r>
        <w:t>Internal</w:t>
      </w:r>
      <w:r w:rsidR="00BF059B">
        <w:t xml:space="preserve"> </w:t>
      </w:r>
      <w:r>
        <w:t>Audit</w:t>
      </w:r>
      <w:r w:rsidR="00BF059B">
        <w:t xml:space="preserve"> </w:t>
      </w:r>
      <w:r>
        <w:t>function</w:t>
      </w:r>
      <w:r w:rsidR="00BF059B">
        <w:t xml:space="preserve"> </w:t>
      </w:r>
      <w:r>
        <w:t>whose</w:t>
      </w:r>
      <w:r w:rsidR="00BF059B">
        <w:t xml:space="preserve"> </w:t>
      </w:r>
      <w:r>
        <w:t>primary</w:t>
      </w:r>
      <w:r w:rsidR="00BF059B">
        <w:t xml:space="preserve"> </w:t>
      </w:r>
      <w:r>
        <w:t>role</w:t>
      </w:r>
      <w:r w:rsidR="00BF059B">
        <w:t xml:space="preserve"> </w:t>
      </w:r>
      <w:r>
        <w:t>is</w:t>
      </w:r>
      <w:r w:rsidR="00BF059B">
        <w:t xml:space="preserve"> </w:t>
      </w:r>
      <w:r>
        <w:t>to</w:t>
      </w:r>
      <w:r w:rsidR="00BF059B">
        <w:t xml:space="preserve"> </w:t>
      </w:r>
      <w:r>
        <w:t>give</w:t>
      </w:r>
      <w:r w:rsidR="00BF059B">
        <w:t xml:space="preserve"> </w:t>
      </w:r>
      <w:r>
        <w:t>the</w:t>
      </w:r>
      <w:r w:rsidR="00BF059B">
        <w:t xml:space="preserve"> </w:t>
      </w:r>
      <w:r>
        <w:t>Accounting</w:t>
      </w:r>
      <w:r w:rsidR="00BF059B">
        <w:t xml:space="preserve"> </w:t>
      </w:r>
      <w:r>
        <w:t>Officer</w:t>
      </w:r>
      <w:r w:rsidR="00BF059B">
        <w:t xml:space="preserve"> </w:t>
      </w:r>
      <w:r>
        <w:t>and</w:t>
      </w:r>
      <w:r w:rsidR="00BF059B">
        <w:t xml:space="preserve"> </w:t>
      </w:r>
      <w:r>
        <w:t>Trustees</w:t>
      </w:r>
      <w:r w:rsidR="00BF059B">
        <w:t xml:space="preserve"> </w:t>
      </w:r>
      <w:r>
        <w:t>an</w:t>
      </w:r>
      <w:r w:rsidR="00BF059B">
        <w:t xml:space="preserve"> </w:t>
      </w:r>
      <w:r>
        <w:t>independent</w:t>
      </w:r>
      <w:r w:rsidR="00BF059B">
        <w:t xml:space="preserve"> </w:t>
      </w:r>
      <w:r>
        <w:t>and</w:t>
      </w:r>
      <w:r w:rsidR="00BF059B">
        <w:t xml:space="preserve"> </w:t>
      </w:r>
      <w:r>
        <w:t>objective</w:t>
      </w:r>
      <w:r w:rsidR="00BF059B">
        <w:t xml:space="preserve"> </w:t>
      </w:r>
      <w:r>
        <w:t>opinion</w:t>
      </w:r>
      <w:r w:rsidR="00BF059B">
        <w:t xml:space="preserve"> </w:t>
      </w:r>
      <w:r>
        <w:t>on</w:t>
      </w:r>
      <w:r w:rsidR="00BF059B">
        <w:t xml:space="preserve"> </w:t>
      </w:r>
      <w:r>
        <w:t>the</w:t>
      </w:r>
      <w:r w:rsidR="00BF059B">
        <w:t xml:space="preserve"> </w:t>
      </w:r>
      <w:r>
        <w:t>Museum’s</w:t>
      </w:r>
      <w:r w:rsidR="00BF059B">
        <w:t xml:space="preserve"> </w:t>
      </w:r>
      <w:r>
        <w:t>risk</w:t>
      </w:r>
      <w:r w:rsidR="00BF059B">
        <w:t xml:space="preserve"> </w:t>
      </w:r>
      <w:r>
        <w:t>management,</w:t>
      </w:r>
      <w:r w:rsidR="00BF059B">
        <w:t xml:space="preserve"> </w:t>
      </w:r>
      <w:r>
        <w:t>internal</w:t>
      </w:r>
      <w:r w:rsidR="00BF059B">
        <w:t xml:space="preserve"> </w:t>
      </w:r>
      <w:r>
        <w:t>control</w:t>
      </w:r>
      <w:r w:rsidR="00BF059B">
        <w:t xml:space="preserve"> </w:t>
      </w:r>
      <w:r>
        <w:t>and</w:t>
      </w:r>
      <w:r w:rsidR="00BF059B">
        <w:t xml:space="preserve"> </w:t>
      </w:r>
      <w:r>
        <w:t>governance.</w:t>
      </w:r>
      <w:r w:rsidR="00BF059B">
        <w:t xml:space="preserve"> </w:t>
      </w:r>
      <w:r>
        <w:t>The</w:t>
      </w:r>
      <w:r w:rsidR="00BF059B">
        <w:t xml:space="preserve"> </w:t>
      </w:r>
      <w:r>
        <w:t>Horniman</w:t>
      </w:r>
      <w:r w:rsidR="00BF059B">
        <w:t xml:space="preserve"> </w:t>
      </w:r>
      <w:r>
        <w:t>uses</w:t>
      </w:r>
      <w:r w:rsidR="00BF059B">
        <w:t xml:space="preserve"> </w:t>
      </w:r>
      <w:r>
        <w:t>an</w:t>
      </w:r>
      <w:r w:rsidR="00BF059B">
        <w:t xml:space="preserve"> </w:t>
      </w:r>
      <w:r>
        <w:t>externally</w:t>
      </w:r>
      <w:r w:rsidR="00BF059B">
        <w:t xml:space="preserve"> </w:t>
      </w:r>
      <w:r>
        <w:t>provided</w:t>
      </w:r>
      <w:r w:rsidR="00BF059B">
        <w:t xml:space="preserve"> </w:t>
      </w:r>
      <w:r>
        <w:t>internal</w:t>
      </w:r>
      <w:r w:rsidR="00BF059B">
        <w:t xml:space="preserve"> </w:t>
      </w:r>
      <w:r>
        <w:t>audit</w:t>
      </w:r>
      <w:r w:rsidR="00BF059B">
        <w:t xml:space="preserve"> </w:t>
      </w:r>
      <w:r>
        <w:t>service,</w:t>
      </w:r>
      <w:r w:rsidR="00BF059B">
        <w:t xml:space="preserve"> </w:t>
      </w:r>
      <w:r>
        <w:t>which</w:t>
      </w:r>
      <w:r w:rsidR="00BF059B">
        <w:t xml:space="preserve"> </w:t>
      </w:r>
      <w:r>
        <w:t>operates</w:t>
      </w:r>
      <w:r w:rsidR="00BF059B">
        <w:t xml:space="preserve"> </w:t>
      </w:r>
      <w:r>
        <w:t>to</w:t>
      </w:r>
      <w:r w:rsidR="00BF059B">
        <w:t xml:space="preserve"> </w:t>
      </w:r>
      <w:r>
        <w:t>standards</w:t>
      </w:r>
      <w:r w:rsidR="00BF059B">
        <w:t xml:space="preserve"> </w:t>
      </w:r>
      <w:r>
        <w:t>defined</w:t>
      </w:r>
      <w:r w:rsidR="00BF059B">
        <w:t xml:space="preserve"> </w:t>
      </w:r>
      <w:r>
        <w:t>in</w:t>
      </w:r>
      <w:r w:rsidR="00BF059B">
        <w:t xml:space="preserve"> </w:t>
      </w:r>
      <w:r>
        <w:t>the</w:t>
      </w:r>
      <w:r w:rsidR="00BF059B">
        <w:t xml:space="preserve"> </w:t>
      </w:r>
      <w:r>
        <w:t>Public</w:t>
      </w:r>
      <w:r w:rsidR="00BF059B">
        <w:t xml:space="preserve"> </w:t>
      </w:r>
      <w:r>
        <w:t>Sector</w:t>
      </w:r>
      <w:r w:rsidR="00BF059B">
        <w:t xml:space="preserve"> </w:t>
      </w:r>
      <w:r>
        <w:t>Internal</w:t>
      </w:r>
      <w:r w:rsidR="00BF059B">
        <w:t xml:space="preserve"> </w:t>
      </w:r>
      <w:r>
        <w:t>Audit</w:t>
      </w:r>
      <w:r w:rsidR="00BF059B">
        <w:t xml:space="preserve"> </w:t>
      </w:r>
      <w:r>
        <w:t>Standards.</w:t>
      </w:r>
    </w:p>
    <w:p w14:paraId="1114F271" w14:textId="1D8685AE" w:rsidR="00BE13A8" w:rsidRDefault="00D70530" w:rsidP="00BA76E3">
      <w:pPr>
        <w:numPr>
          <w:ilvl w:val="0"/>
          <w:numId w:val="1"/>
        </w:numPr>
      </w:pPr>
      <w:r>
        <w:t>The</w:t>
      </w:r>
      <w:r w:rsidR="00BF059B">
        <w:t xml:space="preserve"> </w:t>
      </w:r>
      <w:r>
        <w:t>work</w:t>
      </w:r>
      <w:r w:rsidR="00BF059B">
        <w:t xml:space="preserve"> </w:t>
      </w:r>
      <w:r>
        <w:t>of</w:t>
      </w:r>
      <w:r w:rsidR="00BF059B">
        <w:t xml:space="preserve"> </w:t>
      </w:r>
      <w:r>
        <w:t>the</w:t>
      </w:r>
      <w:r w:rsidR="00BF059B">
        <w:t xml:space="preserve"> </w:t>
      </w:r>
      <w:r>
        <w:t>internal</w:t>
      </w:r>
      <w:r w:rsidR="00BF059B">
        <w:t xml:space="preserve"> </w:t>
      </w:r>
      <w:r>
        <w:t>auditors</w:t>
      </w:r>
      <w:r w:rsidR="00BF059B">
        <w:t xml:space="preserve"> </w:t>
      </w:r>
      <w:r>
        <w:t>is</w:t>
      </w:r>
      <w:r w:rsidR="00BF059B">
        <w:t xml:space="preserve"> </w:t>
      </w:r>
      <w:r>
        <w:t>informed</w:t>
      </w:r>
      <w:r w:rsidR="00BF059B">
        <w:t xml:space="preserve"> </w:t>
      </w:r>
      <w:r>
        <w:t>by</w:t>
      </w:r>
      <w:r w:rsidR="00BF059B">
        <w:t xml:space="preserve"> </w:t>
      </w:r>
      <w:r>
        <w:t>the</w:t>
      </w:r>
      <w:r w:rsidR="00BF059B">
        <w:t xml:space="preserve"> </w:t>
      </w:r>
      <w:r>
        <w:t>analysis</w:t>
      </w:r>
      <w:r w:rsidR="00BF059B">
        <w:t xml:space="preserve"> </w:t>
      </w:r>
      <w:r>
        <w:t>of</w:t>
      </w:r>
      <w:r w:rsidR="00BF059B">
        <w:t xml:space="preserve"> </w:t>
      </w:r>
      <w:r>
        <w:t>risk</w:t>
      </w:r>
      <w:r w:rsidR="00BF059B">
        <w:t xml:space="preserve"> </w:t>
      </w:r>
      <w:r>
        <w:t>to</w:t>
      </w:r>
      <w:r w:rsidR="00BF059B">
        <w:t xml:space="preserve"> </w:t>
      </w:r>
      <w:r>
        <w:t>which</w:t>
      </w:r>
      <w:r w:rsidR="00BF059B">
        <w:t xml:space="preserve"> </w:t>
      </w:r>
      <w:r>
        <w:t>the</w:t>
      </w:r>
      <w:r w:rsidR="00BF059B">
        <w:t xml:space="preserve"> </w:t>
      </w:r>
      <w:r>
        <w:t>Horniman</w:t>
      </w:r>
      <w:r w:rsidR="00BF059B">
        <w:t xml:space="preserve"> </w:t>
      </w:r>
      <w:r>
        <w:t>is</w:t>
      </w:r>
      <w:r w:rsidR="00BF059B">
        <w:t xml:space="preserve"> </w:t>
      </w:r>
      <w:r>
        <w:t>exposed,</w:t>
      </w:r>
      <w:r w:rsidR="00BF059B">
        <w:t xml:space="preserve"> </w:t>
      </w:r>
      <w:r>
        <w:t>and</w:t>
      </w:r>
      <w:r w:rsidR="00BF059B">
        <w:t xml:space="preserve"> </w:t>
      </w:r>
      <w:r>
        <w:t>annual</w:t>
      </w:r>
      <w:r w:rsidR="00BF059B">
        <w:t xml:space="preserve"> </w:t>
      </w:r>
      <w:r>
        <w:t>internal</w:t>
      </w:r>
      <w:r w:rsidR="00BF059B">
        <w:t xml:space="preserve"> </w:t>
      </w:r>
      <w:r>
        <w:t>audit</w:t>
      </w:r>
      <w:r w:rsidR="00BF059B">
        <w:t xml:space="preserve"> </w:t>
      </w:r>
      <w:r>
        <w:t>plans</w:t>
      </w:r>
      <w:r w:rsidR="00BF059B">
        <w:t xml:space="preserve"> </w:t>
      </w:r>
      <w:r>
        <w:t>are</w:t>
      </w:r>
      <w:r w:rsidR="00BF059B">
        <w:t xml:space="preserve"> </w:t>
      </w:r>
      <w:r>
        <w:t>based</w:t>
      </w:r>
      <w:r w:rsidR="00BF059B">
        <w:t xml:space="preserve"> </w:t>
      </w:r>
      <w:r>
        <w:t>on</w:t>
      </w:r>
      <w:r w:rsidR="00BF059B">
        <w:t xml:space="preserve"> </w:t>
      </w:r>
      <w:r>
        <w:t>this</w:t>
      </w:r>
      <w:r w:rsidR="00BF059B">
        <w:t xml:space="preserve"> </w:t>
      </w:r>
      <w:r>
        <w:t>analysis.</w:t>
      </w:r>
      <w:r w:rsidR="00BF059B">
        <w:t xml:space="preserve"> </w:t>
      </w:r>
      <w:r>
        <w:t>The</w:t>
      </w:r>
      <w:r w:rsidR="00BF059B">
        <w:t xml:space="preserve"> </w:t>
      </w:r>
      <w:r>
        <w:t>analysis</w:t>
      </w:r>
      <w:r w:rsidR="00BF059B">
        <w:t xml:space="preserve"> </w:t>
      </w:r>
      <w:r>
        <w:t>of</w:t>
      </w:r>
      <w:r w:rsidR="00BF059B">
        <w:t xml:space="preserve"> </w:t>
      </w:r>
      <w:r>
        <w:t>risk</w:t>
      </w:r>
      <w:r w:rsidR="00BF059B">
        <w:t xml:space="preserve"> </w:t>
      </w:r>
      <w:r>
        <w:t>and</w:t>
      </w:r>
      <w:r w:rsidR="00BF059B">
        <w:t xml:space="preserve"> </w:t>
      </w:r>
      <w:r>
        <w:t>the</w:t>
      </w:r>
      <w:r w:rsidR="00BF059B">
        <w:t xml:space="preserve"> </w:t>
      </w:r>
      <w:r>
        <w:t>internal</w:t>
      </w:r>
      <w:r w:rsidR="00BF059B">
        <w:t xml:space="preserve"> </w:t>
      </w:r>
      <w:r>
        <w:t>audit</w:t>
      </w:r>
      <w:r w:rsidR="00BF059B">
        <w:t xml:space="preserve"> </w:t>
      </w:r>
      <w:r>
        <w:t>plans</w:t>
      </w:r>
      <w:r w:rsidR="00BF059B">
        <w:t xml:space="preserve"> </w:t>
      </w:r>
      <w:r>
        <w:t>are</w:t>
      </w:r>
      <w:r w:rsidR="00BF059B">
        <w:t xml:space="preserve"> </w:t>
      </w:r>
      <w:r>
        <w:t>drawn</w:t>
      </w:r>
      <w:r w:rsidR="00BF059B">
        <w:t xml:space="preserve"> </w:t>
      </w:r>
      <w:r>
        <w:t>up</w:t>
      </w:r>
      <w:r w:rsidR="00BF059B">
        <w:t xml:space="preserve"> </w:t>
      </w:r>
      <w:r>
        <w:t>in</w:t>
      </w:r>
      <w:r w:rsidR="00BF059B">
        <w:t xml:space="preserve"> </w:t>
      </w:r>
      <w:r>
        <w:t>consultation</w:t>
      </w:r>
      <w:r w:rsidR="00BF059B">
        <w:t xml:space="preserve"> </w:t>
      </w:r>
      <w:r>
        <w:t>with</w:t>
      </w:r>
      <w:r w:rsidR="00BF059B">
        <w:t xml:space="preserve"> </w:t>
      </w:r>
      <w:r>
        <w:t>the</w:t>
      </w:r>
      <w:r w:rsidR="00BF059B">
        <w:t xml:space="preserve"> </w:t>
      </w:r>
      <w:r>
        <w:t>Audit</w:t>
      </w:r>
      <w:r w:rsidR="00BF059B">
        <w:t xml:space="preserve"> </w:t>
      </w:r>
      <w:r>
        <w:t>&amp;</w:t>
      </w:r>
      <w:r w:rsidR="00BF059B">
        <w:t xml:space="preserve"> </w:t>
      </w:r>
      <w:r>
        <w:t>Risk</w:t>
      </w:r>
      <w:r w:rsidR="00BF059B">
        <w:t xml:space="preserve"> </w:t>
      </w:r>
      <w:r>
        <w:t>Committee</w:t>
      </w:r>
      <w:r w:rsidR="00BF059B">
        <w:t xml:space="preserve"> </w:t>
      </w:r>
      <w:r>
        <w:t>and</w:t>
      </w:r>
      <w:r w:rsidR="00BF059B">
        <w:t xml:space="preserve"> </w:t>
      </w:r>
      <w:r>
        <w:t>approved</w:t>
      </w:r>
      <w:r w:rsidR="00BF059B">
        <w:t xml:space="preserve"> </w:t>
      </w:r>
      <w:r>
        <w:t>by</w:t>
      </w:r>
      <w:r w:rsidR="00BF059B">
        <w:t xml:space="preserve"> </w:t>
      </w:r>
      <w:r>
        <w:t>the</w:t>
      </w:r>
      <w:r w:rsidR="00BF059B">
        <w:t xml:space="preserve"> </w:t>
      </w:r>
      <w:r>
        <w:t>Board.</w:t>
      </w:r>
    </w:p>
    <w:p w14:paraId="6BA5A194" w14:textId="77777777" w:rsidR="00BE13A8" w:rsidRDefault="00BE13A8" w:rsidP="00BA76E3"/>
    <w:p w14:paraId="4C34A460" w14:textId="5CF9B2A7" w:rsidR="00BE13A8" w:rsidRDefault="00D70530" w:rsidP="00BA76E3">
      <w:r>
        <w:t>In</w:t>
      </w:r>
      <w:r w:rsidR="00BF059B">
        <w:t xml:space="preserve"> </w:t>
      </w:r>
      <w:r>
        <w:t>addition,</w:t>
      </w:r>
      <w:r w:rsidR="00BF059B">
        <w:t xml:space="preserve"> </w:t>
      </w:r>
      <w:r>
        <w:t>risks,</w:t>
      </w:r>
      <w:r w:rsidR="00BF059B">
        <w:t xml:space="preserve"> </w:t>
      </w:r>
      <w:r>
        <w:t>including</w:t>
      </w:r>
      <w:r w:rsidR="00BF059B">
        <w:t xml:space="preserve"> </w:t>
      </w:r>
      <w:r>
        <w:t>information</w:t>
      </w:r>
      <w:r w:rsidR="00BF059B">
        <w:t xml:space="preserve"> </w:t>
      </w:r>
      <w:r>
        <w:t>risks,</w:t>
      </w:r>
      <w:r w:rsidR="00BF059B">
        <w:t xml:space="preserve"> </w:t>
      </w:r>
      <w:r>
        <w:t>have</w:t>
      </w:r>
      <w:r w:rsidR="00BF059B">
        <w:t xml:space="preserve"> </w:t>
      </w:r>
      <w:r>
        <w:t>been</w:t>
      </w:r>
      <w:r w:rsidR="00BF059B">
        <w:t xml:space="preserve"> </w:t>
      </w:r>
      <w:r>
        <w:t>assessed</w:t>
      </w:r>
      <w:r w:rsidR="00BF059B">
        <w:t xml:space="preserve"> </w:t>
      </w:r>
      <w:r>
        <w:t>under</w:t>
      </w:r>
      <w:r w:rsidR="00BF059B">
        <w:t xml:space="preserve"> </w:t>
      </w:r>
      <w:r>
        <w:t>the</w:t>
      </w:r>
      <w:r w:rsidR="00BF059B">
        <w:t xml:space="preserve"> </w:t>
      </w:r>
      <w:r>
        <w:t>Government’s</w:t>
      </w:r>
      <w:r w:rsidR="00BF059B">
        <w:t xml:space="preserve"> </w:t>
      </w:r>
      <w:r>
        <w:t>security</w:t>
      </w:r>
      <w:r w:rsidR="00BF059B">
        <w:t xml:space="preserve"> </w:t>
      </w:r>
      <w:r>
        <w:t>policy</w:t>
      </w:r>
      <w:r w:rsidR="00BF059B">
        <w:t xml:space="preserve"> </w:t>
      </w:r>
      <w:r>
        <w:t>framework,</w:t>
      </w:r>
      <w:r w:rsidR="00BF059B">
        <w:t xml:space="preserve"> </w:t>
      </w:r>
      <w:r>
        <w:t>and</w:t>
      </w:r>
      <w:r w:rsidR="00BF059B">
        <w:t xml:space="preserve"> </w:t>
      </w:r>
      <w:r>
        <w:t>proportionate</w:t>
      </w:r>
      <w:r w:rsidR="00BF059B">
        <w:t xml:space="preserve"> </w:t>
      </w:r>
      <w:r>
        <w:t>controls</w:t>
      </w:r>
      <w:r w:rsidR="00BF059B">
        <w:t xml:space="preserve"> </w:t>
      </w:r>
      <w:r>
        <w:t>have</w:t>
      </w:r>
      <w:r w:rsidR="00BF059B">
        <w:t xml:space="preserve"> </w:t>
      </w:r>
      <w:r>
        <w:t>been</w:t>
      </w:r>
      <w:r w:rsidR="00BF059B">
        <w:t xml:space="preserve"> </w:t>
      </w:r>
      <w:r>
        <w:t>put</w:t>
      </w:r>
      <w:r w:rsidR="00BF059B">
        <w:t xml:space="preserve"> </w:t>
      </w:r>
      <w:r>
        <w:t>in</w:t>
      </w:r>
      <w:r w:rsidR="00BF059B">
        <w:t xml:space="preserve"> </w:t>
      </w:r>
      <w:r>
        <w:t>place</w:t>
      </w:r>
      <w:r w:rsidR="00BF059B">
        <w:t xml:space="preserve"> </w:t>
      </w:r>
      <w:r>
        <w:t>given</w:t>
      </w:r>
      <w:r w:rsidR="00BF059B">
        <w:t xml:space="preserve"> </w:t>
      </w:r>
      <w:r>
        <w:t>our</w:t>
      </w:r>
      <w:r w:rsidR="00BF059B">
        <w:t xml:space="preserve"> </w:t>
      </w:r>
      <w:r>
        <w:t>view</w:t>
      </w:r>
      <w:r w:rsidR="00BF059B">
        <w:t xml:space="preserve"> </w:t>
      </w:r>
      <w:r>
        <w:t>of</w:t>
      </w:r>
      <w:r w:rsidR="00BF059B">
        <w:t xml:space="preserve"> </w:t>
      </w:r>
      <w:r>
        <w:t>the</w:t>
      </w:r>
      <w:r w:rsidR="00BF059B">
        <w:t xml:space="preserve"> </w:t>
      </w:r>
      <w:r>
        <w:t>assessed</w:t>
      </w:r>
      <w:r w:rsidR="00BF059B">
        <w:t xml:space="preserve"> </w:t>
      </w:r>
      <w:r>
        <w:t>risks.</w:t>
      </w:r>
      <w:r w:rsidR="00BF059B">
        <w:t xml:space="preserve"> </w:t>
      </w:r>
    </w:p>
    <w:p w14:paraId="1A92C939" w14:textId="73285D3F" w:rsidR="00BE13A8" w:rsidRDefault="00D70530" w:rsidP="00BA76E3">
      <w:r>
        <w:rPr>
          <w:i/>
        </w:rPr>
        <w:br/>
      </w:r>
      <w:r>
        <w:t>The</w:t>
      </w:r>
      <w:r w:rsidR="00BF059B">
        <w:t xml:space="preserve"> </w:t>
      </w:r>
      <w:r>
        <w:t>Horniman</w:t>
      </w:r>
      <w:r w:rsidR="00BF059B">
        <w:t xml:space="preserve"> </w:t>
      </w:r>
      <w:r>
        <w:t>does</w:t>
      </w:r>
      <w:r w:rsidR="00BF059B">
        <w:t xml:space="preserve"> </w:t>
      </w:r>
      <w:r>
        <w:t>not</w:t>
      </w:r>
      <w:r w:rsidR="00BF059B">
        <w:t xml:space="preserve"> </w:t>
      </w:r>
      <w:r>
        <w:t>maintain</w:t>
      </w:r>
      <w:r w:rsidR="00BF059B">
        <w:t xml:space="preserve"> </w:t>
      </w:r>
      <w:r>
        <w:t>any</w:t>
      </w:r>
      <w:r w:rsidR="00BF059B">
        <w:t xml:space="preserve"> </w:t>
      </w:r>
      <w:r>
        <w:t>accounts</w:t>
      </w:r>
      <w:r w:rsidR="00BF059B">
        <w:t xml:space="preserve"> </w:t>
      </w:r>
      <w:r>
        <w:t>or</w:t>
      </w:r>
      <w:r w:rsidR="00BF059B">
        <w:t xml:space="preserve"> </w:t>
      </w:r>
      <w:r>
        <w:t>hold</w:t>
      </w:r>
      <w:r w:rsidR="00BF059B">
        <w:t xml:space="preserve"> </w:t>
      </w:r>
      <w:r>
        <w:t>any</w:t>
      </w:r>
      <w:r w:rsidR="00BF059B">
        <w:t xml:space="preserve"> </w:t>
      </w:r>
      <w:r>
        <w:t>funds,</w:t>
      </w:r>
      <w:r w:rsidR="00BF059B">
        <w:t xml:space="preserve"> </w:t>
      </w:r>
      <w:r>
        <w:t>investments,</w:t>
      </w:r>
      <w:r w:rsidR="00BF059B">
        <w:t xml:space="preserve"> </w:t>
      </w:r>
      <w:r>
        <w:t>donations</w:t>
      </w:r>
      <w:r w:rsidR="00BF059B">
        <w:t xml:space="preserve"> </w:t>
      </w:r>
      <w:r>
        <w:t>or</w:t>
      </w:r>
      <w:r w:rsidR="00BF059B">
        <w:t xml:space="preserve"> </w:t>
      </w:r>
      <w:r>
        <w:t>economic</w:t>
      </w:r>
      <w:r w:rsidR="00BF059B">
        <w:t xml:space="preserve"> </w:t>
      </w:r>
      <w:r>
        <w:t>resources</w:t>
      </w:r>
      <w:r w:rsidR="00BF059B">
        <w:t xml:space="preserve"> </w:t>
      </w:r>
      <w:r>
        <w:t>from</w:t>
      </w:r>
      <w:r w:rsidR="00BF059B">
        <w:t xml:space="preserve"> </w:t>
      </w:r>
      <w:r>
        <w:t>the</w:t>
      </w:r>
      <w:r w:rsidR="00BF059B">
        <w:t xml:space="preserve"> </w:t>
      </w:r>
      <w:r>
        <w:t>persons/organisations</w:t>
      </w:r>
      <w:r w:rsidR="00BF059B">
        <w:t xml:space="preserve"> </w:t>
      </w:r>
      <w:r>
        <w:t>listed</w:t>
      </w:r>
      <w:r w:rsidR="00BF059B">
        <w:t xml:space="preserve"> </w:t>
      </w:r>
      <w:r>
        <w:t>in</w:t>
      </w:r>
      <w:r w:rsidR="00BF059B">
        <w:t xml:space="preserve"> </w:t>
      </w:r>
      <w:r>
        <w:t>the</w:t>
      </w:r>
      <w:r w:rsidR="00BF059B">
        <w:t xml:space="preserve"> </w:t>
      </w:r>
      <w:r>
        <w:t>latest</w:t>
      </w:r>
      <w:r w:rsidR="00BF059B">
        <w:t xml:space="preserve"> </w:t>
      </w:r>
      <w:r>
        <w:t>HM</w:t>
      </w:r>
      <w:r w:rsidR="00BF059B">
        <w:t xml:space="preserve"> </w:t>
      </w:r>
      <w:r>
        <w:t>Treasury</w:t>
      </w:r>
      <w:r w:rsidR="00BF059B">
        <w:t xml:space="preserve"> </w:t>
      </w:r>
      <w:r>
        <w:t>Notice</w:t>
      </w:r>
      <w:r w:rsidR="00BF059B">
        <w:t xml:space="preserve"> </w:t>
      </w:r>
      <w:r>
        <w:t>on</w:t>
      </w:r>
      <w:r w:rsidR="00BF059B">
        <w:t xml:space="preserve"> </w:t>
      </w:r>
      <w:r>
        <w:t>Financial</w:t>
      </w:r>
      <w:r w:rsidR="00BF059B">
        <w:t xml:space="preserve"> </w:t>
      </w:r>
      <w:r>
        <w:t>Sanctions,</w:t>
      </w:r>
      <w:r w:rsidR="00BF059B">
        <w:t xml:space="preserve"> </w:t>
      </w:r>
      <w:r>
        <w:t>Russia.</w:t>
      </w:r>
    </w:p>
    <w:p w14:paraId="0C3E5B17" w14:textId="77777777" w:rsidR="00BE13A8" w:rsidRDefault="00BE13A8" w:rsidP="00BA76E3"/>
    <w:p w14:paraId="4F392A7E" w14:textId="135E8108" w:rsidR="00BE13A8" w:rsidRDefault="00D70530" w:rsidP="00BA76E3">
      <w:pPr>
        <w:pStyle w:val="Heading3"/>
      </w:pPr>
      <w:r>
        <w:t>Review</w:t>
      </w:r>
      <w:r w:rsidR="00BF059B">
        <w:t xml:space="preserve"> </w:t>
      </w:r>
      <w:r>
        <w:t>of</w:t>
      </w:r>
      <w:r w:rsidR="00BF059B">
        <w:t xml:space="preserve"> </w:t>
      </w:r>
      <w:r>
        <w:t>effectiveness</w:t>
      </w:r>
    </w:p>
    <w:p w14:paraId="5F1FF2E5" w14:textId="77777777" w:rsidR="00BE13A8" w:rsidRDefault="00BE13A8" w:rsidP="00BA76E3">
      <w:pPr>
        <w:rPr>
          <w:b/>
        </w:rPr>
      </w:pPr>
    </w:p>
    <w:p w14:paraId="67B63433" w14:textId="595C8850" w:rsidR="00BE13A8" w:rsidRDefault="00D70530" w:rsidP="00BA76E3">
      <w:r>
        <w:t>As</w:t>
      </w:r>
      <w:r w:rsidR="00BF059B">
        <w:t xml:space="preserve"> </w:t>
      </w:r>
      <w:r>
        <w:t>Accounting</w:t>
      </w:r>
      <w:r w:rsidR="00BF059B">
        <w:t xml:space="preserve"> </w:t>
      </w:r>
      <w:r>
        <w:t>Officer</w:t>
      </w:r>
      <w:r w:rsidR="00BF059B">
        <w:t xml:space="preserve"> </w:t>
      </w:r>
      <w:r>
        <w:t>and</w:t>
      </w:r>
      <w:r w:rsidR="00BF059B">
        <w:t xml:space="preserve"> </w:t>
      </w:r>
      <w:r>
        <w:t>Trustees,</w:t>
      </w:r>
      <w:r w:rsidR="00BF059B">
        <w:t xml:space="preserve"> </w:t>
      </w:r>
      <w:r>
        <w:t>we</w:t>
      </w:r>
      <w:r w:rsidR="00BF059B">
        <w:t xml:space="preserve"> </w:t>
      </w:r>
      <w:r>
        <w:t>are</w:t>
      </w:r>
      <w:r w:rsidR="00BF059B">
        <w:t xml:space="preserve"> </w:t>
      </w:r>
      <w:r>
        <w:t>responsible</w:t>
      </w:r>
      <w:r w:rsidR="00BF059B">
        <w:t xml:space="preserve"> </w:t>
      </w:r>
      <w:r>
        <w:t>for</w:t>
      </w:r>
      <w:r w:rsidR="00BF059B">
        <w:t xml:space="preserve"> </w:t>
      </w:r>
      <w:r>
        <w:t>reviewing</w:t>
      </w:r>
      <w:r w:rsidR="00BF059B">
        <w:t xml:space="preserve"> </w:t>
      </w:r>
      <w:r>
        <w:t>the</w:t>
      </w:r>
      <w:r w:rsidR="00BF059B">
        <w:t xml:space="preserve"> </w:t>
      </w:r>
      <w:r>
        <w:t>effectiveness</w:t>
      </w:r>
      <w:r w:rsidR="00BF059B">
        <w:t xml:space="preserve"> </w:t>
      </w:r>
      <w:r>
        <w:t>of</w:t>
      </w:r>
      <w:r w:rsidR="00BF059B">
        <w:t xml:space="preserve"> </w:t>
      </w:r>
      <w:r>
        <w:t>the</w:t>
      </w:r>
      <w:r w:rsidR="00BF059B">
        <w:t xml:space="preserve"> </w:t>
      </w:r>
      <w:r>
        <w:t>Horniman’s</w:t>
      </w:r>
      <w:r w:rsidR="00BF059B">
        <w:t xml:space="preserve"> </w:t>
      </w:r>
      <w:r>
        <w:t>governance</w:t>
      </w:r>
      <w:r w:rsidR="00BF059B">
        <w:t xml:space="preserve"> </w:t>
      </w:r>
      <w:r>
        <w:t>framework,</w:t>
      </w:r>
      <w:r w:rsidR="00BF059B">
        <w:t xml:space="preserve"> </w:t>
      </w:r>
      <w:r>
        <w:t>including</w:t>
      </w:r>
      <w:r w:rsidR="00BF059B">
        <w:t xml:space="preserve"> </w:t>
      </w:r>
      <w:r>
        <w:t>the</w:t>
      </w:r>
      <w:r w:rsidR="00BF059B">
        <w:t xml:space="preserve"> </w:t>
      </w:r>
      <w:r>
        <w:t>Corporate</w:t>
      </w:r>
      <w:r w:rsidR="00BF059B">
        <w:t xml:space="preserve"> </w:t>
      </w:r>
      <w:r>
        <w:t>Governance</w:t>
      </w:r>
      <w:r w:rsidR="00BF059B">
        <w:t xml:space="preserve"> </w:t>
      </w:r>
      <w:r>
        <w:t>Code</w:t>
      </w:r>
      <w:r w:rsidR="00BF059B">
        <w:t xml:space="preserve"> </w:t>
      </w:r>
      <w:r>
        <w:t>and</w:t>
      </w:r>
      <w:r w:rsidR="00BF059B">
        <w:t xml:space="preserve"> </w:t>
      </w:r>
      <w:r>
        <w:t>system</w:t>
      </w:r>
      <w:r w:rsidR="00BF059B">
        <w:t xml:space="preserve"> </w:t>
      </w:r>
      <w:r>
        <w:t>of</w:t>
      </w:r>
      <w:r w:rsidR="00BF059B">
        <w:t xml:space="preserve"> </w:t>
      </w:r>
      <w:r>
        <w:t>internal</w:t>
      </w:r>
      <w:r w:rsidR="00BF059B">
        <w:t xml:space="preserve"> </w:t>
      </w:r>
      <w:r>
        <w:t>control.</w:t>
      </w:r>
    </w:p>
    <w:p w14:paraId="53FD6FC7" w14:textId="77777777" w:rsidR="00BE13A8" w:rsidRDefault="00BE13A8" w:rsidP="00BA76E3">
      <w:pPr>
        <w:rPr>
          <w:i/>
        </w:rPr>
      </w:pPr>
    </w:p>
    <w:p w14:paraId="3CB60AAC" w14:textId="57773B6E" w:rsidR="00BE13A8" w:rsidRDefault="00D70530" w:rsidP="00BA76E3">
      <w:r>
        <w:t>The</w:t>
      </w:r>
      <w:r w:rsidR="00BF059B">
        <w:t xml:space="preserve"> </w:t>
      </w:r>
      <w:r>
        <w:t>Board</w:t>
      </w:r>
      <w:r w:rsidR="00BF059B">
        <w:t xml:space="preserve"> </w:t>
      </w:r>
      <w:r>
        <w:t>periodically</w:t>
      </w:r>
      <w:r w:rsidR="00BF059B">
        <w:t xml:space="preserve"> </w:t>
      </w:r>
      <w:r>
        <w:t>reviews</w:t>
      </w:r>
      <w:r w:rsidR="00BF059B">
        <w:t xml:space="preserve"> </w:t>
      </w:r>
      <w:r>
        <w:t>its</w:t>
      </w:r>
      <w:r w:rsidR="00BF059B">
        <w:t xml:space="preserve"> </w:t>
      </w:r>
      <w:r>
        <w:t>effectiveness</w:t>
      </w:r>
      <w:r w:rsidR="00BF059B">
        <w:t xml:space="preserve"> </w:t>
      </w:r>
      <w:r>
        <w:t>and</w:t>
      </w:r>
      <w:r w:rsidR="00BF059B">
        <w:t xml:space="preserve"> </w:t>
      </w:r>
      <w:r>
        <w:t>monitors</w:t>
      </w:r>
      <w:r w:rsidR="00BF059B">
        <w:t xml:space="preserve"> </w:t>
      </w:r>
      <w:r>
        <w:t>Board</w:t>
      </w:r>
      <w:r w:rsidR="00BF059B">
        <w:t xml:space="preserve"> </w:t>
      </w:r>
      <w:r>
        <w:t>attendance.</w:t>
      </w:r>
      <w:r w:rsidR="00BF059B">
        <w:t xml:space="preserve"> </w:t>
      </w:r>
      <w:r>
        <w:t>The</w:t>
      </w:r>
      <w:r w:rsidR="00BF059B">
        <w:t xml:space="preserve"> </w:t>
      </w:r>
      <w:r>
        <w:t>Board</w:t>
      </w:r>
      <w:r w:rsidR="00BF059B">
        <w:t xml:space="preserve"> </w:t>
      </w:r>
      <w:r>
        <w:t>met</w:t>
      </w:r>
      <w:r w:rsidR="00BF059B">
        <w:t xml:space="preserve"> </w:t>
      </w:r>
      <w:r>
        <w:t>five</w:t>
      </w:r>
      <w:r w:rsidR="00BF059B">
        <w:t xml:space="preserve"> </w:t>
      </w:r>
      <w:r>
        <w:t>times</w:t>
      </w:r>
      <w:r w:rsidR="00BF059B">
        <w:t xml:space="preserve"> </w:t>
      </w:r>
      <w:r>
        <w:t>during</w:t>
      </w:r>
      <w:r w:rsidR="00BF059B">
        <w:t xml:space="preserve"> </w:t>
      </w:r>
      <w:r>
        <w:t>the</w:t>
      </w:r>
      <w:r w:rsidR="00BF059B">
        <w:t xml:space="preserve"> </w:t>
      </w:r>
      <w:r>
        <w:t>year</w:t>
      </w:r>
      <w:r w:rsidR="00BF059B">
        <w:t xml:space="preserve"> </w:t>
      </w:r>
      <w:r>
        <w:t>ended</w:t>
      </w:r>
      <w:r w:rsidR="00BF059B">
        <w:t xml:space="preserve"> </w:t>
      </w:r>
      <w:r>
        <w:t>31</w:t>
      </w:r>
      <w:r w:rsidR="00BF059B">
        <w:t xml:space="preserve"> </w:t>
      </w:r>
      <w:r>
        <w:t>March</w:t>
      </w:r>
      <w:r w:rsidR="00BF059B">
        <w:t xml:space="preserve"> </w:t>
      </w:r>
      <w:r>
        <w:t>2025</w:t>
      </w:r>
      <w:r w:rsidR="00BF059B">
        <w:t xml:space="preserve"> </w:t>
      </w:r>
      <w:r>
        <w:t>via</w:t>
      </w:r>
      <w:r w:rsidR="00BF059B">
        <w:t xml:space="preserve"> </w:t>
      </w:r>
      <w:r>
        <w:t>video</w:t>
      </w:r>
      <w:r w:rsidR="00BF059B">
        <w:t xml:space="preserve"> </w:t>
      </w:r>
      <w:r>
        <w:t>conferencing</w:t>
      </w:r>
      <w:r w:rsidR="00BF059B">
        <w:t xml:space="preserve"> </w:t>
      </w:r>
      <w:r>
        <w:t>or</w:t>
      </w:r>
      <w:r w:rsidR="00BF059B">
        <w:t xml:space="preserve"> </w:t>
      </w:r>
      <w:r>
        <w:t>in</w:t>
      </w:r>
      <w:r w:rsidR="00BF059B">
        <w:t xml:space="preserve"> </w:t>
      </w:r>
      <w:r>
        <w:t>person.</w:t>
      </w:r>
    </w:p>
    <w:p w14:paraId="2EC4391C" w14:textId="77777777" w:rsidR="00BE13A8" w:rsidRDefault="00BE13A8" w:rsidP="00BA76E3">
      <w:pPr>
        <w:rPr>
          <w:i/>
        </w:rPr>
      </w:pPr>
    </w:p>
    <w:p w14:paraId="38CFABBB" w14:textId="2EA0020B" w:rsidR="00BE13A8" w:rsidRDefault="00D70530" w:rsidP="00BA76E3">
      <w:r>
        <w:t>The</w:t>
      </w:r>
      <w:r w:rsidR="00BF059B">
        <w:t xml:space="preserve"> </w:t>
      </w:r>
      <w:r>
        <w:t>Audit</w:t>
      </w:r>
      <w:r w:rsidR="00BF059B">
        <w:t xml:space="preserve"> </w:t>
      </w:r>
      <w:r>
        <w:t>&amp;</w:t>
      </w:r>
      <w:r w:rsidR="00BF059B">
        <w:t xml:space="preserve"> </w:t>
      </w:r>
      <w:r>
        <w:t>Risk</w:t>
      </w:r>
      <w:r w:rsidR="00BF059B">
        <w:t xml:space="preserve"> </w:t>
      </w:r>
      <w:r>
        <w:t>Committee</w:t>
      </w:r>
      <w:r w:rsidR="00BF059B">
        <w:t xml:space="preserve"> </w:t>
      </w:r>
      <w:r>
        <w:t>is</w:t>
      </w:r>
      <w:r w:rsidR="00BF059B">
        <w:t xml:space="preserve"> </w:t>
      </w:r>
      <w:r>
        <w:t>responsible</w:t>
      </w:r>
      <w:r w:rsidR="00BF059B">
        <w:t xml:space="preserve"> </w:t>
      </w:r>
      <w:r>
        <w:t>for</w:t>
      </w:r>
      <w:r w:rsidR="00BF059B">
        <w:t xml:space="preserve"> </w:t>
      </w:r>
      <w:r>
        <w:t>reviewing</w:t>
      </w:r>
      <w:r w:rsidR="00BF059B">
        <w:t xml:space="preserve"> </w:t>
      </w:r>
      <w:r>
        <w:t>the</w:t>
      </w:r>
      <w:r w:rsidR="00BF059B">
        <w:t xml:space="preserve"> </w:t>
      </w:r>
      <w:r>
        <w:t>effectiveness</w:t>
      </w:r>
      <w:r w:rsidR="00BF059B">
        <w:t xml:space="preserve"> </w:t>
      </w:r>
      <w:r>
        <w:t>of</w:t>
      </w:r>
      <w:r w:rsidR="00BF059B">
        <w:t xml:space="preserve"> </w:t>
      </w:r>
      <w:r>
        <w:t>both</w:t>
      </w:r>
      <w:r w:rsidR="00BF059B">
        <w:t xml:space="preserve"> </w:t>
      </w:r>
      <w:r>
        <w:t>internal</w:t>
      </w:r>
      <w:r w:rsidR="00BF059B">
        <w:t xml:space="preserve"> </w:t>
      </w:r>
      <w:r>
        <w:t>and</w:t>
      </w:r>
      <w:r w:rsidR="00BF059B">
        <w:t xml:space="preserve"> </w:t>
      </w:r>
      <w:r>
        <w:t>external</w:t>
      </w:r>
      <w:r w:rsidR="00BF059B">
        <w:t xml:space="preserve"> </w:t>
      </w:r>
      <w:r>
        <w:t>audits.</w:t>
      </w:r>
      <w:r w:rsidR="00BF059B">
        <w:t xml:space="preserve"> </w:t>
      </w:r>
      <w:r>
        <w:t>Both</w:t>
      </w:r>
      <w:r w:rsidR="00BF059B">
        <w:t xml:space="preserve"> </w:t>
      </w:r>
      <w:r>
        <w:t>contracts</w:t>
      </w:r>
      <w:r w:rsidR="00BF059B">
        <w:t xml:space="preserve"> </w:t>
      </w:r>
      <w:r>
        <w:t>are</w:t>
      </w:r>
      <w:r w:rsidR="00BF059B">
        <w:t xml:space="preserve"> </w:t>
      </w:r>
      <w:r>
        <w:t>put</w:t>
      </w:r>
      <w:r w:rsidR="00BF059B">
        <w:t xml:space="preserve"> </w:t>
      </w:r>
      <w:r>
        <w:t>out</w:t>
      </w:r>
      <w:r w:rsidR="00BF059B">
        <w:t xml:space="preserve"> </w:t>
      </w:r>
      <w:r>
        <w:t>to</w:t>
      </w:r>
      <w:r w:rsidR="00BF059B">
        <w:t xml:space="preserve"> </w:t>
      </w:r>
      <w:r>
        <w:t>tender</w:t>
      </w:r>
      <w:r w:rsidR="00BF059B">
        <w:t xml:space="preserve"> </w:t>
      </w:r>
      <w:r>
        <w:t>every</w:t>
      </w:r>
      <w:r w:rsidR="00BF059B">
        <w:t xml:space="preserve"> </w:t>
      </w:r>
      <w:r>
        <w:t>five</w:t>
      </w:r>
      <w:r w:rsidR="00BF059B">
        <w:t xml:space="preserve"> </w:t>
      </w:r>
      <w:r>
        <w:t>years.</w:t>
      </w:r>
      <w:r w:rsidR="00BF059B">
        <w:t xml:space="preserve"> </w:t>
      </w:r>
      <w:r>
        <w:t>The</w:t>
      </w:r>
      <w:r w:rsidR="00BF059B">
        <w:t xml:space="preserve"> </w:t>
      </w:r>
      <w:r>
        <w:t>external</w:t>
      </w:r>
      <w:r w:rsidR="00BF059B">
        <w:t xml:space="preserve"> </w:t>
      </w:r>
      <w:r>
        <w:t>audit</w:t>
      </w:r>
      <w:r w:rsidR="00BF059B">
        <w:t xml:space="preserve"> </w:t>
      </w:r>
      <w:r>
        <w:t>contract</w:t>
      </w:r>
      <w:r w:rsidR="00BF059B">
        <w:t xml:space="preserve"> </w:t>
      </w:r>
      <w:r>
        <w:t>was</w:t>
      </w:r>
      <w:r w:rsidR="00BF059B">
        <w:t xml:space="preserve"> </w:t>
      </w:r>
      <w:r>
        <w:t>re-tendered</w:t>
      </w:r>
      <w:r w:rsidR="00BF059B">
        <w:t xml:space="preserve"> </w:t>
      </w:r>
      <w:r>
        <w:t>during</w:t>
      </w:r>
      <w:r w:rsidR="00BF059B">
        <w:t xml:space="preserve"> </w:t>
      </w:r>
      <w:proofErr w:type="gramStart"/>
      <w:r>
        <w:t>2020/21</w:t>
      </w:r>
      <w:proofErr w:type="gramEnd"/>
      <w:r w:rsidR="00BF059B">
        <w:t xml:space="preserve"> </w:t>
      </w:r>
      <w:r>
        <w:t>and</w:t>
      </w:r>
      <w:r w:rsidR="00BF059B">
        <w:t xml:space="preserve"> </w:t>
      </w:r>
      <w:r>
        <w:t>Moore</w:t>
      </w:r>
      <w:r w:rsidR="00BF059B">
        <w:t xml:space="preserve"> </w:t>
      </w:r>
      <w:r>
        <w:t>Kingston</w:t>
      </w:r>
      <w:r w:rsidR="00BF059B">
        <w:t xml:space="preserve"> </w:t>
      </w:r>
      <w:r>
        <w:t>Smith</w:t>
      </w:r>
      <w:r w:rsidR="00BF059B">
        <w:t xml:space="preserve"> </w:t>
      </w:r>
      <w:r>
        <w:t>were</w:t>
      </w:r>
      <w:r w:rsidR="00BF059B">
        <w:t xml:space="preserve"> </w:t>
      </w:r>
      <w:r>
        <w:t>reappointed.</w:t>
      </w:r>
      <w:r w:rsidR="00BF059B">
        <w:t xml:space="preserve"> </w:t>
      </w:r>
      <w:r>
        <w:t>The</w:t>
      </w:r>
      <w:r w:rsidR="00BF059B">
        <w:t xml:space="preserve"> </w:t>
      </w:r>
      <w:r>
        <w:t>internal</w:t>
      </w:r>
      <w:r w:rsidR="00BF059B">
        <w:t xml:space="preserve"> </w:t>
      </w:r>
      <w:r>
        <w:t>audit</w:t>
      </w:r>
      <w:r w:rsidR="00BF059B">
        <w:t xml:space="preserve"> </w:t>
      </w:r>
      <w:r>
        <w:t>contract</w:t>
      </w:r>
      <w:r w:rsidR="00BF059B">
        <w:t xml:space="preserve"> </w:t>
      </w:r>
      <w:r>
        <w:t>was</w:t>
      </w:r>
      <w:r w:rsidR="00BF059B">
        <w:t xml:space="preserve"> </w:t>
      </w:r>
      <w:r>
        <w:t>reviewed</w:t>
      </w:r>
      <w:r w:rsidR="00BF059B">
        <w:t xml:space="preserve"> </w:t>
      </w:r>
      <w:r>
        <w:t>in</w:t>
      </w:r>
      <w:r w:rsidR="00BF059B">
        <w:t xml:space="preserve"> </w:t>
      </w:r>
      <w:r>
        <w:t>December</w:t>
      </w:r>
      <w:r w:rsidR="00BF059B">
        <w:t xml:space="preserve"> </w:t>
      </w:r>
      <w:r>
        <w:t>2017</w:t>
      </w:r>
      <w:r w:rsidR="00BF059B">
        <w:t xml:space="preserve"> </w:t>
      </w:r>
      <w:r>
        <w:t>and</w:t>
      </w:r>
      <w:r w:rsidR="00BF059B">
        <w:t xml:space="preserve"> </w:t>
      </w:r>
      <w:r>
        <w:t>BDO</w:t>
      </w:r>
      <w:r w:rsidR="00BF059B">
        <w:t xml:space="preserve"> </w:t>
      </w:r>
      <w:r>
        <w:t>(formerly</w:t>
      </w:r>
      <w:r w:rsidR="00BF059B">
        <w:t xml:space="preserve"> </w:t>
      </w:r>
      <w:r>
        <w:t>Moore</w:t>
      </w:r>
      <w:r w:rsidR="00BF059B">
        <w:t xml:space="preserve"> </w:t>
      </w:r>
      <w:r>
        <w:t>Stephens)</w:t>
      </w:r>
      <w:r w:rsidR="00BF059B">
        <w:t xml:space="preserve"> </w:t>
      </w:r>
      <w:r>
        <w:t>were</w:t>
      </w:r>
      <w:r w:rsidR="00BF059B">
        <w:t xml:space="preserve"> </w:t>
      </w:r>
      <w:r>
        <w:t>reappointed</w:t>
      </w:r>
      <w:r w:rsidR="00BF059B">
        <w:t xml:space="preserve"> </w:t>
      </w:r>
      <w:r>
        <w:t>to</w:t>
      </w:r>
      <w:r w:rsidR="00BF059B">
        <w:t xml:space="preserve"> </w:t>
      </w:r>
      <w:r>
        <w:t>carry</w:t>
      </w:r>
      <w:r w:rsidR="00BF059B">
        <w:t xml:space="preserve"> </w:t>
      </w:r>
      <w:r>
        <w:t>out</w:t>
      </w:r>
      <w:r w:rsidR="00BF059B">
        <w:t xml:space="preserve"> </w:t>
      </w:r>
      <w:r>
        <w:t>the</w:t>
      </w:r>
      <w:r w:rsidR="00BF059B">
        <w:t xml:space="preserve"> </w:t>
      </w:r>
      <w:r>
        <w:t>work.</w:t>
      </w:r>
      <w:r w:rsidR="00BF059B">
        <w:t xml:space="preserve"> </w:t>
      </w:r>
      <w:r>
        <w:t>The</w:t>
      </w:r>
      <w:r w:rsidR="00BF059B">
        <w:t xml:space="preserve"> </w:t>
      </w:r>
      <w:r>
        <w:t>Committee</w:t>
      </w:r>
      <w:r w:rsidR="00BF059B">
        <w:t xml:space="preserve"> </w:t>
      </w:r>
      <w:r>
        <w:t>also</w:t>
      </w:r>
      <w:r w:rsidR="00BF059B">
        <w:t xml:space="preserve"> </w:t>
      </w:r>
      <w:r>
        <w:t>carries</w:t>
      </w:r>
      <w:r w:rsidR="00BF059B">
        <w:t xml:space="preserve"> </w:t>
      </w:r>
      <w:r>
        <w:t>out</w:t>
      </w:r>
      <w:r w:rsidR="00BF059B">
        <w:t xml:space="preserve"> </w:t>
      </w:r>
      <w:r>
        <w:t>an</w:t>
      </w:r>
      <w:r w:rsidR="00BF059B">
        <w:t xml:space="preserve"> </w:t>
      </w:r>
      <w:r>
        <w:t>annual</w:t>
      </w:r>
      <w:r w:rsidR="00BF059B">
        <w:t xml:space="preserve"> </w:t>
      </w:r>
      <w:r>
        <w:t>review</w:t>
      </w:r>
      <w:r w:rsidR="00BF059B">
        <w:t xml:space="preserve"> </w:t>
      </w:r>
      <w:r>
        <w:t>of</w:t>
      </w:r>
      <w:r w:rsidR="00BF059B">
        <w:t xml:space="preserve"> </w:t>
      </w:r>
      <w:r>
        <w:t>its</w:t>
      </w:r>
      <w:r w:rsidR="00BF059B">
        <w:t xml:space="preserve"> </w:t>
      </w:r>
      <w:r>
        <w:t>own</w:t>
      </w:r>
      <w:r w:rsidR="00BF059B">
        <w:t xml:space="preserve"> </w:t>
      </w:r>
      <w:r>
        <w:t>effectiveness</w:t>
      </w:r>
      <w:r w:rsidR="00BF059B">
        <w:t xml:space="preserve"> </w:t>
      </w:r>
      <w:r>
        <w:t>and</w:t>
      </w:r>
      <w:r w:rsidR="00BF059B">
        <w:t xml:space="preserve"> </w:t>
      </w:r>
      <w:r>
        <w:t>reports</w:t>
      </w:r>
      <w:r w:rsidR="00BF059B">
        <w:t xml:space="preserve"> </w:t>
      </w:r>
      <w:r>
        <w:t>annually</w:t>
      </w:r>
      <w:r w:rsidR="00BF059B">
        <w:t xml:space="preserve"> </w:t>
      </w:r>
      <w:r>
        <w:t>to</w:t>
      </w:r>
      <w:r w:rsidR="00BF059B">
        <w:t xml:space="preserve"> </w:t>
      </w:r>
      <w:r>
        <w:t>the</w:t>
      </w:r>
      <w:r w:rsidR="00BF059B">
        <w:t xml:space="preserve"> </w:t>
      </w:r>
      <w:r>
        <w:t>Board.</w:t>
      </w:r>
    </w:p>
    <w:p w14:paraId="11FC067E" w14:textId="77777777" w:rsidR="00BE13A8" w:rsidRDefault="00BE13A8" w:rsidP="00BA76E3"/>
    <w:p w14:paraId="0C91D649" w14:textId="43C024E6" w:rsidR="00BE13A8" w:rsidRDefault="00D70530" w:rsidP="00BA76E3">
      <w:r>
        <w:t>Our</w:t>
      </w:r>
      <w:r w:rsidR="00BF059B">
        <w:t xml:space="preserve"> </w:t>
      </w:r>
      <w:r>
        <w:t>review</w:t>
      </w:r>
      <w:r w:rsidR="00BF059B">
        <w:t xml:space="preserve"> </w:t>
      </w:r>
      <w:r>
        <w:t>of</w:t>
      </w:r>
      <w:r w:rsidR="00BF059B">
        <w:t xml:space="preserve"> </w:t>
      </w:r>
      <w:r>
        <w:t>the</w:t>
      </w:r>
      <w:r w:rsidR="00BF059B">
        <w:t xml:space="preserve"> </w:t>
      </w:r>
      <w:r>
        <w:t>effectiveness</w:t>
      </w:r>
      <w:r w:rsidR="00BF059B">
        <w:t xml:space="preserve"> </w:t>
      </w:r>
      <w:r>
        <w:t>of</w:t>
      </w:r>
      <w:r w:rsidR="00BF059B">
        <w:t xml:space="preserve"> </w:t>
      </w:r>
      <w:r>
        <w:t>audits</w:t>
      </w:r>
      <w:r w:rsidR="00BF059B">
        <w:t xml:space="preserve"> </w:t>
      </w:r>
      <w:r>
        <w:t>is</w:t>
      </w:r>
      <w:r w:rsidR="00BF059B">
        <w:t xml:space="preserve"> </w:t>
      </w:r>
      <w:r>
        <w:t>also</w:t>
      </w:r>
      <w:r w:rsidR="00BF059B">
        <w:t xml:space="preserve"> </w:t>
      </w:r>
      <w:r>
        <w:t>informed</w:t>
      </w:r>
      <w:r w:rsidR="00BF059B">
        <w:t xml:space="preserve"> </w:t>
      </w:r>
      <w:r>
        <w:t>by</w:t>
      </w:r>
      <w:r w:rsidR="00BF059B">
        <w:t xml:space="preserve"> </w:t>
      </w:r>
      <w:r>
        <w:t>the</w:t>
      </w:r>
      <w:r w:rsidR="00BF059B">
        <w:t xml:space="preserve"> </w:t>
      </w:r>
      <w:r>
        <w:t>work</w:t>
      </w:r>
      <w:r w:rsidR="00BF059B">
        <w:t xml:space="preserve"> </w:t>
      </w:r>
      <w:r>
        <w:t>of</w:t>
      </w:r>
      <w:r w:rsidR="00BF059B">
        <w:t xml:space="preserve"> </w:t>
      </w:r>
      <w:r>
        <w:t>the</w:t>
      </w:r>
      <w:r w:rsidR="00BF059B">
        <w:t xml:space="preserve"> </w:t>
      </w:r>
      <w:r>
        <w:t>internal</w:t>
      </w:r>
      <w:r w:rsidR="00BF059B">
        <w:t xml:space="preserve"> </w:t>
      </w:r>
      <w:r>
        <w:t>auditors,</w:t>
      </w:r>
      <w:r w:rsidR="00BF059B">
        <w:t xml:space="preserve"> </w:t>
      </w:r>
      <w:r>
        <w:t>the</w:t>
      </w:r>
      <w:r w:rsidR="00BF059B">
        <w:t xml:space="preserve"> </w:t>
      </w:r>
      <w:r>
        <w:t>Senior</w:t>
      </w:r>
      <w:r w:rsidR="00BF059B">
        <w:t xml:space="preserve"> </w:t>
      </w:r>
      <w:r>
        <w:t>Management</w:t>
      </w:r>
      <w:r w:rsidR="00BF059B">
        <w:t xml:space="preserve"> </w:t>
      </w:r>
      <w:r>
        <w:t>Team</w:t>
      </w:r>
      <w:r w:rsidR="00BF059B">
        <w:t xml:space="preserve"> </w:t>
      </w:r>
      <w:r>
        <w:t>and</w:t>
      </w:r>
      <w:r w:rsidR="00BF059B">
        <w:t xml:space="preserve"> </w:t>
      </w:r>
      <w:r>
        <w:t>departmental</w:t>
      </w:r>
      <w:r w:rsidR="00BF059B">
        <w:t xml:space="preserve"> </w:t>
      </w:r>
      <w:r>
        <w:t>managers,</w:t>
      </w:r>
      <w:r w:rsidR="00BF059B">
        <w:t xml:space="preserve"> </w:t>
      </w:r>
      <w:r>
        <w:t>who</w:t>
      </w:r>
      <w:r w:rsidR="00BF059B">
        <w:t xml:space="preserve"> </w:t>
      </w:r>
      <w:r>
        <w:t>have</w:t>
      </w:r>
      <w:r w:rsidR="00BF059B">
        <w:t xml:space="preserve"> </w:t>
      </w:r>
      <w:r>
        <w:t>responsibility</w:t>
      </w:r>
      <w:r w:rsidR="00BF059B">
        <w:t xml:space="preserve"> </w:t>
      </w:r>
      <w:r>
        <w:t>for</w:t>
      </w:r>
      <w:r w:rsidR="00BF059B">
        <w:t xml:space="preserve"> </w:t>
      </w:r>
      <w:r>
        <w:t>the</w:t>
      </w:r>
      <w:r w:rsidR="00BF059B">
        <w:t xml:space="preserve"> </w:t>
      </w:r>
      <w:r>
        <w:t>development</w:t>
      </w:r>
      <w:r w:rsidR="00BF059B">
        <w:t xml:space="preserve"> </w:t>
      </w:r>
      <w:r>
        <w:t>and</w:t>
      </w:r>
      <w:r w:rsidR="00BF059B">
        <w:t xml:space="preserve"> </w:t>
      </w:r>
      <w:r>
        <w:t>maintenance</w:t>
      </w:r>
      <w:r w:rsidR="00BF059B">
        <w:t xml:space="preserve"> </w:t>
      </w:r>
      <w:r>
        <w:t>of</w:t>
      </w:r>
      <w:r w:rsidR="00BF059B">
        <w:t xml:space="preserve"> </w:t>
      </w:r>
      <w:r>
        <w:t>internal</w:t>
      </w:r>
      <w:r w:rsidR="00BF059B">
        <w:t xml:space="preserve"> </w:t>
      </w:r>
      <w:r>
        <w:t>control</w:t>
      </w:r>
      <w:r w:rsidR="00BF059B">
        <w:t xml:space="preserve"> </w:t>
      </w:r>
      <w:r>
        <w:t>systems,</w:t>
      </w:r>
      <w:r w:rsidR="00BF059B">
        <w:t xml:space="preserve"> </w:t>
      </w:r>
      <w:r>
        <w:t>as</w:t>
      </w:r>
      <w:r w:rsidR="00BF059B">
        <w:t xml:space="preserve"> </w:t>
      </w:r>
      <w:r>
        <w:t>well</w:t>
      </w:r>
      <w:r w:rsidR="00BF059B">
        <w:t xml:space="preserve"> </w:t>
      </w:r>
      <w:r>
        <w:t>as</w:t>
      </w:r>
      <w:r w:rsidR="00BF059B">
        <w:t xml:space="preserve"> </w:t>
      </w:r>
      <w:r>
        <w:t>comments</w:t>
      </w:r>
      <w:r w:rsidR="00BF059B">
        <w:t xml:space="preserve"> </w:t>
      </w:r>
      <w:r>
        <w:t>made</w:t>
      </w:r>
      <w:r w:rsidR="00BF059B">
        <w:t xml:space="preserve"> </w:t>
      </w:r>
      <w:r>
        <w:t>by</w:t>
      </w:r>
      <w:r w:rsidR="00BF059B">
        <w:t xml:space="preserve"> </w:t>
      </w:r>
      <w:r>
        <w:t>the</w:t>
      </w:r>
      <w:r w:rsidR="00BF059B">
        <w:t xml:space="preserve"> </w:t>
      </w:r>
      <w:r>
        <w:t>external</w:t>
      </w:r>
      <w:r w:rsidR="00BF059B">
        <w:t xml:space="preserve"> </w:t>
      </w:r>
      <w:r>
        <w:t>auditors</w:t>
      </w:r>
      <w:r w:rsidR="00BF059B">
        <w:t xml:space="preserve"> </w:t>
      </w:r>
      <w:r>
        <w:t>in</w:t>
      </w:r>
      <w:r w:rsidR="00BF059B">
        <w:t xml:space="preserve"> </w:t>
      </w:r>
      <w:r>
        <w:t>their</w:t>
      </w:r>
      <w:r w:rsidR="00BF059B">
        <w:t xml:space="preserve"> </w:t>
      </w:r>
      <w:r>
        <w:t>management</w:t>
      </w:r>
      <w:r w:rsidR="00BF059B">
        <w:t xml:space="preserve"> </w:t>
      </w:r>
      <w:r>
        <w:t>letter</w:t>
      </w:r>
      <w:r w:rsidR="00BF059B">
        <w:t xml:space="preserve"> </w:t>
      </w:r>
      <w:r>
        <w:t>and</w:t>
      </w:r>
      <w:r w:rsidR="00BF059B">
        <w:t xml:space="preserve"> </w:t>
      </w:r>
      <w:r>
        <w:t>other</w:t>
      </w:r>
      <w:r w:rsidR="00BF059B">
        <w:t xml:space="preserve"> </w:t>
      </w:r>
      <w:r>
        <w:t>reports.</w:t>
      </w:r>
      <w:r w:rsidR="00BF059B">
        <w:t xml:space="preserve"> </w:t>
      </w:r>
      <w:r>
        <w:t>During</w:t>
      </w:r>
      <w:r w:rsidR="00BF059B">
        <w:t xml:space="preserve"> </w:t>
      </w:r>
      <w:r>
        <w:t>the</w:t>
      </w:r>
      <w:r w:rsidR="00BF059B">
        <w:t xml:space="preserve"> </w:t>
      </w:r>
      <w:r>
        <w:t>year,</w:t>
      </w:r>
      <w:r w:rsidR="00BF059B">
        <w:t xml:space="preserve"> </w:t>
      </w:r>
      <w:r>
        <w:t>the</w:t>
      </w:r>
      <w:r w:rsidR="00BF059B">
        <w:t xml:space="preserve"> </w:t>
      </w:r>
      <w:r>
        <w:t>following</w:t>
      </w:r>
      <w:r w:rsidR="00BF059B">
        <w:t xml:space="preserve"> </w:t>
      </w:r>
      <w:r>
        <w:t>internal</w:t>
      </w:r>
      <w:r w:rsidR="00BF059B">
        <w:t xml:space="preserve"> </w:t>
      </w:r>
      <w:r>
        <w:t>audit</w:t>
      </w:r>
      <w:r w:rsidR="00BF059B">
        <w:t xml:space="preserve"> </w:t>
      </w:r>
      <w:r>
        <w:t>reviews</w:t>
      </w:r>
      <w:r w:rsidR="00BF059B">
        <w:t xml:space="preserve"> </w:t>
      </w:r>
      <w:r>
        <w:t>were</w:t>
      </w:r>
      <w:r w:rsidR="00BF059B">
        <w:t xml:space="preserve"> </w:t>
      </w:r>
      <w:proofErr w:type="gramStart"/>
      <w:r>
        <w:t>undertaken:</w:t>
      </w:r>
      <w:proofErr w:type="gramEnd"/>
      <w:r w:rsidR="00BF059B">
        <w:t xml:space="preserve"> </w:t>
      </w:r>
      <w:r>
        <w:t>Estates</w:t>
      </w:r>
      <w:r w:rsidR="00BF059B">
        <w:t xml:space="preserve"> </w:t>
      </w:r>
      <w:r>
        <w:t>Management,</w:t>
      </w:r>
      <w:r w:rsidR="00BF059B">
        <w:t xml:space="preserve"> </w:t>
      </w:r>
      <w:r>
        <w:t>Audience</w:t>
      </w:r>
      <w:r w:rsidR="00BF059B">
        <w:t xml:space="preserve"> </w:t>
      </w:r>
      <w:r>
        <w:t>Diversity,</w:t>
      </w:r>
      <w:r w:rsidR="00BF059B">
        <w:t xml:space="preserve"> </w:t>
      </w:r>
      <w:r>
        <w:t>Core</w:t>
      </w:r>
      <w:r w:rsidR="00BF059B">
        <w:t xml:space="preserve"> </w:t>
      </w:r>
      <w:r>
        <w:t>Financial</w:t>
      </w:r>
      <w:r w:rsidR="00BF059B">
        <w:t xml:space="preserve"> </w:t>
      </w:r>
      <w:r>
        <w:t>Controls</w:t>
      </w:r>
      <w:r w:rsidR="00BF059B">
        <w:t xml:space="preserve"> </w:t>
      </w:r>
      <w:r>
        <w:t>and</w:t>
      </w:r>
      <w:r w:rsidR="00BF059B">
        <w:t xml:space="preserve"> </w:t>
      </w:r>
      <w:r>
        <w:t>Data</w:t>
      </w:r>
      <w:r w:rsidR="00BF059B">
        <w:t xml:space="preserve"> </w:t>
      </w:r>
      <w:r>
        <w:t>Protection,</w:t>
      </w:r>
      <w:r w:rsidR="00BF059B">
        <w:t xml:space="preserve"> </w:t>
      </w:r>
      <w:r>
        <w:t>as</w:t>
      </w:r>
      <w:r w:rsidR="00BF059B">
        <w:t xml:space="preserve"> </w:t>
      </w:r>
      <w:r>
        <w:t>well</w:t>
      </w:r>
      <w:r w:rsidR="00BF059B">
        <w:t xml:space="preserve"> </w:t>
      </w:r>
      <w:r>
        <w:t>as</w:t>
      </w:r>
      <w:r w:rsidR="00BF059B">
        <w:t xml:space="preserve"> </w:t>
      </w:r>
      <w:r>
        <w:t>the</w:t>
      </w:r>
      <w:r w:rsidR="00BF059B">
        <w:t xml:space="preserve"> </w:t>
      </w:r>
      <w:r>
        <w:t>regular</w:t>
      </w:r>
      <w:r w:rsidR="00BF059B">
        <w:t xml:space="preserve"> </w:t>
      </w:r>
      <w:r>
        <w:t>annual</w:t>
      </w:r>
      <w:r w:rsidR="00BF059B">
        <w:t xml:space="preserve"> </w:t>
      </w:r>
      <w:r>
        <w:t>report</w:t>
      </w:r>
      <w:r w:rsidR="00BF059B">
        <w:t xml:space="preserve"> </w:t>
      </w:r>
      <w:r>
        <w:t>of</w:t>
      </w:r>
      <w:r w:rsidR="00BF059B">
        <w:t xml:space="preserve"> </w:t>
      </w:r>
      <w:r>
        <w:t>assurance</w:t>
      </w:r>
      <w:r w:rsidR="00BF059B">
        <w:t xml:space="preserve"> </w:t>
      </w:r>
      <w:r>
        <w:t>to</w:t>
      </w:r>
      <w:r w:rsidR="00BF059B">
        <w:t xml:space="preserve"> </w:t>
      </w:r>
      <w:r>
        <w:t>the</w:t>
      </w:r>
      <w:r w:rsidR="00BF059B">
        <w:t xml:space="preserve"> </w:t>
      </w:r>
      <w:r>
        <w:t>Accounting</w:t>
      </w:r>
      <w:r w:rsidR="00BF059B">
        <w:t xml:space="preserve"> </w:t>
      </w:r>
      <w:r>
        <w:t>Officer</w:t>
      </w:r>
      <w:r w:rsidR="00BF059B">
        <w:t xml:space="preserve"> </w:t>
      </w:r>
      <w:r>
        <w:t>on</w:t>
      </w:r>
      <w:r w:rsidR="00BF059B">
        <w:t xml:space="preserve"> </w:t>
      </w:r>
      <w:r>
        <w:t>the</w:t>
      </w:r>
      <w:r w:rsidR="00BF059B">
        <w:t xml:space="preserve"> </w:t>
      </w:r>
      <w:r>
        <w:t>systems</w:t>
      </w:r>
      <w:r w:rsidR="00BF059B">
        <w:t xml:space="preserve"> </w:t>
      </w:r>
      <w:r>
        <w:t>of</w:t>
      </w:r>
      <w:r w:rsidR="00BF059B">
        <w:t xml:space="preserve"> </w:t>
      </w:r>
      <w:r>
        <w:t>internal</w:t>
      </w:r>
      <w:r w:rsidR="00BF059B">
        <w:t xml:space="preserve"> </w:t>
      </w:r>
      <w:r>
        <w:t>controls.</w:t>
      </w:r>
      <w:r w:rsidR="00BF059B">
        <w:t xml:space="preserve"> </w:t>
      </w:r>
    </w:p>
    <w:p w14:paraId="51D65F13" w14:textId="77777777" w:rsidR="00BE13A8" w:rsidRDefault="00BE13A8" w:rsidP="00BA76E3"/>
    <w:p w14:paraId="280A2A5B" w14:textId="713A2FD8" w:rsidR="00BE13A8" w:rsidRDefault="00D70530" w:rsidP="00BA76E3">
      <w:r>
        <w:t>Recommendations</w:t>
      </w:r>
      <w:r w:rsidR="00BF059B">
        <w:t xml:space="preserve"> </w:t>
      </w:r>
      <w:r>
        <w:t>made</w:t>
      </w:r>
      <w:r w:rsidR="00BF059B">
        <w:t xml:space="preserve"> </w:t>
      </w:r>
      <w:r>
        <w:t>by</w:t>
      </w:r>
      <w:r w:rsidR="00BF059B">
        <w:t xml:space="preserve"> </w:t>
      </w:r>
      <w:r>
        <w:t>the</w:t>
      </w:r>
      <w:r w:rsidR="00BF059B">
        <w:t xml:space="preserve"> </w:t>
      </w:r>
      <w:r>
        <w:t>auditors</w:t>
      </w:r>
      <w:r w:rsidR="00BF059B">
        <w:t xml:space="preserve"> </w:t>
      </w:r>
      <w:r>
        <w:t>to</w:t>
      </w:r>
      <w:r w:rsidR="00BF059B">
        <w:t xml:space="preserve"> </w:t>
      </w:r>
      <w:r>
        <w:t>strengthen</w:t>
      </w:r>
      <w:r w:rsidR="00BF059B">
        <w:t xml:space="preserve"> </w:t>
      </w:r>
      <w:r>
        <w:t>internal</w:t>
      </w:r>
      <w:r w:rsidR="00BF059B">
        <w:t xml:space="preserve"> </w:t>
      </w:r>
      <w:r>
        <w:t>controls</w:t>
      </w:r>
      <w:r w:rsidR="00BF059B">
        <w:t xml:space="preserve"> </w:t>
      </w:r>
      <w:r>
        <w:t>in</w:t>
      </w:r>
      <w:r w:rsidR="00BF059B">
        <w:t xml:space="preserve"> </w:t>
      </w:r>
      <w:r>
        <w:t>the</w:t>
      </w:r>
      <w:r w:rsidR="00BF059B">
        <w:t xml:space="preserve"> </w:t>
      </w:r>
      <w:r>
        <w:t>2024/25</w:t>
      </w:r>
      <w:r w:rsidR="00BF059B">
        <w:t xml:space="preserve"> </w:t>
      </w:r>
      <w:r>
        <w:t>year</w:t>
      </w:r>
      <w:r w:rsidR="00BF059B">
        <w:t xml:space="preserve"> </w:t>
      </w:r>
      <w:r>
        <w:t>have</w:t>
      </w:r>
      <w:r w:rsidR="00BF059B">
        <w:t xml:space="preserve"> </w:t>
      </w:r>
      <w:r>
        <w:t>been</w:t>
      </w:r>
      <w:r w:rsidR="00BF059B">
        <w:t xml:space="preserve"> </w:t>
      </w:r>
      <w:r>
        <w:t>implemented</w:t>
      </w:r>
      <w:r w:rsidR="00BF059B">
        <w:t xml:space="preserve"> </w:t>
      </w:r>
      <w:r>
        <w:t>or</w:t>
      </w:r>
      <w:r w:rsidR="00BF059B">
        <w:t xml:space="preserve"> </w:t>
      </w:r>
      <w:r>
        <w:t>are</w:t>
      </w:r>
      <w:r w:rsidR="00BF059B">
        <w:t xml:space="preserve"> </w:t>
      </w:r>
      <w:r>
        <w:t>in</w:t>
      </w:r>
      <w:r w:rsidR="00BF059B">
        <w:t xml:space="preserve"> </w:t>
      </w:r>
      <w:r>
        <w:t>the</w:t>
      </w:r>
      <w:r w:rsidR="00BF059B">
        <w:t xml:space="preserve"> </w:t>
      </w:r>
      <w:r>
        <w:t>process</w:t>
      </w:r>
      <w:r w:rsidR="00BF059B">
        <w:t xml:space="preserve"> </w:t>
      </w:r>
      <w:r>
        <w:t>of</w:t>
      </w:r>
      <w:r w:rsidR="00BF059B">
        <w:t xml:space="preserve"> </w:t>
      </w:r>
      <w:r>
        <w:t>being</w:t>
      </w:r>
      <w:r w:rsidR="00BF059B">
        <w:t xml:space="preserve"> </w:t>
      </w:r>
      <w:r>
        <w:t>implemented</w:t>
      </w:r>
      <w:r w:rsidR="00BF059B">
        <w:t xml:space="preserve"> </w:t>
      </w:r>
      <w:r>
        <w:t>by</w:t>
      </w:r>
      <w:r w:rsidR="00BF059B">
        <w:t xml:space="preserve"> </w:t>
      </w:r>
      <w:r>
        <w:t>management.</w:t>
      </w:r>
      <w:r w:rsidR="00BF059B">
        <w:t xml:space="preserve"> </w:t>
      </w:r>
      <w:r>
        <w:t>This</w:t>
      </w:r>
      <w:r w:rsidR="00BF059B">
        <w:t xml:space="preserve"> </w:t>
      </w:r>
      <w:r>
        <w:t>year,</w:t>
      </w:r>
      <w:r w:rsidR="00BF059B">
        <w:t xml:space="preserve"> </w:t>
      </w:r>
      <w:r>
        <w:t>Internal</w:t>
      </w:r>
      <w:r w:rsidR="00BF059B">
        <w:t xml:space="preserve"> </w:t>
      </w:r>
      <w:r>
        <w:t>Audit</w:t>
      </w:r>
      <w:r w:rsidR="00BF059B">
        <w:t xml:space="preserve"> </w:t>
      </w:r>
      <w:r>
        <w:t>made</w:t>
      </w:r>
      <w:r w:rsidR="00BF059B">
        <w:t xml:space="preserve"> </w:t>
      </w:r>
      <w:r>
        <w:t>recommendations</w:t>
      </w:r>
      <w:r w:rsidR="00BF059B">
        <w:t xml:space="preserve"> </w:t>
      </w:r>
      <w:r>
        <w:t>to</w:t>
      </w:r>
      <w:r w:rsidR="00BF059B">
        <w:t xml:space="preserve"> </w:t>
      </w:r>
      <w:r>
        <w:t>review</w:t>
      </w:r>
      <w:r w:rsidR="00BF059B">
        <w:t xml:space="preserve"> </w:t>
      </w:r>
      <w:r>
        <w:t>and</w:t>
      </w:r>
      <w:r w:rsidR="00BF059B">
        <w:t xml:space="preserve"> </w:t>
      </w:r>
      <w:r>
        <w:t>update</w:t>
      </w:r>
      <w:r w:rsidR="00BF059B">
        <w:t xml:space="preserve"> </w:t>
      </w:r>
      <w:r>
        <w:t>supporting</w:t>
      </w:r>
      <w:r w:rsidR="00BF059B">
        <w:t xml:space="preserve"> </w:t>
      </w:r>
      <w:r>
        <w:t>policies</w:t>
      </w:r>
      <w:r w:rsidR="00BF059B">
        <w:t xml:space="preserve"> </w:t>
      </w:r>
      <w:r>
        <w:t>and</w:t>
      </w:r>
      <w:r w:rsidR="00BF059B">
        <w:t xml:space="preserve"> </w:t>
      </w:r>
      <w:r>
        <w:t>documentation.</w:t>
      </w:r>
      <w:r w:rsidR="00BF059B">
        <w:t xml:space="preserve">  </w:t>
      </w:r>
      <w:r>
        <w:t>Action</w:t>
      </w:r>
      <w:r w:rsidR="00BF059B">
        <w:t xml:space="preserve"> </w:t>
      </w:r>
      <w:r>
        <w:t>is</w:t>
      </w:r>
      <w:r w:rsidR="00BF059B">
        <w:t xml:space="preserve"> </w:t>
      </w:r>
      <w:r>
        <w:t>being</w:t>
      </w:r>
      <w:r w:rsidR="00BF059B">
        <w:t xml:space="preserve"> </w:t>
      </w:r>
      <w:r>
        <w:t>taken</w:t>
      </w:r>
      <w:r w:rsidR="00BF059B">
        <w:t xml:space="preserve"> </w:t>
      </w:r>
      <w:r>
        <w:t>to</w:t>
      </w:r>
      <w:r w:rsidR="00BF059B">
        <w:t xml:space="preserve"> </w:t>
      </w:r>
      <w:r>
        <w:t>implement</w:t>
      </w:r>
      <w:r w:rsidR="00BF059B">
        <w:t xml:space="preserve"> </w:t>
      </w:r>
      <w:r>
        <w:t>the</w:t>
      </w:r>
      <w:r w:rsidR="00BF059B">
        <w:t xml:space="preserve"> </w:t>
      </w:r>
      <w:r>
        <w:t>recommendations.</w:t>
      </w:r>
    </w:p>
    <w:p w14:paraId="29079F5B" w14:textId="77777777" w:rsidR="00BE13A8" w:rsidRDefault="00BE13A8" w:rsidP="00BA76E3">
      <w:pPr>
        <w:rPr>
          <w:i/>
        </w:rPr>
      </w:pPr>
    </w:p>
    <w:p w14:paraId="247925AD" w14:textId="0322C9FD" w:rsidR="00BE13A8" w:rsidRDefault="00D70530" w:rsidP="00BA76E3">
      <w:r>
        <w:t>Annually,</w:t>
      </w:r>
      <w:r w:rsidR="00BF059B">
        <w:t xml:space="preserve"> </w:t>
      </w:r>
      <w:r>
        <w:t>the</w:t>
      </w:r>
      <w:r w:rsidR="00BF059B">
        <w:t xml:space="preserve"> </w:t>
      </w:r>
      <w:r>
        <w:t>Head</w:t>
      </w:r>
      <w:r w:rsidR="00BF059B">
        <w:t xml:space="preserve"> </w:t>
      </w:r>
      <w:r>
        <w:t>of</w:t>
      </w:r>
      <w:r w:rsidR="00BF059B">
        <w:t xml:space="preserve"> </w:t>
      </w:r>
      <w:r>
        <w:t>Internal</w:t>
      </w:r>
      <w:r w:rsidR="00BF059B">
        <w:t xml:space="preserve"> </w:t>
      </w:r>
      <w:r>
        <w:t>Audit</w:t>
      </w:r>
      <w:r w:rsidR="00BF059B">
        <w:t xml:space="preserve"> </w:t>
      </w:r>
      <w:r>
        <w:t>provides</w:t>
      </w:r>
      <w:r w:rsidR="00BF059B">
        <w:t xml:space="preserve"> </w:t>
      </w:r>
      <w:r>
        <w:t>an</w:t>
      </w:r>
      <w:r w:rsidR="00BF059B">
        <w:t xml:space="preserve"> </w:t>
      </w:r>
      <w:r>
        <w:t>independent</w:t>
      </w:r>
      <w:r w:rsidR="00BF059B">
        <w:t xml:space="preserve"> </w:t>
      </w:r>
      <w:r>
        <w:t>opinion</w:t>
      </w:r>
      <w:r w:rsidR="00BF059B">
        <w:t xml:space="preserve"> </w:t>
      </w:r>
      <w:r>
        <w:t>on</w:t>
      </w:r>
      <w:r w:rsidR="00BF059B">
        <w:t xml:space="preserve"> </w:t>
      </w:r>
      <w:r>
        <w:t>the</w:t>
      </w:r>
      <w:r w:rsidR="00BF059B">
        <w:t xml:space="preserve"> </w:t>
      </w:r>
      <w:r>
        <w:t>adequacy</w:t>
      </w:r>
      <w:r w:rsidR="00BF059B">
        <w:t xml:space="preserve"> </w:t>
      </w:r>
      <w:r>
        <w:t>and</w:t>
      </w:r>
      <w:r w:rsidR="00BF059B">
        <w:t xml:space="preserve"> </w:t>
      </w:r>
      <w:r>
        <w:t>effectiveness</w:t>
      </w:r>
      <w:r w:rsidR="00BF059B">
        <w:t xml:space="preserve"> </w:t>
      </w:r>
      <w:r>
        <w:t>of</w:t>
      </w:r>
      <w:r w:rsidR="00BF059B">
        <w:t xml:space="preserve"> </w:t>
      </w:r>
      <w:r>
        <w:t>the</w:t>
      </w:r>
      <w:r w:rsidR="00BF059B">
        <w:t xml:space="preserve"> </w:t>
      </w:r>
      <w:r>
        <w:t>Horniman’s</w:t>
      </w:r>
      <w:r w:rsidR="00BF059B">
        <w:t xml:space="preserve"> </w:t>
      </w:r>
      <w:r>
        <w:t>system</w:t>
      </w:r>
      <w:r w:rsidR="00BF059B">
        <w:t xml:space="preserve"> </w:t>
      </w:r>
      <w:r>
        <w:t>of</w:t>
      </w:r>
      <w:r w:rsidR="00BF059B">
        <w:t xml:space="preserve"> </w:t>
      </w:r>
      <w:r>
        <w:t>internal</w:t>
      </w:r>
      <w:r w:rsidR="00BF059B">
        <w:t xml:space="preserve"> </w:t>
      </w:r>
      <w:r>
        <w:t>control</w:t>
      </w:r>
      <w:r w:rsidR="00BF059B">
        <w:t xml:space="preserve"> </w:t>
      </w:r>
      <w:r>
        <w:t>together</w:t>
      </w:r>
      <w:r w:rsidR="00BF059B">
        <w:t xml:space="preserve"> </w:t>
      </w:r>
      <w:r>
        <w:t>with</w:t>
      </w:r>
      <w:r w:rsidR="00BF059B">
        <w:t xml:space="preserve"> </w:t>
      </w:r>
      <w:r>
        <w:t>recommendations</w:t>
      </w:r>
      <w:r w:rsidR="00BF059B">
        <w:t xml:space="preserve"> </w:t>
      </w:r>
      <w:r>
        <w:t>for</w:t>
      </w:r>
      <w:r w:rsidR="00BF059B">
        <w:t xml:space="preserve"> </w:t>
      </w:r>
      <w:r>
        <w:t>improvement;</w:t>
      </w:r>
      <w:r w:rsidR="00BF059B">
        <w:t xml:space="preserve"> </w:t>
      </w:r>
      <w:r>
        <w:t>this</w:t>
      </w:r>
      <w:r w:rsidR="00BF059B">
        <w:t xml:space="preserve"> </w:t>
      </w:r>
      <w:r>
        <w:t>is</w:t>
      </w:r>
      <w:r w:rsidR="00BF059B">
        <w:t xml:space="preserve"> </w:t>
      </w:r>
      <w:r>
        <w:t>reviewed</w:t>
      </w:r>
      <w:r w:rsidR="00BF059B">
        <w:t xml:space="preserve"> </w:t>
      </w:r>
      <w:r>
        <w:t>by</w:t>
      </w:r>
      <w:r w:rsidR="00BF059B">
        <w:t xml:space="preserve"> </w:t>
      </w:r>
      <w:r>
        <w:t>the</w:t>
      </w:r>
      <w:r w:rsidR="00BF059B">
        <w:t xml:space="preserve"> </w:t>
      </w:r>
      <w:r>
        <w:t>Audit</w:t>
      </w:r>
      <w:r w:rsidR="00BF059B">
        <w:t xml:space="preserve"> </w:t>
      </w:r>
      <w:r>
        <w:t>&amp;</w:t>
      </w:r>
      <w:r w:rsidR="00BF059B">
        <w:t xml:space="preserve"> </w:t>
      </w:r>
      <w:r>
        <w:t>Risk</w:t>
      </w:r>
      <w:r w:rsidR="00BF059B">
        <w:t xml:space="preserve"> </w:t>
      </w:r>
      <w:r>
        <w:t>Committee</w:t>
      </w:r>
      <w:r w:rsidR="00BF059B">
        <w:t xml:space="preserve"> </w:t>
      </w:r>
      <w:r>
        <w:t>and</w:t>
      </w:r>
      <w:r w:rsidR="00BF059B">
        <w:t xml:space="preserve"> </w:t>
      </w:r>
      <w:r>
        <w:t>reported</w:t>
      </w:r>
      <w:r w:rsidR="00BF059B">
        <w:t xml:space="preserve"> </w:t>
      </w:r>
      <w:r>
        <w:t>on</w:t>
      </w:r>
      <w:r w:rsidR="00BF059B">
        <w:t xml:space="preserve"> </w:t>
      </w:r>
      <w:r>
        <w:t>to</w:t>
      </w:r>
      <w:r w:rsidR="00BF059B">
        <w:t xml:space="preserve"> </w:t>
      </w:r>
      <w:r>
        <w:t>the</w:t>
      </w:r>
      <w:r w:rsidR="00BF059B">
        <w:t xml:space="preserve"> </w:t>
      </w:r>
      <w:r>
        <w:lastRenderedPageBreak/>
        <w:t>Board</w:t>
      </w:r>
      <w:r w:rsidR="00BF059B">
        <w:t xml:space="preserve"> </w:t>
      </w:r>
      <w:r>
        <w:t>of</w:t>
      </w:r>
      <w:r w:rsidR="00BF059B">
        <w:t xml:space="preserve"> </w:t>
      </w:r>
      <w:r>
        <w:t>Trustees.</w:t>
      </w:r>
      <w:r w:rsidR="00BF059B">
        <w:t xml:space="preserve"> </w:t>
      </w:r>
      <w:r>
        <w:t>This</w:t>
      </w:r>
      <w:r w:rsidR="00BF059B">
        <w:t xml:space="preserve"> </w:t>
      </w:r>
      <w:r>
        <w:t>year,</w:t>
      </w:r>
      <w:r w:rsidR="00BF059B">
        <w:t xml:space="preserve"> </w:t>
      </w:r>
      <w:r>
        <w:t>the</w:t>
      </w:r>
      <w:r w:rsidR="00BF059B">
        <w:t xml:space="preserve"> </w:t>
      </w:r>
      <w:r>
        <w:t>internal</w:t>
      </w:r>
      <w:r w:rsidR="00BF059B">
        <w:t xml:space="preserve"> </w:t>
      </w:r>
      <w:r>
        <w:t>audit</w:t>
      </w:r>
      <w:r w:rsidR="00BF059B">
        <w:t xml:space="preserve"> </w:t>
      </w:r>
      <w:r>
        <w:t>opinion</w:t>
      </w:r>
      <w:r w:rsidR="00BF059B">
        <w:t xml:space="preserve"> </w:t>
      </w:r>
      <w:r>
        <w:t>was</w:t>
      </w:r>
      <w:r w:rsidR="00BF059B">
        <w:t xml:space="preserve"> </w:t>
      </w:r>
      <w:r>
        <w:t>Limited,</w:t>
      </w:r>
      <w:r w:rsidR="00BF059B">
        <w:t xml:space="preserve"> </w:t>
      </w:r>
      <w:r>
        <w:t>stating</w:t>
      </w:r>
      <w:r w:rsidR="00BF059B">
        <w:t xml:space="preserve"> </w:t>
      </w:r>
      <w:r>
        <w:t>that</w:t>
      </w:r>
      <w:r w:rsidR="00BF059B">
        <w:t xml:space="preserve"> </w:t>
      </w:r>
      <w:r>
        <w:t>“There</w:t>
      </w:r>
      <w:r w:rsidR="00BF059B">
        <w:t xml:space="preserve"> </w:t>
      </w:r>
      <w:r>
        <w:t>is</w:t>
      </w:r>
      <w:r w:rsidR="00BF059B">
        <w:t xml:space="preserve"> </w:t>
      </w:r>
      <w:r>
        <w:t>considerable</w:t>
      </w:r>
      <w:r w:rsidR="00BF059B">
        <w:t xml:space="preserve"> </w:t>
      </w:r>
      <w:r>
        <w:t>risk</w:t>
      </w:r>
      <w:r w:rsidR="00BF059B">
        <w:t xml:space="preserve"> </w:t>
      </w:r>
      <w:r>
        <w:t>that</w:t>
      </w:r>
      <w:r w:rsidR="00BF059B">
        <w:t xml:space="preserve"> </w:t>
      </w:r>
      <w:r>
        <w:t>the</w:t>
      </w:r>
      <w:r w:rsidR="00BF059B">
        <w:t xml:space="preserve"> </w:t>
      </w:r>
      <w:r>
        <w:t>system</w:t>
      </w:r>
      <w:r w:rsidR="00BF059B">
        <w:t xml:space="preserve"> </w:t>
      </w:r>
      <w:r>
        <w:t>of</w:t>
      </w:r>
      <w:r w:rsidR="00BF059B">
        <w:t xml:space="preserve"> </w:t>
      </w:r>
      <w:r>
        <w:t>internal</w:t>
      </w:r>
      <w:r w:rsidR="00BF059B">
        <w:t xml:space="preserve"> </w:t>
      </w:r>
      <w:r>
        <w:t>control,</w:t>
      </w:r>
      <w:r w:rsidR="00BF059B">
        <w:t xml:space="preserve"> </w:t>
      </w:r>
      <w:r>
        <w:t>governance</w:t>
      </w:r>
      <w:r w:rsidR="00BF059B">
        <w:t xml:space="preserve"> </w:t>
      </w:r>
      <w:r>
        <w:t>and</w:t>
      </w:r>
      <w:r w:rsidR="00BF059B">
        <w:t xml:space="preserve"> </w:t>
      </w:r>
      <w:r>
        <w:t>risk</w:t>
      </w:r>
      <w:r w:rsidR="00BF059B">
        <w:t xml:space="preserve"> </w:t>
      </w:r>
      <w:r>
        <w:t>management</w:t>
      </w:r>
      <w:r w:rsidR="00BF059B">
        <w:t xml:space="preserve"> </w:t>
      </w:r>
      <w:r>
        <w:t>will</w:t>
      </w:r>
      <w:r w:rsidR="00BF059B">
        <w:t xml:space="preserve"> </w:t>
      </w:r>
      <w:r>
        <w:t>fail</w:t>
      </w:r>
      <w:r w:rsidR="00BF059B">
        <w:t xml:space="preserve"> </w:t>
      </w:r>
      <w:r>
        <w:t>to</w:t>
      </w:r>
      <w:r w:rsidR="00BF059B">
        <w:t xml:space="preserve"> </w:t>
      </w:r>
      <w:r>
        <w:t>meet</w:t>
      </w:r>
      <w:r w:rsidR="00BF059B">
        <w:t xml:space="preserve"> </w:t>
      </w:r>
      <w:r>
        <w:t>management's</w:t>
      </w:r>
      <w:r w:rsidR="00BF059B">
        <w:t xml:space="preserve"> </w:t>
      </w:r>
      <w:r>
        <w:t>objectives.</w:t>
      </w:r>
      <w:r w:rsidR="00BF059B">
        <w:t xml:space="preserve"> </w:t>
      </w:r>
      <w:r>
        <w:t>Significant</w:t>
      </w:r>
      <w:r w:rsidR="00BF059B">
        <w:t xml:space="preserve"> </w:t>
      </w:r>
      <w:r>
        <w:t>improvements</w:t>
      </w:r>
      <w:r w:rsidR="00BF059B">
        <w:t xml:space="preserve"> </w:t>
      </w:r>
      <w:r>
        <w:t>are</w:t>
      </w:r>
      <w:r w:rsidR="00BF059B">
        <w:t xml:space="preserve"> </w:t>
      </w:r>
      <w:r>
        <w:t>required</w:t>
      </w:r>
      <w:r w:rsidR="00BF059B">
        <w:t xml:space="preserve"> </w:t>
      </w:r>
      <w:r>
        <w:t>to</w:t>
      </w:r>
      <w:r w:rsidR="00BF059B">
        <w:t xml:space="preserve"> </w:t>
      </w:r>
      <w:r>
        <w:t>improve</w:t>
      </w:r>
      <w:r w:rsidR="00BF059B">
        <w:t xml:space="preserve"> </w:t>
      </w:r>
      <w:r>
        <w:t>the</w:t>
      </w:r>
      <w:r w:rsidR="00BF059B">
        <w:t xml:space="preserve"> </w:t>
      </w:r>
      <w:r>
        <w:t>adequacy</w:t>
      </w:r>
      <w:r w:rsidR="00BF059B">
        <w:t xml:space="preserve"> </w:t>
      </w:r>
      <w:r>
        <w:t>and</w:t>
      </w:r>
      <w:r w:rsidR="00BF059B">
        <w:t xml:space="preserve"> </w:t>
      </w:r>
      <w:r>
        <w:t>/</w:t>
      </w:r>
      <w:r w:rsidR="00BF059B">
        <w:t xml:space="preserve"> </w:t>
      </w:r>
      <w:r>
        <w:t>or</w:t>
      </w:r>
      <w:r w:rsidR="00BF059B">
        <w:t xml:space="preserve"> </w:t>
      </w:r>
      <w:r>
        <w:t>effectiveness</w:t>
      </w:r>
      <w:r w:rsidR="00BF059B">
        <w:t xml:space="preserve"> </w:t>
      </w:r>
      <w:r>
        <w:t>of</w:t>
      </w:r>
      <w:r w:rsidR="00BF059B">
        <w:t xml:space="preserve"> </w:t>
      </w:r>
      <w:r>
        <w:t>governance,</w:t>
      </w:r>
      <w:r w:rsidR="00BF059B">
        <w:t xml:space="preserve"> </w:t>
      </w:r>
      <w:r>
        <w:t>risk</w:t>
      </w:r>
      <w:r w:rsidR="00BF059B">
        <w:t xml:space="preserve"> </w:t>
      </w:r>
      <w:r>
        <w:t>management</w:t>
      </w:r>
      <w:r w:rsidR="00BF059B">
        <w:t xml:space="preserve"> </w:t>
      </w:r>
      <w:r>
        <w:t>and</w:t>
      </w:r>
      <w:r w:rsidR="00BF059B">
        <w:t xml:space="preserve"> </w:t>
      </w:r>
      <w:r>
        <w:t>internal</w:t>
      </w:r>
      <w:r w:rsidR="00BF059B">
        <w:t xml:space="preserve"> </w:t>
      </w:r>
      <w:r>
        <w:t>control.”</w:t>
      </w:r>
    </w:p>
    <w:p w14:paraId="56A7197D" w14:textId="77777777" w:rsidR="00BE13A8" w:rsidRDefault="00BE13A8" w:rsidP="00BA76E3"/>
    <w:p w14:paraId="6389C0BA" w14:textId="4DF361F2" w:rsidR="00BE13A8" w:rsidRDefault="00D70530" w:rsidP="00BA76E3">
      <w:r>
        <w:t>We</w:t>
      </w:r>
      <w:r w:rsidR="00BF059B">
        <w:t xml:space="preserve"> </w:t>
      </w:r>
      <w:r>
        <w:t>have</w:t>
      </w:r>
      <w:r w:rsidR="00BF059B">
        <w:t xml:space="preserve"> </w:t>
      </w:r>
      <w:r>
        <w:t>processes</w:t>
      </w:r>
      <w:r w:rsidR="00BF059B">
        <w:t xml:space="preserve"> </w:t>
      </w:r>
      <w:r>
        <w:t>in</w:t>
      </w:r>
      <w:r w:rsidR="00BF059B">
        <w:t xml:space="preserve"> </w:t>
      </w:r>
      <w:r>
        <w:t>place</w:t>
      </w:r>
      <w:r w:rsidR="00BF059B">
        <w:t xml:space="preserve"> </w:t>
      </w:r>
      <w:r>
        <w:t>to</w:t>
      </w:r>
      <w:r w:rsidR="00BF059B">
        <w:t xml:space="preserve"> </w:t>
      </w:r>
      <w:r>
        <w:t>address</w:t>
      </w:r>
      <w:r w:rsidR="00BF059B">
        <w:t xml:space="preserve"> </w:t>
      </w:r>
      <w:r>
        <w:t>any</w:t>
      </w:r>
      <w:r w:rsidR="00BF059B">
        <w:t xml:space="preserve"> </w:t>
      </w:r>
      <w:r>
        <w:t>weaknesses</w:t>
      </w:r>
      <w:r w:rsidR="00BF059B">
        <w:t xml:space="preserve"> </w:t>
      </w:r>
      <w:r>
        <w:t>identified</w:t>
      </w:r>
      <w:r w:rsidR="00BF059B">
        <w:t xml:space="preserve"> </w:t>
      </w:r>
      <w:r>
        <w:t>through</w:t>
      </w:r>
      <w:r w:rsidR="00BF059B">
        <w:t xml:space="preserve"> </w:t>
      </w:r>
      <w:r>
        <w:t>the</w:t>
      </w:r>
      <w:r w:rsidR="00BF059B">
        <w:t xml:space="preserve"> </w:t>
      </w:r>
      <w:r>
        <w:t>review</w:t>
      </w:r>
      <w:r w:rsidR="00BF059B">
        <w:t xml:space="preserve"> </w:t>
      </w:r>
      <w:r>
        <w:t>of</w:t>
      </w:r>
      <w:r w:rsidR="00BF059B">
        <w:t xml:space="preserve"> </w:t>
      </w:r>
      <w:r>
        <w:t>our</w:t>
      </w:r>
      <w:r w:rsidR="00BF059B">
        <w:t xml:space="preserve"> </w:t>
      </w:r>
      <w:r>
        <w:t>effectiveness</w:t>
      </w:r>
      <w:r w:rsidR="00BF059B">
        <w:t xml:space="preserve"> </w:t>
      </w:r>
      <w:r>
        <w:t>and</w:t>
      </w:r>
      <w:r w:rsidR="00BF059B">
        <w:t xml:space="preserve"> </w:t>
      </w:r>
      <w:r>
        <w:t>to</w:t>
      </w:r>
      <w:r w:rsidR="00BF059B">
        <w:t xml:space="preserve"> </w:t>
      </w:r>
      <w:r>
        <w:t>ensure</w:t>
      </w:r>
      <w:r w:rsidR="00BF059B">
        <w:t xml:space="preserve"> </w:t>
      </w:r>
      <w:r>
        <w:t>continuous</w:t>
      </w:r>
      <w:r w:rsidR="00BF059B">
        <w:t xml:space="preserve"> </w:t>
      </w:r>
      <w:r>
        <w:t>improvement</w:t>
      </w:r>
      <w:r w:rsidR="00BF059B">
        <w:t xml:space="preserve"> </w:t>
      </w:r>
      <w:r>
        <w:t>of</w:t>
      </w:r>
      <w:r w:rsidR="00BF059B">
        <w:t xml:space="preserve"> </w:t>
      </w:r>
      <w:r>
        <w:t>the</w:t>
      </w:r>
      <w:r w:rsidR="00BF059B">
        <w:t xml:space="preserve"> </w:t>
      </w:r>
      <w:r>
        <w:t>governance</w:t>
      </w:r>
      <w:r w:rsidR="00BF059B">
        <w:t xml:space="preserve"> </w:t>
      </w:r>
      <w:r>
        <w:t>framework.</w:t>
      </w:r>
      <w:r w:rsidR="00BF059B">
        <w:t xml:space="preserve"> </w:t>
      </w:r>
      <w:r>
        <w:t>All</w:t>
      </w:r>
      <w:r w:rsidR="00BF059B">
        <w:t xml:space="preserve"> </w:t>
      </w:r>
      <w:r>
        <w:t>of</w:t>
      </w:r>
      <w:r w:rsidR="00BF059B">
        <w:t xml:space="preserve"> </w:t>
      </w:r>
      <w:r>
        <w:t>the</w:t>
      </w:r>
      <w:r w:rsidR="00BF059B">
        <w:t xml:space="preserve"> </w:t>
      </w:r>
      <w:r>
        <w:t>information</w:t>
      </w:r>
      <w:r w:rsidR="00BF059B">
        <w:t xml:space="preserve"> </w:t>
      </w:r>
      <w:r>
        <w:t>indicates</w:t>
      </w:r>
      <w:r w:rsidR="00BF059B">
        <w:t xml:space="preserve"> </w:t>
      </w:r>
      <w:r>
        <w:t>that</w:t>
      </w:r>
      <w:r w:rsidR="00BF059B">
        <w:t xml:space="preserve"> </w:t>
      </w:r>
      <w:r>
        <w:t>the</w:t>
      </w:r>
      <w:r w:rsidR="00BF059B">
        <w:t xml:space="preserve"> </w:t>
      </w:r>
      <w:r>
        <w:t>governance</w:t>
      </w:r>
      <w:r w:rsidR="00BF059B">
        <w:t xml:space="preserve"> </w:t>
      </w:r>
      <w:r>
        <w:t>framework</w:t>
      </w:r>
      <w:r w:rsidR="00BF059B">
        <w:t xml:space="preserve"> </w:t>
      </w:r>
      <w:r>
        <w:t>has</w:t>
      </w:r>
      <w:r w:rsidR="00BF059B">
        <w:t xml:space="preserve"> </w:t>
      </w:r>
      <w:r>
        <w:t>operated</w:t>
      </w:r>
      <w:r w:rsidR="00BF059B">
        <w:t xml:space="preserve"> </w:t>
      </w:r>
      <w:r>
        <w:t>satisfactorily</w:t>
      </w:r>
      <w:r w:rsidR="00BF059B">
        <w:t xml:space="preserve"> </w:t>
      </w:r>
      <w:r>
        <w:t>during</w:t>
      </w:r>
      <w:r w:rsidR="00BF059B">
        <w:t xml:space="preserve"> </w:t>
      </w:r>
      <w:r>
        <w:t>the</w:t>
      </w:r>
      <w:r w:rsidR="00BF059B">
        <w:t xml:space="preserve"> </w:t>
      </w:r>
      <w:r>
        <w:t>financial</w:t>
      </w:r>
      <w:r w:rsidR="00BF059B">
        <w:t xml:space="preserve"> </w:t>
      </w:r>
      <w:r>
        <w:t>year.</w:t>
      </w:r>
    </w:p>
    <w:p w14:paraId="36B38420" w14:textId="240C3296" w:rsidR="00BE13A8" w:rsidRDefault="00BE13A8">
      <w:pPr>
        <w:rPr>
          <w:color w:val="FF0000"/>
        </w:rPr>
      </w:pPr>
    </w:p>
    <w:p w14:paraId="64695BCC" w14:textId="77777777" w:rsidR="00BA76E3" w:rsidRDefault="00BA76E3" w:rsidP="00BA76E3">
      <w:pPr>
        <w:rPr>
          <w:color w:val="000000"/>
        </w:rPr>
      </w:pPr>
      <w:r>
        <w:rPr>
          <w:color w:val="000000"/>
        </w:rPr>
        <w:t>Michael Salter-Church</w:t>
      </w:r>
    </w:p>
    <w:p w14:paraId="38F396BF" w14:textId="77777777" w:rsidR="00BA76E3" w:rsidRDefault="00BA76E3" w:rsidP="00BA76E3">
      <w:pPr>
        <w:tabs>
          <w:tab w:val="left" w:pos="5954"/>
        </w:tabs>
        <w:rPr>
          <w:color w:val="000000"/>
        </w:rPr>
      </w:pPr>
      <w:r>
        <w:rPr>
          <w:color w:val="000000"/>
        </w:rPr>
        <w:t xml:space="preserve">Chair </w:t>
      </w:r>
    </w:p>
    <w:p w14:paraId="73EAFDF7" w14:textId="77777777" w:rsidR="00BA76E3" w:rsidRDefault="00BA76E3" w:rsidP="00BA76E3">
      <w:pPr>
        <w:tabs>
          <w:tab w:val="left" w:pos="5954"/>
        </w:tabs>
      </w:pPr>
      <w:r>
        <w:t>Date: 24 July 2025</w:t>
      </w:r>
    </w:p>
    <w:p w14:paraId="191DF21B" w14:textId="77777777" w:rsidR="00BA76E3" w:rsidRDefault="00BA76E3" w:rsidP="00BA76E3">
      <w:pPr>
        <w:tabs>
          <w:tab w:val="left" w:pos="5954"/>
        </w:tabs>
      </w:pPr>
    </w:p>
    <w:p w14:paraId="2CDDB593" w14:textId="77777777" w:rsidR="00BA76E3" w:rsidRDefault="00BA76E3" w:rsidP="00BA76E3">
      <w:pPr>
        <w:tabs>
          <w:tab w:val="left" w:pos="5954"/>
        </w:tabs>
      </w:pPr>
      <w:r>
        <w:rPr>
          <w:color w:val="000000"/>
        </w:rPr>
        <w:t>Gordon Seabright</w:t>
      </w:r>
    </w:p>
    <w:p w14:paraId="508B91FB" w14:textId="77777777" w:rsidR="00BA76E3" w:rsidRDefault="00BA76E3" w:rsidP="00BA76E3">
      <w:pPr>
        <w:tabs>
          <w:tab w:val="left" w:pos="5954"/>
        </w:tabs>
        <w:rPr>
          <w:color w:val="000000"/>
        </w:rPr>
      </w:pPr>
      <w:r>
        <w:rPr>
          <w:color w:val="000000"/>
        </w:rPr>
        <w:t>Accounting Officer</w:t>
      </w:r>
    </w:p>
    <w:p w14:paraId="156C3243" w14:textId="77777777" w:rsidR="00BA76E3" w:rsidRDefault="00BA76E3" w:rsidP="00BA76E3">
      <w:pPr>
        <w:tabs>
          <w:tab w:val="left" w:pos="5954"/>
        </w:tabs>
      </w:pPr>
      <w:r>
        <w:t>Date: 24 July 2025</w:t>
      </w:r>
    </w:p>
    <w:p w14:paraId="1FE09053" w14:textId="77777777" w:rsidR="00BE13A8" w:rsidRDefault="00BE13A8">
      <w:pPr>
        <w:rPr>
          <w:color w:val="FF0000"/>
        </w:rPr>
      </w:pPr>
    </w:p>
    <w:p w14:paraId="259BE7A8" w14:textId="77777777" w:rsidR="00BE13A8" w:rsidRDefault="00BE13A8"/>
    <w:p w14:paraId="6912E3DB" w14:textId="2EADF597" w:rsidR="00BE13A8" w:rsidRPr="00DE30D3" w:rsidRDefault="00D70530" w:rsidP="00DE30D3">
      <w:pPr>
        <w:pStyle w:val="Heading2"/>
      </w:pPr>
      <w:r w:rsidRPr="00DE30D3">
        <w:t>Independent</w:t>
      </w:r>
      <w:r w:rsidR="00BF059B" w:rsidRPr="00DE30D3">
        <w:t xml:space="preserve"> </w:t>
      </w:r>
      <w:r w:rsidRPr="00DE30D3">
        <w:t>Auditor’s</w:t>
      </w:r>
      <w:r w:rsidR="00BF059B" w:rsidRPr="00DE30D3">
        <w:t xml:space="preserve"> </w:t>
      </w:r>
      <w:r w:rsidRPr="00DE30D3">
        <w:t>report</w:t>
      </w:r>
      <w:r w:rsidR="00BF059B" w:rsidRPr="00DE30D3">
        <w:t xml:space="preserve"> </w:t>
      </w:r>
      <w:r w:rsidRPr="00DE30D3">
        <w:t>to</w:t>
      </w:r>
      <w:r w:rsidR="00BF059B" w:rsidRPr="00DE30D3">
        <w:t xml:space="preserve"> </w:t>
      </w:r>
      <w:r w:rsidRPr="00DE30D3">
        <w:t>the</w:t>
      </w:r>
      <w:r w:rsidR="00BF059B" w:rsidRPr="00DE30D3">
        <w:t xml:space="preserve"> </w:t>
      </w:r>
      <w:r w:rsidRPr="00DE30D3">
        <w:t>members</w:t>
      </w:r>
      <w:r w:rsidR="00BF059B" w:rsidRPr="00DE30D3">
        <w:t xml:space="preserve"> </w:t>
      </w:r>
      <w:r w:rsidRPr="00DE30D3">
        <w:t>of</w:t>
      </w:r>
      <w:r w:rsidR="00BF059B" w:rsidRPr="00DE30D3">
        <w:t xml:space="preserve"> </w:t>
      </w:r>
      <w:r w:rsidRPr="00DE30D3">
        <w:t>the</w:t>
      </w:r>
      <w:r w:rsidR="00BF059B" w:rsidRPr="00DE30D3">
        <w:t xml:space="preserve"> </w:t>
      </w:r>
      <w:r w:rsidRPr="00DE30D3">
        <w:t>Horniman</w:t>
      </w:r>
      <w:r w:rsidR="00BF059B" w:rsidRPr="00DE30D3">
        <w:t xml:space="preserve"> </w:t>
      </w:r>
      <w:r w:rsidRPr="00DE30D3">
        <w:t>Public</w:t>
      </w:r>
      <w:r w:rsidR="00BF059B" w:rsidRPr="00DE30D3">
        <w:t xml:space="preserve"> </w:t>
      </w:r>
      <w:r w:rsidRPr="00DE30D3">
        <w:t>Museum</w:t>
      </w:r>
      <w:r w:rsidR="00BF059B" w:rsidRPr="00DE30D3">
        <w:t xml:space="preserve"> </w:t>
      </w:r>
      <w:r w:rsidRPr="00DE30D3">
        <w:t>and</w:t>
      </w:r>
      <w:r w:rsidR="00BF059B" w:rsidRPr="00DE30D3">
        <w:t xml:space="preserve"> </w:t>
      </w:r>
      <w:r w:rsidRPr="00DE30D3">
        <w:t>Public</w:t>
      </w:r>
      <w:r w:rsidR="00BF059B" w:rsidRPr="00DE30D3">
        <w:t xml:space="preserve"> </w:t>
      </w:r>
      <w:r w:rsidRPr="00DE30D3">
        <w:t>Park</w:t>
      </w:r>
      <w:r w:rsidR="00BF059B" w:rsidRPr="00DE30D3">
        <w:t xml:space="preserve"> </w:t>
      </w:r>
      <w:r w:rsidRPr="00DE30D3">
        <w:t>Trust</w:t>
      </w:r>
      <w:r w:rsidR="00BF059B" w:rsidRPr="00DE30D3">
        <w:t xml:space="preserve"> </w:t>
      </w:r>
    </w:p>
    <w:p w14:paraId="14BC41DF" w14:textId="77777777" w:rsidR="00BE13A8" w:rsidRDefault="00BE13A8"/>
    <w:p w14:paraId="1537BE6A" w14:textId="77777777" w:rsidR="00BE13A8" w:rsidRDefault="00D70530" w:rsidP="00DE30D3">
      <w:pPr>
        <w:pStyle w:val="Heading3"/>
      </w:pPr>
      <w:r>
        <w:t>Opinion</w:t>
      </w:r>
    </w:p>
    <w:p w14:paraId="1690970B" w14:textId="77777777" w:rsidR="00BE13A8" w:rsidRDefault="00BE13A8"/>
    <w:p w14:paraId="43FF2CC1" w14:textId="4EDEA50D" w:rsidR="00BE13A8" w:rsidRDefault="00D70530" w:rsidP="00DE30D3">
      <w:r>
        <w:t>We</w:t>
      </w:r>
      <w:r w:rsidR="00BF059B">
        <w:t xml:space="preserve"> </w:t>
      </w:r>
      <w:r>
        <w:t>have</w:t>
      </w:r>
      <w:r w:rsidR="00BF059B">
        <w:t xml:space="preserve"> </w:t>
      </w:r>
      <w:r>
        <w:t>audited</w:t>
      </w:r>
      <w:r w:rsidR="00BF059B">
        <w:t xml:space="preserve"> </w:t>
      </w:r>
      <w:r>
        <w:t>the</w:t>
      </w:r>
      <w:r w:rsidR="00BF059B">
        <w:t xml:space="preserve"> </w:t>
      </w:r>
      <w:r>
        <w:t>financial</w:t>
      </w:r>
      <w:r w:rsidR="00BF059B">
        <w:t xml:space="preserve"> </w:t>
      </w:r>
      <w:r>
        <w:t>statements</w:t>
      </w:r>
      <w:r w:rsidR="00BF059B">
        <w:t xml:space="preserve"> </w:t>
      </w:r>
      <w:r>
        <w:t>of</w:t>
      </w:r>
      <w:r w:rsidR="00BF059B">
        <w:t xml:space="preserve"> </w:t>
      </w:r>
      <w:r>
        <w:t>the</w:t>
      </w:r>
      <w:r w:rsidR="00BF059B">
        <w:t xml:space="preserve"> </w:t>
      </w:r>
      <w:r>
        <w:t>Horniman</w:t>
      </w:r>
      <w:r w:rsidR="00BF059B">
        <w:t xml:space="preserve"> </w:t>
      </w:r>
      <w:r>
        <w:t>Public</w:t>
      </w:r>
      <w:r w:rsidR="00BF059B">
        <w:t xml:space="preserve"> </w:t>
      </w:r>
      <w:r>
        <w:t>Museum</w:t>
      </w:r>
      <w:r w:rsidR="00BF059B">
        <w:t xml:space="preserve"> </w:t>
      </w:r>
      <w:r>
        <w:t>and</w:t>
      </w:r>
      <w:r w:rsidR="00BF059B">
        <w:t xml:space="preserve"> </w:t>
      </w:r>
      <w:r>
        <w:t>Public</w:t>
      </w:r>
      <w:r w:rsidR="00BF059B">
        <w:t xml:space="preserve"> </w:t>
      </w:r>
      <w:r>
        <w:t>Park</w:t>
      </w:r>
      <w:r w:rsidR="00BF059B">
        <w:t xml:space="preserve"> </w:t>
      </w:r>
      <w:r>
        <w:t>Trust</w:t>
      </w:r>
      <w:r w:rsidR="00BF059B">
        <w:t xml:space="preserve"> </w:t>
      </w:r>
      <w:r>
        <w:t>(the</w:t>
      </w:r>
      <w:r w:rsidR="00BF059B">
        <w:t xml:space="preserve"> </w:t>
      </w:r>
      <w:r>
        <w:t>‘parent</w:t>
      </w:r>
      <w:r w:rsidR="00BF059B">
        <w:t xml:space="preserve"> </w:t>
      </w:r>
      <w:r>
        <w:t>charitable</w:t>
      </w:r>
      <w:r w:rsidR="00BF059B">
        <w:t xml:space="preserve"> </w:t>
      </w:r>
      <w:r>
        <w:t>company’)</w:t>
      </w:r>
      <w:r w:rsidR="00BF059B">
        <w:t xml:space="preserve"> </w:t>
      </w:r>
      <w:r>
        <w:t>and</w:t>
      </w:r>
      <w:r w:rsidR="00BF059B">
        <w:t xml:space="preserve"> </w:t>
      </w:r>
      <w:r>
        <w:t>its</w:t>
      </w:r>
      <w:r w:rsidR="00BF059B">
        <w:t xml:space="preserve"> </w:t>
      </w:r>
      <w:r>
        <w:t>subsidiaries</w:t>
      </w:r>
      <w:r w:rsidR="00BF059B">
        <w:t xml:space="preserve"> </w:t>
      </w:r>
      <w:r>
        <w:t>(‘the</w:t>
      </w:r>
      <w:r w:rsidR="00BF059B">
        <w:t xml:space="preserve"> </w:t>
      </w:r>
      <w:r>
        <w:t>group’)</w:t>
      </w:r>
      <w:r w:rsidR="00BF059B">
        <w:t xml:space="preserve"> </w:t>
      </w:r>
      <w:r>
        <w:t>for</w:t>
      </w:r>
      <w:r w:rsidR="00BF059B">
        <w:t xml:space="preserve"> </w:t>
      </w:r>
      <w:r>
        <w:t>the</w:t>
      </w:r>
      <w:r w:rsidR="00BF059B">
        <w:t xml:space="preserve"> </w:t>
      </w:r>
      <w:r>
        <w:t>year</w:t>
      </w:r>
      <w:r w:rsidR="00BF059B">
        <w:t xml:space="preserve"> </w:t>
      </w:r>
      <w:r>
        <w:t>ended</w:t>
      </w:r>
      <w:r w:rsidR="00BF059B">
        <w:t xml:space="preserve"> </w:t>
      </w:r>
      <w:r>
        <w:t>31</w:t>
      </w:r>
      <w:r w:rsidR="00BF059B">
        <w:t xml:space="preserve"> </w:t>
      </w:r>
      <w:r>
        <w:t>March</w:t>
      </w:r>
      <w:r w:rsidR="00BF059B">
        <w:t xml:space="preserve"> </w:t>
      </w:r>
      <w:r>
        <w:t>2025</w:t>
      </w:r>
      <w:r w:rsidR="00BF059B">
        <w:t xml:space="preserve"> </w:t>
      </w:r>
      <w:r>
        <w:t>which</w:t>
      </w:r>
      <w:r w:rsidR="00BF059B">
        <w:t xml:space="preserve"> </w:t>
      </w:r>
      <w:r>
        <w:t>comprise</w:t>
      </w:r>
      <w:r w:rsidR="00BF059B">
        <w:t xml:space="preserve"> </w:t>
      </w:r>
      <w:r>
        <w:t>the</w:t>
      </w:r>
      <w:r w:rsidR="00BF059B">
        <w:t xml:space="preserve"> </w:t>
      </w:r>
      <w:r>
        <w:t>Group</w:t>
      </w:r>
      <w:r w:rsidR="00BF059B">
        <w:t xml:space="preserve"> </w:t>
      </w:r>
      <w:r>
        <w:t>Statement</w:t>
      </w:r>
      <w:r w:rsidR="00BF059B">
        <w:t xml:space="preserve"> </w:t>
      </w:r>
      <w:r>
        <w:t>of</w:t>
      </w:r>
      <w:r w:rsidR="00BF059B">
        <w:t xml:space="preserve"> </w:t>
      </w:r>
      <w:r>
        <w:t>Financial</w:t>
      </w:r>
      <w:r w:rsidR="00BF059B">
        <w:t xml:space="preserve"> </w:t>
      </w:r>
      <w:r>
        <w:t>Activities,</w:t>
      </w:r>
      <w:r w:rsidR="00BF059B">
        <w:t xml:space="preserve"> </w:t>
      </w:r>
      <w:r>
        <w:t>the</w:t>
      </w:r>
      <w:r w:rsidR="00BF059B">
        <w:t xml:space="preserve"> </w:t>
      </w:r>
      <w:r>
        <w:t>Group</w:t>
      </w:r>
      <w:r w:rsidR="00BF059B">
        <w:t xml:space="preserve"> </w:t>
      </w:r>
      <w:r>
        <w:t>Summary</w:t>
      </w:r>
      <w:r w:rsidR="00BF059B">
        <w:t xml:space="preserve"> </w:t>
      </w:r>
      <w:r>
        <w:t>Income</w:t>
      </w:r>
      <w:r w:rsidR="00BF059B">
        <w:t xml:space="preserve"> </w:t>
      </w:r>
      <w:r>
        <w:t>and</w:t>
      </w:r>
      <w:r w:rsidR="00BF059B">
        <w:t xml:space="preserve"> </w:t>
      </w:r>
      <w:r>
        <w:t>Expenditure</w:t>
      </w:r>
      <w:r w:rsidR="00BF059B">
        <w:t xml:space="preserve"> </w:t>
      </w:r>
      <w:r>
        <w:t>Account,</w:t>
      </w:r>
      <w:r w:rsidR="00BF059B">
        <w:t xml:space="preserve"> </w:t>
      </w:r>
      <w:r>
        <w:t>the</w:t>
      </w:r>
      <w:r w:rsidR="00BF059B">
        <w:t xml:space="preserve"> </w:t>
      </w:r>
      <w:r>
        <w:t>Group</w:t>
      </w:r>
      <w:r w:rsidR="00BF059B">
        <w:t xml:space="preserve"> </w:t>
      </w:r>
      <w:r>
        <w:t>and</w:t>
      </w:r>
      <w:r w:rsidR="00BF059B">
        <w:t xml:space="preserve"> </w:t>
      </w:r>
      <w:r>
        <w:t>Parent</w:t>
      </w:r>
      <w:r w:rsidR="00BF059B">
        <w:t xml:space="preserve"> </w:t>
      </w:r>
      <w:r>
        <w:t>Charitable</w:t>
      </w:r>
      <w:r w:rsidR="00BF059B">
        <w:t xml:space="preserve"> </w:t>
      </w:r>
      <w:r>
        <w:t>Company</w:t>
      </w:r>
      <w:r w:rsidR="00BF059B">
        <w:t xml:space="preserve"> </w:t>
      </w:r>
      <w:r>
        <w:t>Balance</w:t>
      </w:r>
      <w:r w:rsidR="00BF059B">
        <w:t xml:space="preserve"> </w:t>
      </w:r>
      <w:r>
        <w:t>Sheets,</w:t>
      </w:r>
      <w:r w:rsidR="00BF059B">
        <w:t xml:space="preserve"> </w:t>
      </w:r>
      <w:r>
        <w:t>the</w:t>
      </w:r>
      <w:r w:rsidR="00BF059B">
        <w:t xml:space="preserve"> </w:t>
      </w:r>
      <w:r>
        <w:t>Group</w:t>
      </w:r>
      <w:r w:rsidR="00BF059B">
        <w:t xml:space="preserve"> </w:t>
      </w:r>
      <w:r>
        <w:t>Cash</w:t>
      </w:r>
      <w:r w:rsidR="00BF059B">
        <w:t xml:space="preserve"> </w:t>
      </w:r>
      <w:r>
        <w:t>Flow</w:t>
      </w:r>
      <w:r w:rsidR="00BF059B">
        <w:t xml:space="preserve"> </w:t>
      </w:r>
      <w:r>
        <w:t>Statement</w:t>
      </w:r>
      <w:r w:rsidR="00BF059B">
        <w:t xml:space="preserve"> </w:t>
      </w:r>
      <w:r>
        <w:t>and</w:t>
      </w:r>
      <w:r w:rsidR="00BF059B">
        <w:t xml:space="preserve"> </w:t>
      </w:r>
      <w:r>
        <w:t>notes</w:t>
      </w:r>
      <w:r w:rsidR="00BF059B">
        <w:t xml:space="preserve"> </w:t>
      </w:r>
      <w:r>
        <w:t>to</w:t>
      </w:r>
      <w:r w:rsidR="00BF059B">
        <w:t xml:space="preserve"> </w:t>
      </w:r>
      <w:r>
        <w:t>the</w:t>
      </w:r>
      <w:r w:rsidR="00BF059B">
        <w:t xml:space="preserve"> </w:t>
      </w:r>
      <w:r>
        <w:t>financial</w:t>
      </w:r>
      <w:r w:rsidR="00BF059B">
        <w:t xml:space="preserve"> </w:t>
      </w:r>
      <w:r>
        <w:t>statements,</w:t>
      </w:r>
      <w:r w:rsidR="00BF059B">
        <w:t xml:space="preserve"> </w:t>
      </w:r>
      <w:r>
        <w:t>including</w:t>
      </w:r>
      <w:r w:rsidR="00BF059B">
        <w:t xml:space="preserve"> </w:t>
      </w:r>
      <w:r>
        <w:t>significant</w:t>
      </w:r>
      <w:r w:rsidR="00BF059B">
        <w:t xml:space="preserve"> </w:t>
      </w:r>
      <w:r>
        <w:t>accounting</w:t>
      </w:r>
      <w:r w:rsidR="00BF059B">
        <w:t xml:space="preserve"> </w:t>
      </w:r>
      <w:r>
        <w:t>policies.</w:t>
      </w:r>
      <w:r w:rsidR="00BF059B">
        <w:t xml:space="preserve"> </w:t>
      </w:r>
      <w:r>
        <w:t>The</w:t>
      </w:r>
      <w:r w:rsidR="00BF059B">
        <w:t xml:space="preserve"> </w:t>
      </w:r>
      <w:r>
        <w:t>financial</w:t>
      </w:r>
      <w:r w:rsidR="00BF059B">
        <w:t xml:space="preserve"> </w:t>
      </w:r>
      <w:r>
        <w:t>reporting</w:t>
      </w:r>
      <w:r w:rsidR="00BF059B">
        <w:t xml:space="preserve"> </w:t>
      </w:r>
      <w:r>
        <w:t>framework</w:t>
      </w:r>
      <w:r w:rsidR="00BF059B">
        <w:t xml:space="preserve"> </w:t>
      </w:r>
      <w:r>
        <w:t>that</w:t>
      </w:r>
      <w:r w:rsidR="00BF059B">
        <w:t xml:space="preserve"> </w:t>
      </w:r>
      <w:r>
        <w:t>has</w:t>
      </w:r>
      <w:r w:rsidR="00BF059B">
        <w:t xml:space="preserve"> </w:t>
      </w:r>
      <w:r>
        <w:t>been</w:t>
      </w:r>
      <w:r w:rsidR="00BF059B">
        <w:t xml:space="preserve"> </w:t>
      </w:r>
      <w:r>
        <w:t>applied</w:t>
      </w:r>
      <w:r w:rsidR="00BF059B">
        <w:t xml:space="preserve"> </w:t>
      </w:r>
      <w:r>
        <w:t>in</w:t>
      </w:r>
      <w:r w:rsidR="00BF059B">
        <w:t xml:space="preserve"> </w:t>
      </w:r>
      <w:r>
        <w:t>their</w:t>
      </w:r>
      <w:r w:rsidR="00BF059B">
        <w:t xml:space="preserve"> </w:t>
      </w:r>
      <w:r>
        <w:t>preparation</w:t>
      </w:r>
      <w:r w:rsidR="00BF059B">
        <w:t xml:space="preserve"> </w:t>
      </w:r>
      <w:r>
        <w:t>is</w:t>
      </w:r>
      <w:r w:rsidR="00BF059B">
        <w:t xml:space="preserve"> </w:t>
      </w:r>
      <w:r>
        <w:t>applicable</w:t>
      </w:r>
      <w:r w:rsidR="00BF059B">
        <w:t xml:space="preserve"> </w:t>
      </w:r>
      <w:r>
        <w:t>law</w:t>
      </w:r>
      <w:r w:rsidR="00BF059B">
        <w:t xml:space="preserve"> </w:t>
      </w:r>
      <w:r>
        <w:t>and</w:t>
      </w:r>
      <w:r w:rsidR="00BF059B">
        <w:t xml:space="preserve"> </w:t>
      </w:r>
      <w:r>
        <w:t>United</w:t>
      </w:r>
      <w:r w:rsidR="00BF059B">
        <w:t xml:space="preserve"> </w:t>
      </w:r>
      <w:r>
        <w:t>Kingdom</w:t>
      </w:r>
      <w:r w:rsidR="00BF059B">
        <w:t xml:space="preserve"> </w:t>
      </w:r>
      <w:r>
        <w:t>Accounting</w:t>
      </w:r>
      <w:r w:rsidR="00BF059B">
        <w:t xml:space="preserve"> </w:t>
      </w:r>
      <w:r>
        <w:t>Standards,</w:t>
      </w:r>
      <w:r w:rsidR="00BF059B">
        <w:t xml:space="preserve"> </w:t>
      </w:r>
      <w:r>
        <w:t>including</w:t>
      </w:r>
      <w:r w:rsidR="00BF059B">
        <w:t xml:space="preserve"> </w:t>
      </w:r>
      <w:r>
        <w:t>Financial</w:t>
      </w:r>
      <w:r w:rsidR="00BF059B">
        <w:t xml:space="preserve"> </w:t>
      </w:r>
      <w:r>
        <w:t>Reporting</w:t>
      </w:r>
      <w:r w:rsidR="00BF059B">
        <w:t xml:space="preserve"> </w:t>
      </w:r>
      <w:r>
        <w:t>Standard</w:t>
      </w:r>
      <w:r w:rsidR="00BF059B">
        <w:t xml:space="preserve"> </w:t>
      </w:r>
      <w:r>
        <w:t>102</w:t>
      </w:r>
      <w:r w:rsidR="00BF059B">
        <w:t xml:space="preserve"> </w:t>
      </w:r>
      <w:r>
        <w:t>The</w:t>
      </w:r>
      <w:r w:rsidR="00BF059B">
        <w:t xml:space="preserve"> </w:t>
      </w:r>
      <w:r>
        <w:t>Financial</w:t>
      </w:r>
      <w:r w:rsidR="00BF059B">
        <w:t xml:space="preserve"> </w:t>
      </w:r>
      <w:r>
        <w:t>Reporting</w:t>
      </w:r>
      <w:r w:rsidR="00BF059B">
        <w:t xml:space="preserve"> </w:t>
      </w:r>
      <w:r>
        <w:t>Standard</w:t>
      </w:r>
      <w:r w:rsidR="00BF059B">
        <w:t xml:space="preserve"> </w:t>
      </w:r>
      <w:r>
        <w:t>applicable</w:t>
      </w:r>
      <w:r w:rsidR="00BF059B">
        <w:t xml:space="preserve"> </w:t>
      </w:r>
      <w:r>
        <w:t>in</w:t>
      </w:r>
      <w:r w:rsidR="00BF059B">
        <w:t xml:space="preserve"> </w:t>
      </w:r>
      <w:r>
        <w:t>the</w:t>
      </w:r>
      <w:r w:rsidR="00BF059B">
        <w:t xml:space="preserve"> </w:t>
      </w:r>
      <w:r>
        <w:t>UK</w:t>
      </w:r>
      <w:r w:rsidR="00BF059B">
        <w:t xml:space="preserve"> </w:t>
      </w:r>
      <w:r>
        <w:t>and</w:t>
      </w:r>
      <w:r w:rsidR="00BF059B">
        <w:t xml:space="preserve"> </w:t>
      </w:r>
      <w:r>
        <w:t>Republic</w:t>
      </w:r>
      <w:r w:rsidR="00BF059B">
        <w:t xml:space="preserve"> </w:t>
      </w:r>
      <w:r>
        <w:t>of</w:t>
      </w:r>
      <w:r w:rsidR="00BF059B">
        <w:t xml:space="preserve"> </w:t>
      </w:r>
      <w:r>
        <w:t>Ireland</w:t>
      </w:r>
      <w:r w:rsidR="00BF059B">
        <w:t xml:space="preserve"> </w:t>
      </w:r>
      <w:r>
        <w:t>(United</w:t>
      </w:r>
      <w:r w:rsidR="00BF059B">
        <w:t xml:space="preserve"> </w:t>
      </w:r>
      <w:r>
        <w:t>Kingdom</w:t>
      </w:r>
      <w:r w:rsidR="00BF059B">
        <w:t xml:space="preserve"> </w:t>
      </w:r>
      <w:r>
        <w:t>Generally</w:t>
      </w:r>
      <w:r w:rsidR="00BF059B">
        <w:t xml:space="preserve"> </w:t>
      </w:r>
      <w:r>
        <w:t>Accepted</w:t>
      </w:r>
      <w:r w:rsidR="00BF059B">
        <w:t xml:space="preserve"> </w:t>
      </w:r>
      <w:r>
        <w:t>Accounting</w:t>
      </w:r>
      <w:r w:rsidR="00BF059B">
        <w:t xml:space="preserve"> </w:t>
      </w:r>
      <w:r>
        <w:t>Practice).</w:t>
      </w:r>
    </w:p>
    <w:p w14:paraId="2F64C4F3" w14:textId="77777777" w:rsidR="00BE13A8" w:rsidRDefault="00BE13A8" w:rsidP="00DE30D3"/>
    <w:p w14:paraId="47E47A24" w14:textId="3AF1C599" w:rsidR="00BE13A8" w:rsidRDefault="00D70530" w:rsidP="00DE30D3">
      <w:r>
        <w:t>In</w:t>
      </w:r>
      <w:r w:rsidR="00BF059B">
        <w:t xml:space="preserve"> </w:t>
      </w:r>
      <w:r>
        <w:t>our</w:t>
      </w:r>
      <w:r w:rsidR="00BF059B">
        <w:t xml:space="preserve"> </w:t>
      </w:r>
      <w:r>
        <w:t>opinion</w:t>
      </w:r>
      <w:r w:rsidR="00BF059B">
        <w:t xml:space="preserve"> </w:t>
      </w:r>
      <w:r>
        <w:t>the</w:t>
      </w:r>
      <w:r w:rsidR="00BF059B">
        <w:t xml:space="preserve"> </w:t>
      </w:r>
      <w:r>
        <w:t>financial</w:t>
      </w:r>
      <w:r w:rsidR="00BF059B">
        <w:t xml:space="preserve"> </w:t>
      </w:r>
      <w:r>
        <w:t>statements:</w:t>
      </w:r>
    </w:p>
    <w:p w14:paraId="232E8515" w14:textId="77777777" w:rsidR="00BE13A8" w:rsidRDefault="00BE13A8" w:rsidP="00DE30D3"/>
    <w:p w14:paraId="4AB42D7A" w14:textId="74658B71" w:rsidR="00BE13A8" w:rsidRDefault="00D70530" w:rsidP="00DE30D3">
      <w:pPr>
        <w:numPr>
          <w:ilvl w:val="0"/>
          <w:numId w:val="37"/>
        </w:numPr>
      </w:pPr>
      <w:r>
        <w:t>give</w:t>
      </w:r>
      <w:r w:rsidR="00BF059B">
        <w:t xml:space="preserve"> </w:t>
      </w:r>
      <w:r>
        <w:t>a</w:t>
      </w:r>
      <w:r w:rsidR="00BF059B">
        <w:t xml:space="preserve"> </w:t>
      </w:r>
      <w:r>
        <w:t>true</w:t>
      </w:r>
      <w:r w:rsidR="00BF059B">
        <w:t xml:space="preserve"> </w:t>
      </w:r>
      <w:r>
        <w:t>and</w:t>
      </w:r>
      <w:r w:rsidR="00BF059B">
        <w:t xml:space="preserve"> </w:t>
      </w:r>
      <w:r>
        <w:t>fair</w:t>
      </w:r>
      <w:r w:rsidR="00BF059B">
        <w:t xml:space="preserve"> </w:t>
      </w:r>
      <w:r>
        <w:t>view</w:t>
      </w:r>
      <w:r w:rsidR="00BF059B">
        <w:t xml:space="preserve"> </w:t>
      </w:r>
      <w:r>
        <w:t>of</w:t>
      </w:r>
      <w:r w:rsidR="00BF059B">
        <w:t xml:space="preserve"> </w:t>
      </w:r>
      <w:r>
        <w:t>the</w:t>
      </w:r>
      <w:r w:rsidR="00BF059B">
        <w:t xml:space="preserve"> </w:t>
      </w:r>
      <w:r>
        <w:t>state</w:t>
      </w:r>
      <w:r w:rsidR="00BF059B">
        <w:t xml:space="preserve"> </w:t>
      </w:r>
      <w:r>
        <w:t>of</w:t>
      </w:r>
      <w:r w:rsidR="00BF059B">
        <w:t xml:space="preserve"> </w:t>
      </w:r>
      <w:r>
        <w:t>the</w:t>
      </w:r>
      <w:r w:rsidR="00BF059B">
        <w:t xml:space="preserve"> </w:t>
      </w:r>
      <w:proofErr w:type="gramStart"/>
      <w:r>
        <w:t>group’s</w:t>
      </w:r>
      <w:proofErr w:type="gramEnd"/>
      <w:r w:rsidR="00BF059B">
        <w:t xml:space="preserve"> </w:t>
      </w:r>
      <w:r>
        <w:t>and</w:t>
      </w:r>
      <w:r w:rsidR="00BF059B">
        <w:t xml:space="preserve"> </w:t>
      </w:r>
      <w:r>
        <w:t>the</w:t>
      </w:r>
      <w:r w:rsidR="00BF059B">
        <w:t xml:space="preserve"> </w:t>
      </w:r>
      <w:r>
        <w:t>parent</w:t>
      </w:r>
      <w:r w:rsidR="00BF059B">
        <w:t xml:space="preserve"> </w:t>
      </w:r>
      <w:r>
        <w:t>charitable</w:t>
      </w:r>
      <w:r w:rsidR="00BF059B">
        <w:t xml:space="preserve"> </w:t>
      </w:r>
      <w:r>
        <w:t>company’s</w:t>
      </w:r>
      <w:r w:rsidR="00BF059B">
        <w:t xml:space="preserve"> </w:t>
      </w:r>
      <w:r>
        <w:t>affairs</w:t>
      </w:r>
      <w:r w:rsidR="00BF059B">
        <w:t xml:space="preserve"> </w:t>
      </w:r>
      <w:r>
        <w:t>as</w:t>
      </w:r>
      <w:r w:rsidR="00BF059B">
        <w:t xml:space="preserve"> </w:t>
      </w:r>
      <w:proofErr w:type="gramStart"/>
      <w:r>
        <w:t>at</w:t>
      </w:r>
      <w:proofErr w:type="gramEnd"/>
      <w:r w:rsidR="00BF059B">
        <w:t xml:space="preserve"> </w:t>
      </w:r>
      <w:r>
        <w:t>31</w:t>
      </w:r>
      <w:r w:rsidR="00BF059B">
        <w:t xml:space="preserve"> </w:t>
      </w:r>
      <w:r>
        <w:t>March</w:t>
      </w:r>
      <w:r w:rsidR="00BF059B">
        <w:t xml:space="preserve"> </w:t>
      </w:r>
      <w:r>
        <w:t>2025</w:t>
      </w:r>
      <w:r w:rsidR="00BF059B">
        <w:t xml:space="preserve"> </w:t>
      </w:r>
      <w:r>
        <w:t>and</w:t>
      </w:r>
      <w:r w:rsidR="00BF059B">
        <w:t xml:space="preserve"> </w:t>
      </w:r>
      <w:r>
        <w:t>of</w:t>
      </w:r>
      <w:r w:rsidR="00BF059B">
        <w:t xml:space="preserve"> </w:t>
      </w:r>
      <w:r>
        <w:t>the</w:t>
      </w:r>
      <w:r w:rsidR="00BF059B">
        <w:t xml:space="preserve"> </w:t>
      </w:r>
      <w:r>
        <w:t>group’s</w:t>
      </w:r>
      <w:r w:rsidR="00BF059B">
        <w:t xml:space="preserve"> </w:t>
      </w:r>
      <w:r>
        <w:t>incoming</w:t>
      </w:r>
      <w:r w:rsidR="00BF059B">
        <w:t xml:space="preserve"> </w:t>
      </w:r>
      <w:r>
        <w:t>resources</w:t>
      </w:r>
      <w:r w:rsidR="00BF059B">
        <w:t xml:space="preserve"> </w:t>
      </w:r>
      <w:r>
        <w:t>and</w:t>
      </w:r>
      <w:r w:rsidR="00BF059B">
        <w:t xml:space="preserve"> </w:t>
      </w:r>
      <w:r>
        <w:t>application</w:t>
      </w:r>
      <w:r w:rsidR="00BF059B">
        <w:t xml:space="preserve"> </w:t>
      </w:r>
      <w:r>
        <w:t>of</w:t>
      </w:r>
      <w:r w:rsidR="00BF059B">
        <w:t xml:space="preserve"> </w:t>
      </w:r>
      <w:r>
        <w:t>resources,</w:t>
      </w:r>
      <w:r w:rsidR="00BF059B">
        <w:t xml:space="preserve"> </w:t>
      </w:r>
      <w:r>
        <w:t>including</w:t>
      </w:r>
      <w:r w:rsidR="00BF059B">
        <w:t xml:space="preserve"> </w:t>
      </w:r>
      <w:r>
        <w:t>its</w:t>
      </w:r>
      <w:r w:rsidR="00BF059B">
        <w:t xml:space="preserve"> </w:t>
      </w:r>
      <w:r>
        <w:t>income</w:t>
      </w:r>
      <w:r w:rsidR="00BF059B">
        <w:t xml:space="preserve"> </w:t>
      </w:r>
      <w:r>
        <w:t>and</w:t>
      </w:r>
      <w:r w:rsidR="00BF059B">
        <w:t xml:space="preserve"> </w:t>
      </w:r>
      <w:r>
        <w:t>expenditure,</w:t>
      </w:r>
      <w:r w:rsidR="00BF059B">
        <w:t xml:space="preserve"> </w:t>
      </w:r>
      <w:r>
        <w:t>for</w:t>
      </w:r>
      <w:r w:rsidR="00BF059B">
        <w:t xml:space="preserve"> </w:t>
      </w:r>
      <w:r>
        <w:t>the</w:t>
      </w:r>
      <w:r w:rsidR="00BF059B">
        <w:t xml:space="preserve"> </w:t>
      </w:r>
      <w:r>
        <w:t>year</w:t>
      </w:r>
      <w:r w:rsidR="00BF059B">
        <w:t xml:space="preserve"> </w:t>
      </w:r>
      <w:r>
        <w:t>that</w:t>
      </w:r>
      <w:r w:rsidR="00BF059B">
        <w:t xml:space="preserve"> </w:t>
      </w:r>
      <w:proofErr w:type="gramStart"/>
      <w:r>
        <w:t>ended;</w:t>
      </w:r>
      <w:proofErr w:type="gramEnd"/>
    </w:p>
    <w:p w14:paraId="7D4179A8" w14:textId="7D9CC9DA" w:rsidR="00BE13A8" w:rsidRDefault="00D70530" w:rsidP="00DE30D3">
      <w:pPr>
        <w:numPr>
          <w:ilvl w:val="0"/>
          <w:numId w:val="37"/>
        </w:numPr>
      </w:pPr>
      <w:r>
        <w:t>have</w:t>
      </w:r>
      <w:r w:rsidR="00BF059B">
        <w:t xml:space="preserve"> </w:t>
      </w:r>
      <w:r>
        <w:t>been</w:t>
      </w:r>
      <w:r w:rsidR="00BF059B">
        <w:t xml:space="preserve"> </w:t>
      </w:r>
      <w:r>
        <w:t>properly</w:t>
      </w:r>
      <w:r w:rsidR="00BF059B">
        <w:t xml:space="preserve"> </w:t>
      </w:r>
      <w:r>
        <w:t>prepared</w:t>
      </w:r>
      <w:r w:rsidR="00BF059B">
        <w:t xml:space="preserve"> </w:t>
      </w:r>
      <w:r>
        <w:t>in</w:t>
      </w:r>
      <w:r w:rsidR="00BF059B">
        <w:t xml:space="preserve"> </w:t>
      </w:r>
      <w:r>
        <w:t>accordance</w:t>
      </w:r>
      <w:r w:rsidR="00BF059B">
        <w:t xml:space="preserve"> </w:t>
      </w:r>
      <w:r>
        <w:t>with</w:t>
      </w:r>
      <w:r w:rsidR="00BF059B">
        <w:t xml:space="preserve"> </w:t>
      </w:r>
      <w:r>
        <w:t>United</w:t>
      </w:r>
      <w:r w:rsidR="00BF059B">
        <w:t xml:space="preserve"> </w:t>
      </w:r>
      <w:r>
        <w:t>Kingdom</w:t>
      </w:r>
      <w:r w:rsidR="00BF059B">
        <w:t xml:space="preserve"> </w:t>
      </w:r>
      <w:r>
        <w:t>Generally</w:t>
      </w:r>
      <w:r w:rsidR="00BF059B">
        <w:t xml:space="preserve"> </w:t>
      </w:r>
      <w:r>
        <w:t>Accepted</w:t>
      </w:r>
      <w:r w:rsidR="00BF059B">
        <w:t xml:space="preserve"> </w:t>
      </w:r>
      <w:r>
        <w:t>Accounting</w:t>
      </w:r>
      <w:r w:rsidR="00BF059B">
        <w:t xml:space="preserve"> </w:t>
      </w:r>
      <w:r>
        <w:t>Practice;</w:t>
      </w:r>
      <w:r w:rsidR="00BF059B">
        <w:t xml:space="preserve"> </w:t>
      </w:r>
      <w:r>
        <w:t>and</w:t>
      </w:r>
    </w:p>
    <w:p w14:paraId="53E52827" w14:textId="259B158D" w:rsidR="00BE13A8" w:rsidRDefault="00D70530" w:rsidP="00DE30D3">
      <w:pPr>
        <w:numPr>
          <w:ilvl w:val="0"/>
          <w:numId w:val="37"/>
        </w:numPr>
      </w:pPr>
      <w:r>
        <w:t>have</w:t>
      </w:r>
      <w:r w:rsidR="00BF059B">
        <w:t xml:space="preserve"> </w:t>
      </w:r>
      <w:r>
        <w:t>been</w:t>
      </w:r>
      <w:r w:rsidR="00BF059B">
        <w:t xml:space="preserve"> </w:t>
      </w:r>
      <w:r>
        <w:t>prepared</w:t>
      </w:r>
      <w:r w:rsidR="00BF059B">
        <w:t xml:space="preserve"> </w:t>
      </w:r>
      <w:r>
        <w:t>in</w:t>
      </w:r>
      <w:r w:rsidR="00BF059B">
        <w:t xml:space="preserve"> </w:t>
      </w:r>
      <w:r>
        <w:t>accordance</w:t>
      </w:r>
      <w:r w:rsidR="00BF059B">
        <w:t xml:space="preserve"> </w:t>
      </w:r>
      <w:r>
        <w:t>with</w:t>
      </w:r>
      <w:r w:rsidR="00BF059B">
        <w:t xml:space="preserve"> </w:t>
      </w:r>
      <w:r>
        <w:t>the</w:t>
      </w:r>
      <w:r w:rsidR="00BF059B">
        <w:t xml:space="preserve"> </w:t>
      </w:r>
      <w:r>
        <w:t>requirements</w:t>
      </w:r>
      <w:r w:rsidR="00BF059B">
        <w:t xml:space="preserve"> </w:t>
      </w:r>
      <w:r>
        <w:t>of</w:t>
      </w:r>
      <w:r w:rsidR="00BF059B">
        <w:t xml:space="preserve"> </w:t>
      </w:r>
      <w:r>
        <w:t>the</w:t>
      </w:r>
      <w:r w:rsidR="00BF059B">
        <w:t xml:space="preserve"> </w:t>
      </w:r>
      <w:r>
        <w:t>Companies</w:t>
      </w:r>
      <w:r w:rsidR="00BF059B">
        <w:t xml:space="preserve"> </w:t>
      </w:r>
      <w:r>
        <w:t>Act</w:t>
      </w:r>
      <w:r w:rsidR="00BF059B">
        <w:t xml:space="preserve"> </w:t>
      </w:r>
      <w:r>
        <w:t>2006.</w:t>
      </w:r>
    </w:p>
    <w:p w14:paraId="19423F68" w14:textId="77777777" w:rsidR="00BE13A8" w:rsidRDefault="00BE13A8" w:rsidP="00DE30D3"/>
    <w:p w14:paraId="1D872717" w14:textId="73A1926B" w:rsidR="00BE13A8" w:rsidRDefault="00D70530" w:rsidP="00DE30D3">
      <w:pPr>
        <w:pStyle w:val="Heading3"/>
      </w:pPr>
      <w:r>
        <w:t>Basis</w:t>
      </w:r>
      <w:r w:rsidR="00BF059B">
        <w:t xml:space="preserve"> </w:t>
      </w:r>
      <w:r>
        <w:t>for</w:t>
      </w:r>
      <w:r w:rsidR="00BF059B">
        <w:t xml:space="preserve"> </w:t>
      </w:r>
      <w:r>
        <w:t>opinion</w:t>
      </w:r>
    </w:p>
    <w:p w14:paraId="64F35A92" w14:textId="77777777" w:rsidR="00BE13A8" w:rsidRDefault="00BE13A8" w:rsidP="00DE30D3"/>
    <w:p w14:paraId="66E67C3D" w14:textId="0167B30C" w:rsidR="00BE13A8" w:rsidRDefault="00D70530" w:rsidP="00DE30D3">
      <w:r>
        <w:t>We</w:t>
      </w:r>
      <w:r w:rsidR="00BF059B">
        <w:t xml:space="preserve"> </w:t>
      </w:r>
      <w:r>
        <w:t>conducted</w:t>
      </w:r>
      <w:r w:rsidR="00BF059B">
        <w:t xml:space="preserve"> </w:t>
      </w:r>
      <w:r>
        <w:t>our</w:t>
      </w:r>
      <w:r w:rsidR="00BF059B">
        <w:t xml:space="preserve"> </w:t>
      </w:r>
      <w:r>
        <w:t>audit</w:t>
      </w:r>
      <w:r w:rsidR="00BF059B">
        <w:t xml:space="preserve"> </w:t>
      </w:r>
      <w:r>
        <w:t>in</w:t>
      </w:r>
      <w:r w:rsidR="00BF059B">
        <w:t xml:space="preserve"> </w:t>
      </w:r>
      <w:r>
        <w:t>accordance</w:t>
      </w:r>
      <w:r w:rsidR="00BF059B">
        <w:t xml:space="preserve"> </w:t>
      </w:r>
      <w:r>
        <w:t>with</w:t>
      </w:r>
      <w:r w:rsidR="00BF059B">
        <w:t xml:space="preserve"> </w:t>
      </w:r>
      <w:r>
        <w:t>International</w:t>
      </w:r>
      <w:r w:rsidR="00BF059B">
        <w:t xml:space="preserve"> </w:t>
      </w:r>
      <w:r>
        <w:t>Standards</w:t>
      </w:r>
      <w:r w:rsidR="00BF059B">
        <w:t xml:space="preserve"> </w:t>
      </w:r>
      <w:r>
        <w:t>on</w:t>
      </w:r>
      <w:r w:rsidR="00BF059B">
        <w:t xml:space="preserve"> </w:t>
      </w:r>
      <w:r>
        <w:t>Auditing</w:t>
      </w:r>
      <w:r w:rsidR="00BF059B">
        <w:t xml:space="preserve"> </w:t>
      </w:r>
      <w:r>
        <w:t>(UK)</w:t>
      </w:r>
      <w:r w:rsidR="00BF059B">
        <w:t xml:space="preserve"> </w:t>
      </w:r>
      <w:r>
        <w:t>(</w:t>
      </w:r>
      <w:proofErr w:type="gramStart"/>
      <w:r>
        <w:t>ISAs(</w:t>
      </w:r>
      <w:proofErr w:type="gramEnd"/>
      <w:r>
        <w:t>UK))</w:t>
      </w:r>
      <w:r w:rsidR="00BF059B">
        <w:t xml:space="preserve"> </w:t>
      </w:r>
      <w:r>
        <w:t>and</w:t>
      </w:r>
      <w:r w:rsidR="00BF059B">
        <w:t xml:space="preserve"> </w:t>
      </w:r>
      <w:r>
        <w:t>applicable</w:t>
      </w:r>
      <w:r w:rsidR="00BF059B">
        <w:t xml:space="preserve"> </w:t>
      </w:r>
      <w:r>
        <w:t>law.</w:t>
      </w:r>
      <w:r w:rsidR="00BF059B">
        <w:t xml:space="preserve"> </w:t>
      </w:r>
      <w:r>
        <w:t>Our</w:t>
      </w:r>
      <w:r w:rsidR="00BF059B">
        <w:t xml:space="preserve"> </w:t>
      </w:r>
      <w:r>
        <w:t>responsibilities</w:t>
      </w:r>
      <w:r w:rsidR="00BF059B">
        <w:t xml:space="preserve"> </w:t>
      </w:r>
      <w:r>
        <w:t>under</w:t>
      </w:r>
      <w:r w:rsidR="00BF059B">
        <w:t xml:space="preserve"> </w:t>
      </w:r>
      <w:r>
        <w:t>those</w:t>
      </w:r>
      <w:r w:rsidR="00BF059B">
        <w:t xml:space="preserve"> </w:t>
      </w:r>
      <w:r>
        <w:t>standards</w:t>
      </w:r>
      <w:r w:rsidR="00BF059B">
        <w:t xml:space="preserve"> </w:t>
      </w:r>
      <w:r>
        <w:t>are</w:t>
      </w:r>
      <w:r w:rsidR="00BF059B">
        <w:t xml:space="preserve"> </w:t>
      </w:r>
      <w:r>
        <w:t>further</w:t>
      </w:r>
      <w:r w:rsidR="00BF059B">
        <w:t xml:space="preserve"> </w:t>
      </w:r>
      <w:r>
        <w:t>described</w:t>
      </w:r>
      <w:r w:rsidR="00BF059B">
        <w:t xml:space="preserve"> </w:t>
      </w:r>
      <w:r>
        <w:t>in</w:t>
      </w:r>
      <w:r w:rsidR="00BF059B">
        <w:t xml:space="preserve"> </w:t>
      </w:r>
      <w:r>
        <w:t>the</w:t>
      </w:r>
      <w:r w:rsidR="00BF059B">
        <w:t xml:space="preserve"> </w:t>
      </w:r>
      <w:r>
        <w:t>Auditor’s</w:t>
      </w:r>
      <w:r w:rsidR="00BF059B">
        <w:t xml:space="preserve"> </w:t>
      </w:r>
      <w:r>
        <w:t>Responsibilities</w:t>
      </w:r>
      <w:r w:rsidR="00BF059B">
        <w:t xml:space="preserve"> </w:t>
      </w:r>
      <w:r>
        <w:t>for</w:t>
      </w:r>
      <w:r w:rsidR="00BF059B">
        <w:t xml:space="preserve"> </w:t>
      </w:r>
      <w:r>
        <w:t>the</w:t>
      </w:r>
      <w:r w:rsidR="00BF059B">
        <w:t xml:space="preserve"> </w:t>
      </w:r>
      <w:r>
        <w:t>audit</w:t>
      </w:r>
      <w:r w:rsidR="00BF059B">
        <w:t xml:space="preserve"> </w:t>
      </w:r>
      <w:r>
        <w:t>of</w:t>
      </w:r>
      <w:r w:rsidR="00BF059B">
        <w:t xml:space="preserve"> </w:t>
      </w:r>
      <w:r>
        <w:t>the</w:t>
      </w:r>
      <w:r w:rsidR="00BF059B">
        <w:t xml:space="preserve"> </w:t>
      </w:r>
      <w:r>
        <w:t>financial</w:t>
      </w:r>
      <w:r w:rsidR="00BF059B">
        <w:t xml:space="preserve"> </w:t>
      </w:r>
      <w:r>
        <w:t>statements</w:t>
      </w:r>
      <w:r w:rsidR="00BF059B">
        <w:t xml:space="preserve"> </w:t>
      </w:r>
      <w:r>
        <w:t>section</w:t>
      </w:r>
      <w:r w:rsidR="00BF059B">
        <w:t xml:space="preserve"> </w:t>
      </w:r>
      <w:r>
        <w:t>of</w:t>
      </w:r>
      <w:r w:rsidR="00BF059B">
        <w:t xml:space="preserve"> </w:t>
      </w:r>
      <w:r>
        <w:lastRenderedPageBreak/>
        <w:t>our</w:t>
      </w:r>
      <w:r w:rsidR="00BF059B">
        <w:t xml:space="preserve"> </w:t>
      </w:r>
      <w:r>
        <w:t>report.</w:t>
      </w:r>
      <w:r w:rsidR="00BF059B">
        <w:t xml:space="preserve"> </w:t>
      </w:r>
      <w:r>
        <w:t>We</w:t>
      </w:r>
      <w:r w:rsidR="00BF059B">
        <w:t xml:space="preserve"> </w:t>
      </w:r>
      <w:r>
        <w:t>are</w:t>
      </w:r>
      <w:r w:rsidR="00BF059B">
        <w:t xml:space="preserve"> </w:t>
      </w:r>
      <w:r>
        <w:t>independent</w:t>
      </w:r>
      <w:r w:rsidR="00BF059B">
        <w:t xml:space="preserve"> </w:t>
      </w:r>
      <w:r>
        <w:t>of</w:t>
      </w:r>
      <w:r w:rsidR="00BF059B">
        <w:t xml:space="preserve"> </w:t>
      </w:r>
      <w:r>
        <w:t>the</w:t>
      </w:r>
      <w:r w:rsidR="00BF059B">
        <w:t xml:space="preserve"> </w:t>
      </w:r>
      <w:r>
        <w:t>charitable</w:t>
      </w:r>
      <w:r w:rsidR="00BF059B">
        <w:t xml:space="preserve"> </w:t>
      </w:r>
      <w:r>
        <w:t>company</w:t>
      </w:r>
      <w:r w:rsidR="00BF059B">
        <w:t xml:space="preserve"> </w:t>
      </w:r>
      <w:r>
        <w:t>in</w:t>
      </w:r>
      <w:r w:rsidR="00BF059B">
        <w:t xml:space="preserve"> </w:t>
      </w:r>
      <w:r>
        <w:t>accordance</w:t>
      </w:r>
      <w:r w:rsidR="00BF059B">
        <w:t xml:space="preserve"> </w:t>
      </w:r>
      <w:r>
        <w:t>with</w:t>
      </w:r>
      <w:r w:rsidR="00BF059B">
        <w:t xml:space="preserve"> </w:t>
      </w:r>
      <w:r>
        <w:t>the</w:t>
      </w:r>
      <w:r w:rsidR="00BF059B">
        <w:t xml:space="preserve"> </w:t>
      </w:r>
      <w:r>
        <w:t>ethical</w:t>
      </w:r>
      <w:r w:rsidR="00BF059B">
        <w:t xml:space="preserve"> </w:t>
      </w:r>
      <w:r>
        <w:t>requirements</w:t>
      </w:r>
      <w:r w:rsidR="00BF059B">
        <w:t xml:space="preserve"> </w:t>
      </w:r>
      <w:r>
        <w:t>that</w:t>
      </w:r>
      <w:r w:rsidR="00BF059B">
        <w:t xml:space="preserve"> </w:t>
      </w:r>
      <w:r>
        <w:t>are</w:t>
      </w:r>
      <w:r w:rsidR="00BF059B">
        <w:t xml:space="preserve"> </w:t>
      </w:r>
      <w:r>
        <w:t>relevant</w:t>
      </w:r>
      <w:r w:rsidR="00BF059B">
        <w:t xml:space="preserve"> </w:t>
      </w:r>
      <w:r>
        <w:t>to</w:t>
      </w:r>
      <w:r w:rsidR="00BF059B">
        <w:t xml:space="preserve"> </w:t>
      </w:r>
      <w:r>
        <w:t>our</w:t>
      </w:r>
      <w:r w:rsidR="00BF059B">
        <w:t xml:space="preserve"> </w:t>
      </w:r>
      <w:r>
        <w:t>audit</w:t>
      </w:r>
      <w:r w:rsidR="00BF059B">
        <w:t xml:space="preserve"> </w:t>
      </w:r>
      <w:r>
        <w:t>of</w:t>
      </w:r>
      <w:r w:rsidR="00BF059B">
        <w:t xml:space="preserve"> </w:t>
      </w:r>
      <w:r>
        <w:t>the</w:t>
      </w:r>
      <w:r w:rsidR="00BF059B">
        <w:t xml:space="preserve"> </w:t>
      </w:r>
      <w:r>
        <w:t>financial</w:t>
      </w:r>
      <w:r w:rsidR="00BF059B">
        <w:t xml:space="preserve"> </w:t>
      </w:r>
      <w:r>
        <w:t>statements</w:t>
      </w:r>
      <w:r w:rsidR="00BF059B">
        <w:t xml:space="preserve"> </w:t>
      </w:r>
      <w:r>
        <w:t>in</w:t>
      </w:r>
      <w:r w:rsidR="00BF059B">
        <w:t xml:space="preserve"> </w:t>
      </w:r>
      <w:r>
        <w:t>the</w:t>
      </w:r>
      <w:r w:rsidR="00BF059B">
        <w:t xml:space="preserve"> </w:t>
      </w:r>
      <w:r>
        <w:t>UK,</w:t>
      </w:r>
      <w:r w:rsidR="00BF059B">
        <w:t xml:space="preserve"> </w:t>
      </w:r>
      <w:r>
        <w:t>including</w:t>
      </w:r>
      <w:r w:rsidR="00BF059B">
        <w:t xml:space="preserve"> </w:t>
      </w:r>
      <w:r>
        <w:t>the</w:t>
      </w:r>
      <w:r w:rsidR="00BF059B">
        <w:t xml:space="preserve"> </w:t>
      </w:r>
      <w:r>
        <w:t>FRC’s</w:t>
      </w:r>
      <w:r w:rsidR="00BF059B">
        <w:t xml:space="preserve"> </w:t>
      </w:r>
      <w:r>
        <w:t>Ethical</w:t>
      </w:r>
      <w:r w:rsidR="00BF059B">
        <w:t xml:space="preserve"> </w:t>
      </w:r>
      <w:r>
        <w:t>Standard,</w:t>
      </w:r>
      <w:r w:rsidR="00BF059B">
        <w:t xml:space="preserve"> </w:t>
      </w:r>
      <w:r>
        <w:t>and</w:t>
      </w:r>
      <w:r w:rsidR="00BF059B">
        <w:t xml:space="preserve"> </w:t>
      </w:r>
      <w:r>
        <w:t>we</w:t>
      </w:r>
      <w:r w:rsidR="00BF059B">
        <w:t xml:space="preserve"> </w:t>
      </w:r>
      <w:r>
        <w:t>have</w:t>
      </w:r>
      <w:r w:rsidR="00BF059B">
        <w:t xml:space="preserve"> </w:t>
      </w:r>
      <w:r>
        <w:t>fulfilled</w:t>
      </w:r>
      <w:r w:rsidR="00BF059B">
        <w:t xml:space="preserve"> </w:t>
      </w:r>
      <w:r>
        <w:t>our</w:t>
      </w:r>
      <w:r w:rsidR="00BF059B">
        <w:t xml:space="preserve"> </w:t>
      </w:r>
      <w:r>
        <w:t>other</w:t>
      </w:r>
      <w:r w:rsidR="00BF059B">
        <w:t xml:space="preserve"> </w:t>
      </w:r>
      <w:r>
        <w:t>ethical</w:t>
      </w:r>
      <w:r w:rsidR="00BF059B">
        <w:t xml:space="preserve"> </w:t>
      </w:r>
      <w:r>
        <w:t>responsibilities</w:t>
      </w:r>
      <w:r w:rsidR="00BF059B">
        <w:t xml:space="preserve"> </w:t>
      </w:r>
      <w:r>
        <w:t>in</w:t>
      </w:r>
      <w:r w:rsidR="00BF059B">
        <w:t xml:space="preserve"> </w:t>
      </w:r>
      <w:r>
        <w:t>accordance</w:t>
      </w:r>
      <w:r w:rsidR="00BF059B">
        <w:t xml:space="preserve"> </w:t>
      </w:r>
      <w:r>
        <w:t>with</w:t>
      </w:r>
      <w:r w:rsidR="00BF059B">
        <w:t xml:space="preserve"> </w:t>
      </w:r>
      <w:r>
        <w:t>these</w:t>
      </w:r>
      <w:r w:rsidR="00BF059B">
        <w:t xml:space="preserve"> </w:t>
      </w:r>
      <w:r>
        <w:t>requirements.</w:t>
      </w:r>
      <w:r w:rsidR="00BF059B">
        <w:t xml:space="preserve"> </w:t>
      </w:r>
      <w:r>
        <w:t>We</w:t>
      </w:r>
      <w:r w:rsidR="00BF059B">
        <w:t xml:space="preserve"> </w:t>
      </w:r>
      <w:r>
        <w:t>believe</w:t>
      </w:r>
      <w:r w:rsidR="00BF059B">
        <w:t xml:space="preserve"> </w:t>
      </w:r>
      <w:r>
        <w:t>that</w:t>
      </w:r>
      <w:r w:rsidR="00BF059B">
        <w:t xml:space="preserve"> </w:t>
      </w:r>
      <w:r>
        <w:t>the</w:t>
      </w:r>
      <w:r w:rsidR="00BF059B">
        <w:t xml:space="preserve"> </w:t>
      </w:r>
      <w:r>
        <w:t>audit</w:t>
      </w:r>
      <w:r w:rsidR="00BF059B">
        <w:t xml:space="preserve"> </w:t>
      </w:r>
      <w:r>
        <w:t>evidence</w:t>
      </w:r>
      <w:r w:rsidR="00BF059B">
        <w:t xml:space="preserve"> </w:t>
      </w:r>
      <w:r>
        <w:t>we</w:t>
      </w:r>
      <w:r w:rsidR="00BF059B">
        <w:t xml:space="preserve"> </w:t>
      </w:r>
      <w:r>
        <w:t>have</w:t>
      </w:r>
      <w:r w:rsidR="00BF059B">
        <w:t xml:space="preserve"> </w:t>
      </w:r>
      <w:r>
        <w:t>obtained</w:t>
      </w:r>
      <w:r w:rsidR="00BF059B">
        <w:t xml:space="preserve"> </w:t>
      </w:r>
      <w:r>
        <w:t>is</w:t>
      </w:r>
      <w:r w:rsidR="00BF059B">
        <w:t xml:space="preserve"> </w:t>
      </w:r>
      <w:r>
        <w:t>sufficient</w:t>
      </w:r>
      <w:r w:rsidR="00BF059B">
        <w:t xml:space="preserve"> </w:t>
      </w:r>
      <w:r>
        <w:t>and</w:t>
      </w:r>
      <w:r w:rsidR="00BF059B">
        <w:t xml:space="preserve"> </w:t>
      </w:r>
      <w:r>
        <w:t>appropriate</w:t>
      </w:r>
      <w:r w:rsidR="00BF059B">
        <w:t xml:space="preserve"> </w:t>
      </w:r>
      <w:r>
        <w:t>to</w:t>
      </w:r>
      <w:r w:rsidR="00BF059B">
        <w:t xml:space="preserve"> </w:t>
      </w:r>
      <w:r>
        <w:t>provide</w:t>
      </w:r>
      <w:r w:rsidR="00BF059B">
        <w:t xml:space="preserve"> </w:t>
      </w:r>
      <w:r>
        <w:t>a</w:t>
      </w:r>
      <w:r w:rsidR="00BF059B">
        <w:t xml:space="preserve"> </w:t>
      </w:r>
      <w:r>
        <w:t>basis</w:t>
      </w:r>
      <w:r w:rsidR="00BF059B">
        <w:t xml:space="preserve"> </w:t>
      </w:r>
      <w:r>
        <w:t>for</w:t>
      </w:r>
      <w:r w:rsidR="00BF059B">
        <w:t xml:space="preserve"> </w:t>
      </w:r>
      <w:r>
        <w:t>our</w:t>
      </w:r>
      <w:r w:rsidR="00BF059B">
        <w:t xml:space="preserve"> </w:t>
      </w:r>
      <w:r>
        <w:t>opinion.</w:t>
      </w:r>
      <w:r w:rsidR="00BF059B">
        <w:t xml:space="preserve"> </w:t>
      </w:r>
    </w:p>
    <w:p w14:paraId="33390AE6" w14:textId="77777777" w:rsidR="00BE13A8" w:rsidRDefault="00BE13A8" w:rsidP="00DE30D3"/>
    <w:p w14:paraId="2E63F21F" w14:textId="24C6A946" w:rsidR="00BE13A8" w:rsidRDefault="00D70530" w:rsidP="00DE30D3">
      <w:pPr>
        <w:pStyle w:val="Heading3"/>
      </w:pPr>
      <w:r>
        <w:t>Conclusions</w:t>
      </w:r>
      <w:r w:rsidR="00BF059B">
        <w:t xml:space="preserve"> </w:t>
      </w:r>
      <w:r>
        <w:t>relating</w:t>
      </w:r>
      <w:r w:rsidR="00BF059B">
        <w:t xml:space="preserve"> </w:t>
      </w:r>
      <w:r>
        <w:t>to</w:t>
      </w:r>
      <w:r w:rsidR="00BF059B">
        <w:t xml:space="preserve"> </w:t>
      </w:r>
      <w:r>
        <w:t>going</w:t>
      </w:r>
      <w:r w:rsidR="00BF059B">
        <w:t xml:space="preserve"> </w:t>
      </w:r>
      <w:r>
        <w:t>concern</w:t>
      </w:r>
    </w:p>
    <w:p w14:paraId="4B4C5D90" w14:textId="77777777" w:rsidR="00BE13A8" w:rsidRDefault="00BE13A8" w:rsidP="00DE30D3"/>
    <w:p w14:paraId="4BAE3008" w14:textId="73F66513" w:rsidR="00BE13A8" w:rsidRDefault="00D70530" w:rsidP="00DE30D3">
      <w:r>
        <w:t>In</w:t>
      </w:r>
      <w:r w:rsidR="00BF059B">
        <w:t xml:space="preserve"> </w:t>
      </w:r>
      <w:r>
        <w:t>auditing</w:t>
      </w:r>
      <w:r w:rsidR="00BF059B">
        <w:t xml:space="preserve"> </w:t>
      </w:r>
      <w:r>
        <w:t>the</w:t>
      </w:r>
      <w:r w:rsidR="00BF059B">
        <w:t xml:space="preserve"> </w:t>
      </w:r>
      <w:r>
        <w:t>financial</w:t>
      </w:r>
      <w:r w:rsidR="00BF059B">
        <w:t xml:space="preserve"> </w:t>
      </w:r>
      <w:r>
        <w:t>statements,</w:t>
      </w:r>
      <w:r w:rsidR="00BF059B">
        <w:t xml:space="preserve"> </w:t>
      </w:r>
      <w:r>
        <w:t>we</w:t>
      </w:r>
      <w:r w:rsidR="00BF059B">
        <w:t xml:space="preserve"> </w:t>
      </w:r>
      <w:r>
        <w:t>have</w:t>
      </w:r>
      <w:r w:rsidR="00BF059B">
        <w:t xml:space="preserve"> </w:t>
      </w:r>
      <w:r>
        <w:t>concluded</w:t>
      </w:r>
      <w:r w:rsidR="00BF059B">
        <w:t xml:space="preserve"> </w:t>
      </w:r>
      <w:r>
        <w:t>that</w:t>
      </w:r>
      <w:r w:rsidR="00BF059B">
        <w:t xml:space="preserve"> </w:t>
      </w:r>
      <w:r>
        <w:t>the</w:t>
      </w:r>
      <w:r w:rsidR="00BF059B">
        <w:t xml:space="preserve"> </w:t>
      </w:r>
      <w:r>
        <w:t>Trustees’</w:t>
      </w:r>
      <w:r w:rsidR="00BF059B">
        <w:t xml:space="preserve"> </w:t>
      </w:r>
      <w:r>
        <w:t>use</w:t>
      </w:r>
      <w:r w:rsidR="00BF059B">
        <w:t xml:space="preserve"> </w:t>
      </w:r>
      <w:r>
        <w:t>of</w:t>
      </w:r>
      <w:r w:rsidR="00BF059B">
        <w:t xml:space="preserve"> </w:t>
      </w:r>
      <w:r>
        <w:t>the</w:t>
      </w:r>
      <w:r w:rsidR="00BF059B">
        <w:t xml:space="preserve"> </w:t>
      </w:r>
      <w:r>
        <w:t>going</w:t>
      </w:r>
      <w:r w:rsidR="00BF059B">
        <w:t xml:space="preserve"> </w:t>
      </w:r>
      <w:r>
        <w:t>concern</w:t>
      </w:r>
      <w:r w:rsidR="00BF059B">
        <w:t xml:space="preserve"> </w:t>
      </w:r>
      <w:r>
        <w:t>basis</w:t>
      </w:r>
      <w:r w:rsidR="00BF059B">
        <w:t xml:space="preserve"> </w:t>
      </w:r>
      <w:r>
        <w:t>of</w:t>
      </w:r>
      <w:r w:rsidR="00BF059B">
        <w:t xml:space="preserve"> </w:t>
      </w:r>
      <w:r>
        <w:t>accounting</w:t>
      </w:r>
      <w:r w:rsidR="00BF059B">
        <w:t xml:space="preserve"> </w:t>
      </w:r>
      <w:r>
        <w:t>in</w:t>
      </w:r>
      <w:r w:rsidR="00BF059B">
        <w:t xml:space="preserve"> </w:t>
      </w:r>
      <w:r>
        <w:t>the</w:t>
      </w:r>
      <w:r w:rsidR="00BF059B">
        <w:t xml:space="preserve"> </w:t>
      </w:r>
      <w:r>
        <w:t>preparation</w:t>
      </w:r>
      <w:r w:rsidR="00BF059B">
        <w:t xml:space="preserve"> </w:t>
      </w:r>
      <w:r>
        <w:t>of</w:t>
      </w:r>
      <w:r w:rsidR="00BF059B">
        <w:t xml:space="preserve"> </w:t>
      </w:r>
      <w:r>
        <w:t>the</w:t>
      </w:r>
      <w:r w:rsidR="00BF059B">
        <w:t xml:space="preserve"> </w:t>
      </w:r>
      <w:r>
        <w:t>financial</w:t>
      </w:r>
      <w:r w:rsidR="00BF059B">
        <w:t xml:space="preserve"> </w:t>
      </w:r>
      <w:r>
        <w:t>statements</w:t>
      </w:r>
      <w:r w:rsidR="00BF059B">
        <w:t xml:space="preserve"> </w:t>
      </w:r>
      <w:r>
        <w:t>is</w:t>
      </w:r>
      <w:r w:rsidR="00BF059B">
        <w:t xml:space="preserve"> </w:t>
      </w:r>
      <w:r>
        <w:t>appropriate.</w:t>
      </w:r>
      <w:r w:rsidR="00BF059B">
        <w:t xml:space="preserve"> </w:t>
      </w:r>
    </w:p>
    <w:p w14:paraId="7475911F" w14:textId="77777777" w:rsidR="00BE13A8" w:rsidRDefault="00BE13A8" w:rsidP="00DE30D3"/>
    <w:p w14:paraId="5D4D59E1" w14:textId="01BCB2D3" w:rsidR="00BE13A8" w:rsidRDefault="00D70530" w:rsidP="00DE30D3">
      <w:r>
        <w:t>Based</w:t>
      </w:r>
      <w:r w:rsidR="00BF059B">
        <w:t xml:space="preserve"> </w:t>
      </w:r>
      <w:r>
        <w:t>on</w:t>
      </w:r>
      <w:r w:rsidR="00BF059B">
        <w:t xml:space="preserve"> </w:t>
      </w:r>
      <w:r>
        <w:t>the</w:t>
      </w:r>
      <w:r w:rsidR="00BF059B">
        <w:t xml:space="preserve"> </w:t>
      </w:r>
      <w:r>
        <w:t>work</w:t>
      </w:r>
      <w:r w:rsidR="00BF059B">
        <w:t xml:space="preserve"> </w:t>
      </w:r>
      <w:r>
        <w:t>we</w:t>
      </w:r>
      <w:r w:rsidR="00BF059B">
        <w:t xml:space="preserve"> </w:t>
      </w:r>
      <w:r>
        <w:t>have</w:t>
      </w:r>
      <w:r w:rsidR="00BF059B">
        <w:t xml:space="preserve"> </w:t>
      </w:r>
      <w:r>
        <w:t>performed,</w:t>
      </w:r>
      <w:r w:rsidR="00BF059B">
        <w:t xml:space="preserve"> </w:t>
      </w:r>
      <w:r>
        <w:t>we</w:t>
      </w:r>
      <w:r w:rsidR="00BF059B">
        <w:t xml:space="preserve"> </w:t>
      </w:r>
      <w:r>
        <w:t>have</w:t>
      </w:r>
      <w:r w:rsidR="00BF059B">
        <w:t xml:space="preserve"> </w:t>
      </w:r>
      <w:r>
        <w:t>not</w:t>
      </w:r>
      <w:r w:rsidR="00BF059B">
        <w:t xml:space="preserve"> </w:t>
      </w:r>
      <w:r>
        <w:t>identified</w:t>
      </w:r>
      <w:r w:rsidR="00BF059B">
        <w:t xml:space="preserve"> </w:t>
      </w:r>
      <w:r>
        <w:t>any</w:t>
      </w:r>
      <w:r w:rsidR="00BF059B">
        <w:t xml:space="preserve"> </w:t>
      </w:r>
      <w:r>
        <w:t>material</w:t>
      </w:r>
      <w:r w:rsidR="00BF059B">
        <w:t xml:space="preserve"> </w:t>
      </w:r>
      <w:r>
        <w:t>uncertainties</w:t>
      </w:r>
      <w:r w:rsidR="00BF059B">
        <w:t xml:space="preserve"> </w:t>
      </w:r>
      <w:r>
        <w:t>relating</w:t>
      </w:r>
      <w:r w:rsidR="00BF059B">
        <w:t xml:space="preserve"> </w:t>
      </w:r>
      <w:r>
        <w:t>to</w:t>
      </w:r>
      <w:r w:rsidR="00BF059B">
        <w:t xml:space="preserve"> </w:t>
      </w:r>
      <w:r>
        <w:t>events</w:t>
      </w:r>
      <w:r w:rsidR="00BF059B">
        <w:t xml:space="preserve"> </w:t>
      </w:r>
      <w:r>
        <w:t>or</w:t>
      </w:r>
      <w:r w:rsidR="00BF059B">
        <w:t xml:space="preserve"> </w:t>
      </w:r>
      <w:r>
        <w:t>conditions</w:t>
      </w:r>
      <w:r w:rsidR="00BF059B">
        <w:t xml:space="preserve"> </w:t>
      </w:r>
      <w:r>
        <w:t>that,</w:t>
      </w:r>
      <w:r w:rsidR="00BF059B">
        <w:t xml:space="preserve"> </w:t>
      </w:r>
      <w:r>
        <w:t>individually</w:t>
      </w:r>
      <w:r w:rsidR="00BF059B">
        <w:t xml:space="preserve"> </w:t>
      </w:r>
      <w:r>
        <w:t>or</w:t>
      </w:r>
      <w:r w:rsidR="00BF059B">
        <w:t xml:space="preserve"> </w:t>
      </w:r>
      <w:r>
        <w:t>collectively,</w:t>
      </w:r>
      <w:r w:rsidR="00BF059B">
        <w:t xml:space="preserve"> </w:t>
      </w:r>
      <w:r>
        <w:t>may</w:t>
      </w:r>
      <w:r w:rsidR="00BF059B">
        <w:t xml:space="preserve"> </w:t>
      </w:r>
      <w:r>
        <w:t>cast</w:t>
      </w:r>
      <w:r w:rsidR="00BF059B">
        <w:t xml:space="preserve"> </w:t>
      </w:r>
      <w:r>
        <w:t>significant</w:t>
      </w:r>
      <w:r w:rsidR="00BF059B">
        <w:t xml:space="preserve"> </w:t>
      </w:r>
      <w:r>
        <w:t>doubt</w:t>
      </w:r>
      <w:r w:rsidR="00BF059B">
        <w:t xml:space="preserve"> </w:t>
      </w:r>
      <w:r>
        <w:t>on</w:t>
      </w:r>
      <w:r w:rsidR="00BF059B">
        <w:t xml:space="preserve"> </w:t>
      </w:r>
      <w:r>
        <w:t>the</w:t>
      </w:r>
      <w:r w:rsidR="00BF059B">
        <w:t xml:space="preserve"> </w:t>
      </w:r>
      <w:proofErr w:type="gramStart"/>
      <w:r>
        <w:t>group’s</w:t>
      </w:r>
      <w:proofErr w:type="gramEnd"/>
      <w:r w:rsidR="00BF059B">
        <w:t xml:space="preserve"> </w:t>
      </w:r>
      <w:r>
        <w:t>and</w:t>
      </w:r>
      <w:r w:rsidR="00BF059B">
        <w:t xml:space="preserve"> </w:t>
      </w:r>
      <w:r>
        <w:t>parent</w:t>
      </w:r>
      <w:r w:rsidR="00BF059B">
        <w:t xml:space="preserve"> </w:t>
      </w:r>
      <w:r>
        <w:t>charitable</w:t>
      </w:r>
      <w:r w:rsidR="00BF059B">
        <w:t xml:space="preserve"> </w:t>
      </w:r>
      <w:r>
        <w:t>company's</w:t>
      </w:r>
      <w:r w:rsidR="00BF059B">
        <w:t xml:space="preserve"> </w:t>
      </w:r>
      <w:r>
        <w:t>ability</w:t>
      </w:r>
      <w:r w:rsidR="00BF059B">
        <w:t xml:space="preserve"> </w:t>
      </w:r>
      <w:r>
        <w:t>to</w:t>
      </w:r>
      <w:r w:rsidR="00BF059B">
        <w:t xml:space="preserve"> </w:t>
      </w:r>
      <w:r>
        <w:t>continue</w:t>
      </w:r>
      <w:r w:rsidR="00BF059B">
        <w:t xml:space="preserve"> </w:t>
      </w:r>
      <w:r>
        <w:t>as</w:t>
      </w:r>
      <w:r w:rsidR="00BF059B">
        <w:t xml:space="preserve"> </w:t>
      </w:r>
      <w:r>
        <w:t>a</w:t>
      </w:r>
      <w:r w:rsidR="00BF059B">
        <w:t xml:space="preserve"> </w:t>
      </w:r>
      <w:r>
        <w:t>going</w:t>
      </w:r>
      <w:r w:rsidR="00BF059B">
        <w:t xml:space="preserve"> </w:t>
      </w:r>
      <w:r>
        <w:t>concern</w:t>
      </w:r>
      <w:r w:rsidR="00BF059B">
        <w:t xml:space="preserve"> </w:t>
      </w:r>
      <w:r>
        <w:t>for</w:t>
      </w:r>
      <w:r w:rsidR="00BF059B">
        <w:t xml:space="preserve"> </w:t>
      </w:r>
      <w:r>
        <w:t>a</w:t>
      </w:r>
      <w:r w:rsidR="00BF059B">
        <w:t xml:space="preserve"> </w:t>
      </w:r>
      <w:r>
        <w:t>period</w:t>
      </w:r>
      <w:r w:rsidR="00BF059B">
        <w:t xml:space="preserve"> </w:t>
      </w:r>
      <w:r>
        <w:t>of</w:t>
      </w:r>
      <w:r w:rsidR="00BF059B">
        <w:t xml:space="preserve"> </w:t>
      </w:r>
      <w:r>
        <w:t>at</w:t>
      </w:r>
      <w:r w:rsidR="00BF059B">
        <w:t xml:space="preserve"> </w:t>
      </w:r>
      <w:r>
        <w:t>least</w:t>
      </w:r>
      <w:r w:rsidR="00BF059B">
        <w:t xml:space="preserve"> </w:t>
      </w:r>
      <w:r>
        <w:t>12</w:t>
      </w:r>
      <w:r w:rsidR="00BF059B">
        <w:t xml:space="preserve"> </w:t>
      </w:r>
      <w:r>
        <w:t>months</w:t>
      </w:r>
      <w:r w:rsidR="00BF059B">
        <w:t xml:space="preserve"> </w:t>
      </w:r>
      <w:r>
        <w:t>from</w:t>
      </w:r>
      <w:r w:rsidR="00BF059B">
        <w:t xml:space="preserve"> </w:t>
      </w:r>
      <w:r>
        <w:t>when</w:t>
      </w:r>
      <w:r w:rsidR="00BF059B">
        <w:t xml:space="preserve"> </w:t>
      </w:r>
      <w:r>
        <w:t>the</w:t>
      </w:r>
      <w:r w:rsidR="00BF059B">
        <w:t xml:space="preserve"> </w:t>
      </w:r>
      <w:r>
        <w:t>financial</w:t>
      </w:r>
      <w:r w:rsidR="00BF059B">
        <w:t xml:space="preserve"> </w:t>
      </w:r>
      <w:r>
        <w:t>statements</w:t>
      </w:r>
      <w:r w:rsidR="00BF059B">
        <w:t xml:space="preserve"> </w:t>
      </w:r>
      <w:r>
        <w:t>are</w:t>
      </w:r>
      <w:r w:rsidR="00BF059B">
        <w:t xml:space="preserve"> </w:t>
      </w:r>
      <w:r>
        <w:t>authorised</w:t>
      </w:r>
      <w:r w:rsidR="00BF059B">
        <w:t xml:space="preserve"> </w:t>
      </w:r>
      <w:r>
        <w:t>for</w:t>
      </w:r>
      <w:r w:rsidR="00BF059B">
        <w:t xml:space="preserve"> </w:t>
      </w:r>
      <w:r>
        <w:t>issue.</w:t>
      </w:r>
      <w:r w:rsidR="00BF059B">
        <w:t xml:space="preserve"> </w:t>
      </w:r>
    </w:p>
    <w:p w14:paraId="7B7E043F" w14:textId="77777777" w:rsidR="00BE13A8" w:rsidRDefault="00BE13A8" w:rsidP="00DE30D3"/>
    <w:p w14:paraId="2C75DA3A" w14:textId="12EBF4E9" w:rsidR="00BE13A8" w:rsidRDefault="00D70530" w:rsidP="00DE30D3">
      <w:r>
        <w:t>Our</w:t>
      </w:r>
      <w:r w:rsidR="00BF059B">
        <w:t xml:space="preserve"> </w:t>
      </w:r>
      <w:r>
        <w:t>responsibilities</w:t>
      </w:r>
      <w:r w:rsidR="00BF059B">
        <w:t xml:space="preserve"> </w:t>
      </w:r>
      <w:r>
        <w:t>and</w:t>
      </w:r>
      <w:r w:rsidR="00BF059B">
        <w:t xml:space="preserve"> </w:t>
      </w:r>
      <w:r>
        <w:t>the</w:t>
      </w:r>
      <w:r w:rsidR="00BF059B">
        <w:t xml:space="preserve"> </w:t>
      </w:r>
      <w:r>
        <w:t>responsibilities</w:t>
      </w:r>
      <w:r w:rsidR="00BF059B">
        <w:t xml:space="preserve"> </w:t>
      </w:r>
      <w:r>
        <w:t>of</w:t>
      </w:r>
      <w:r w:rsidR="00BF059B">
        <w:t xml:space="preserve"> </w:t>
      </w:r>
      <w:r>
        <w:t>the</w:t>
      </w:r>
      <w:r w:rsidR="00BF059B">
        <w:t xml:space="preserve"> </w:t>
      </w:r>
      <w:r>
        <w:t>Trustees</w:t>
      </w:r>
      <w:r w:rsidR="00BF059B">
        <w:t xml:space="preserve"> </w:t>
      </w:r>
      <w:r>
        <w:t>with</w:t>
      </w:r>
      <w:r w:rsidR="00BF059B">
        <w:t xml:space="preserve"> </w:t>
      </w:r>
      <w:r>
        <w:t>respect</w:t>
      </w:r>
      <w:r w:rsidR="00BF059B">
        <w:t xml:space="preserve"> </w:t>
      </w:r>
      <w:r>
        <w:t>to</w:t>
      </w:r>
      <w:r w:rsidR="00BF059B">
        <w:t xml:space="preserve"> </w:t>
      </w:r>
      <w:r>
        <w:t>going</w:t>
      </w:r>
      <w:r w:rsidR="00BF059B">
        <w:t xml:space="preserve"> </w:t>
      </w:r>
      <w:r>
        <w:t>concern</w:t>
      </w:r>
      <w:r w:rsidR="00BF059B">
        <w:t xml:space="preserve"> </w:t>
      </w:r>
      <w:r>
        <w:t>are</w:t>
      </w:r>
      <w:r w:rsidR="00BF059B">
        <w:t xml:space="preserve"> </w:t>
      </w:r>
      <w:r>
        <w:t>described</w:t>
      </w:r>
      <w:r w:rsidR="00BF059B">
        <w:t xml:space="preserve"> </w:t>
      </w:r>
      <w:r>
        <w:t>in</w:t>
      </w:r>
      <w:r w:rsidR="00BF059B">
        <w:t xml:space="preserve"> </w:t>
      </w:r>
      <w:r>
        <w:t>the</w:t>
      </w:r>
      <w:r w:rsidR="00BF059B">
        <w:t xml:space="preserve"> </w:t>
      </w:r>
      <w:r>
        <w:t>relevant</w:t>
      </w:r>
      <w:r w:rsidR="00BF059B">
        <w:t xml:space="preserve"> </w:t>
      </w:r>
      <w:r>
        <w:t>sections</w:t>
      </w:r>
      <w:r w:rsidR="00BF059B">
        <w:t xml:space="preserve"> </w:t>
      </w:r>
      <w:r>
        <w:t>of</w:t>
      </w:r>
      <w:r w:rsidR="00BF059B">
        <w:t xml:space="preserve"> </w:t>
      </w:r>
      <w:r>
        <w:t>this</w:t>
      </w:r>
      <w:r w:rsidR="00BF059B">
        <w:t xml:space="preserve"> </w:t>
      </w:r>
      <w:r>
        <w:t>report.</w:t>
      </w:r>
    </w:p>
    <w:p w14:paraId="7518E066" w14:textId="77777777" w:rsidR="00DE30D3" w:rsidRDefault="00DE30D3" w:rsidP="00DE30D3"/>
    <w:p w14:paraId="4041A7EE" w14:textId="26133E20" w:rsidR="00BE13A8" w:rsidRDefault="00D70530" w:rsidP="00DE30D3">
      <w:pPr>
        <w:pStyle w:val="Heading3"/>
      </w:pPr>
      <w:r>
        <w:t>Other</w:t>
      </w:r>
      <w:r w:rsidR="00BF059B">
        <w:t xml:space="preserve"> </w:t>
      </w:r>
      <w:r>
        <w:t>information</w:t>
      </w:r>
    </w:p>
    <w:p w14:paraId="31D42C87" w14:textId="77777777" w:rsidR="00BE13A8" w:rsidRDefault="00BE13A8" w:rsidP="00DE30D3"/>
    <w:p w14:paraId="33BD136E" w14:textId="141D1F3C" w:rsidR="00BE13A8" w:rsidRDefault="00D70530" w:rsidP="00DE30D3">
      <w:r>
        <w:t>The</w:t>
      </w:r>
      <w:r w:rsidR="00BF059B">
        <w:t xml:space="preserve"> </w:t>
      </w:r>
      <w:r>
        <w:t>other</w:t>
      </w:r>
      <w:r w:rsidR="00BF059B">
        <w:t xml:space="preserve"> </w:t>
      </w:r>
      <w:r>
        <w:t>information</w:t>
      </w:r>
      <w:r w:rsidR="00BF059B">
        <w:t xml:space="preserve"> </w:t>
      </w:r>
      <w:r>
        <w:t>comprises</w:t>
      </w:r>
      <w:r w:rsidR="00BF059B">
        <w:t xml:space="preserve"> </w:t>
      </w:r>
      <w:r>
        <w:t>the</w:t>
      </w:r>
      <w:r w:rsidR="00BF059B">
        <w:t xml:space="preserve"> </w:t>
      </w:r>
      <w:r>
        <w:t>information</w:t>
      </w:r>
      <w:r w:rsidR="00BF059B">
        <w:t xml:space="preserve"> </w:t>
      </w:r>
      <w:r>
        <w:t>included</w:t>
      </w:r>
      <w:r w:rsidR="00BF059B">
        <w:t xml:space="preserve"> </w:t>
      </w:r>
      <w:r>
        <w:t>in</w:t>
      </w:r>
      <w:r w:rsidR="00BF059B">
        <w:t xml:space="preserve"> </w:t>
      </w:r>
      <w:r>
        <w:t>the</w:t>
      </w:r>
      <w:r w:rsidR="00BF059B">
        <w:t xml:space="preserve"> </w:t>
      </w:r>
      <w:r>
        <w:t>Annual</w:t>
      </w:r>
      <w:r w:rsidR="00BF059B">
        <w:t xml:space="preserve"> </w:t>
      </w:r>
      <w:r>
        <w:t>Report,</w:t>
      </w:r>
      <w:r w:rsidR="00BF059B">
        <w:t xml:space="preserve"> </w:t>
      </w:r>
      <w:r>
        <w:t>other</w:t>
      </w:r>
      <w:r w:rsidR="00BF059B">
        <w:t xml:space="preserve"> </w:t>
      </w:r>
      <w:r>
        <w:t>than</w:t>
      </w:r>
      <w:r w:rsidR="00BF059B">
        <w:t xml:space="preserve"> </w:t>
      </w:r>
      <w:r>
        <w:t>the</w:t>
      </w:r>
      <w:r w:rsidR="00BF059B">
        <w:t xml:space="preserve"> </w:t>
      </w:r>
      <w:r>
        <w:t>financial</w:t>
      </w:r>
      <w:r w:rsidR="00BF059B">
        <w:t xml:space="preserve"> </w:t>
      </w:r>
      <w:r>
        <w:t>statements</w:t>
      </w:r>
      <w:r w:rsidR="00BF059B">
        <w:t xml:space="preserve"> </w:t>
      </w:r>
      <w:r>
        <w:t>and</w:t>
      </w:r>
      <w:r w:rsidR="00BF059B">
        <w:t xml:space="preserve"> </w:t>
      </w:r>
      <w:r>
        <w:t>our</w:t>
      </w:r>
      <w:r w:rsidR="00BF059B">
        <w:t xml:space="preserve"> </w:t>
      </w:r>
      <w:r>
        <w:t>auditor’s</w:t>
      </w:r>
      <w:r w:rsidR="00BF059B">
        <w:t xml:space="preserve"> </w:t>
      </w:r>
      <w:r>
        <w:t>report</w:t>
      </w:r>
      <w:r w:rsidR="00BF059B">
        <w:t xml:space="preserve"> </w:t>
      </w:r>
      <w:r>
        <w:t>thereon.</w:t>
      </w:r>
      <w:r w:rsidR="00BF059B">
        <w:t xml:space="preserve"> </w:t>
      </w:r>
      <w:r>
        <w:t>The</w:t>
      </w:r>
      <w:r w:rsidR="00BF059B">
        <w:t xml:space="preserve"> </w:t>
      </w:r>
      <w:r>
        <w:t>Trustees</w:t>
      </w:r>
      <w:r w:rsidR="00BF059B">
        <w:t xml:space="preserve"> </w:t>
      </w:r>
      <w:r>
        <w:t>are</w:t>
      </w:r>
      <w:r w:rsidR="00BF059B">
        <w:t xml:space="preserve"> </w:t>
      </w:r>
      <w:r>
        <w:t>responsible</w:t>
      </w:r>
      <w:r w:rsidR="00BF059B">
        <w:t xml:space="preserve"> </w:t>
      </w:r>
      <w:r>
        <w:t>for</w:t>
      </w:r>
      <w:r w:rsidR="00BF059B">
        <w:t xml:space="preserve"> </w:t>
      </w:r>
      <w:r>
        <w:t>the</w:t>
      </w:r>
      <w:r w:rsidR="00BF059B">
        <w:t xml:space="preserve"> </w:t>
      </w:r>
      <w:r>
        <w:t>other</w:t>
      </w:r>
      <w:r w:rsidR="00BF059B">
        <w:t xml:space="preserve"> </w:t>
      </w:r>
      <w:r>
        <w:t>information</w:t>
      </w:r>
      <w:r w:rsidR="00BF059B">
        <w:t xml:space="preserve"> </w:t>
      </w:r>
      <w:r>
        <w:t>contained</w:t>
      </w:r>
      <w:r w:rsidR="00BF059B">
        <w:t xml:space="preserve"> </w:t>
      </w:r>
      <w:r>
        <w:t>in</w:t>
      </w:r>
      <w:r w:rsidR="00BF059B">
        <w:t xml:space="preserve"> </w:t>
      </w:r>
      <w:r>
        <w:t>the</w:t>
      </w:r>
      <w:r w:rsidR="00BF059B">
        <w:t xml:space="preserve"> </w:t>
      </w:r>
      <w:r>
        <w:t>Annual</w:t>
      </w:r>
      <w:r w:rsidR="00BF059B">
        <w:t xml:space="preserve"> </w:t>
      </w:r>
      <w:r>
        <w:t>Report.</w:t>
      </w:r>
      <w:r w:rsidR="00BF059B">
        <w:t xml:space="preserve"> </w:t>
      </w:r>
      <w:r>
        <w:t>Our</w:t>
      </w:r>
      <w:r w:rsidR="00BF059B">
        <w:t xml:space="preserve"> </w:t>
      </w:r>
      <w:r>
        <w:t>opinion</w:t>
      </w:r>
      <w:r w:rsidR="00BF059B">
        <w:t xml:space="preserve"> </w:t>
      </w:r>
      <w:r>
        <w:t>on</w:t>
      </w:r>
      <w:r w:rsidR="00BF059B">
        <w:t xml:space="preserve"> </w:t>
      </w:r>
      <w:r>
        <w:t>the</w:t>
      </w:r>
      <w:r w:rsidR="00BF059B">
        <w:t xml:space="preserve"> </w:t>
      </w:r>
      <w:r>
        <w:t>financial</w:t>
      </w:r>
      <w:r w:rsidR="00BF059B">
        <w:t xml:space="preserve"> </w:t>
      </w:r>
      <w:r>
        <w:t>statements</w:t>
      </w:r>
      <w:r w:rsidR="00BF059B">
        <w:t xml:space="preserve"> </w:t>
      </w:r>
      <w:r>
        <w:t>does</w:t>
      </w:r>
      <w:r w:rsidR="00BF059B">
        <w:t xml:space="preserve"> </w:t>
      </w:r>
      <w:r>
        <w:t>not</w:t>
      </w:r>
      <w:r w:rsidR="00BF059B">
        <w:t xml:space="preserve"> </w:t>
      </w:r>
      <w:r>
        <w:t>cover</w:t>
      </w:r>
      <w:r w:rsidR="00BF059B">
        <w:t xml:space="preserve"> </w:t>
      </w:r>
      <w:r>
        <w:t>the</w:t>
      </w:r>
      <w:r w:rsidR="00BF059B">
        <w:t xml:space="preserve"> </w:t>
      </w:r>
      <w:r>
        <w:t>other</w:t>
      </w:r>
      <w:r w:rsidR="00BF059B">
        <w:t xml:space="preserve"> </w:t>
      </w:r>
      <w:r>
        <w:t>information</w:t>
      </w:r>
      <w:r w:rsidR="00BF059B">
        <w:t xml:space="preserve"> </w:t>
      </w:r>
      <w:r>
        <w:t>and,</w:t>
      </w:r>
      <w:r w:rsidR="00BF059B">
        <w:t xml:space="preserve"> </w:t>
      </w:r>
      <w:r>
        <w:t>except</w:t>
      </w:r>
      <w:r w:rsidR="00BF059B">
        <w:t xml:space="preserve"> </w:t>
      </w:r>
      <w:r>
        <w:t>to</w:t>
      </w:r>
      <w:r w:rsidR="00BF059B">
        <w:t xml:space="preserve"> </w:t>
      </w:r>
      <w:r>
        <w:t>the</w:t>
      </w:r>
      <w:r w:rsidR="00BF059B">
        <w:t xml:space="preserve"> </w:t>
      </w:r>
      <w:r>
        <w:t>extent</w:t>
      </w:r>
      <w:r w:rsidR="00BF059B">
        <w:t xml:space="preserve"> </w:t>
      </w:r>
      <w:r>
        <w:t>otherwise</w:t>
      </w:r>
      <w:r w:rsidR="00BF059B">
        <w:t xml:space="preserve"> </w:t>
      </w:r>
      <w:r>
        <w:t>explicitly</w:t>
      </w:r>
      <w:r w:rsidR="00BF059B">
        <w:t xml:space="preserve"> </w:t>
      </w:r>
      <w:r>
        <w:t>stated</w:t>
      </w:r>
      <w:r w:rsidR="00BF059B">
        <w:t xml:space="preserve"> </w:t>
      </w:r>
      <w:r>
        <w:t>in</w:t>
      </w:r>
      <w:r w:rsidR="00BF059B">
        <w:t xml:space="preserve"> </w:t>
      </w:r>
      <w:r>
        <w:t>our</w:t>
      </w:r>
      <w:r w:rsidR="00BF059B">
        <w:t xml:space="preserve"> </w:t>
      </w:r>
      <w:r>
        <w:t>report,</w:t>
      </w:r>
      <w:r w:rsidR="00BF059B">
        <w:t xml:space="preserve"> </w:t>
      </w:r>
      <w:r>
        <w:t>we</w:t>
      </w:r>
      <w:r w:rsidR="00BF059B">
        <w:t xml:space="preserve"> </w:t>
      </w:r>
      <w:r>
        <w:t>do</w:t>
      </w:r>
      <w:r w:rsidR="00BF059B">
        <w:t xml:space="preserve"> </w:t>
      </w:r>
      <w:r>
        <w:t>not</w:t>
      </w:r>
      <w:r w:rsidR="00BF059B">
        <w:t xml:space="preserve"> </w:t>
      </w:r>
      <w:r>
        <w:t>express</w:t>
      </w:r>
      <w:r w:rsidR="00BF059B">
        <w:t xml:space="preserve"> </w:t>
      </w:r>
      <w:r>
        <w:t>any</w:t>
      </w:r>
      <w:r w:rsidR="00BF059B">
        <w:t xml:space="preserve"> </w:t>
      </w:r>
      <w:r>
        <w:t>form</w:t>
      </w:r>
      <w:r w:rsidR="00BF059B">
        <w:t xml:space="preserve"> </w:t>
      </w:r>
      <w:r>
        <w:t>of</w:t>
      </w:r>
      <w:r w:rsidR="00BF059B">
        <w:t xml:space="preserve"> </w:t>
      </w:r>
      <w:r>
        <w:t>assurance</w:t>
      </w:r>
      <w:r w:rsidR="00BF059B">
        <w:t xml:space="preserve"> </w:t>
      </w:r>
      <w:r>
        <w:t>conclusion</w:t>
      </w:r>
      <w:r w:rsidR="00BF059B">
        <w:t xml:space="preserve"> </w:t>
      </w:r>
      <w:r>
        <w:t>thereon.</w:t>
      </w:r>
      <w:r w:rsidR="00BF059B">
        <w:t xml:space="preserve"> </w:t>
      </w:r>
    </w:p>
    <w:p w14:paraId="779F3B60" w14:textId="77777777" w:rsidR="00BE13A8" w:rsidRDefault="00BE13A8" w:rsidP="00DE30D3"/>
    <w:p w14:paraId="32B5B89A" w14:textId="11E2B805" w:rsidR="00BE13A8" w:rsidRDefault="00D70530" w:rsidP="00DE30D3">
      <w:r>
        <w:t>Our</w:t>
      </w:r>
      <w:r w:rsidR="00BF059B">
        <w:t xml:space="preserve"> </w:t>
      </w:r>
      <w:r>
        <w:t>responsibility</w:t>
      </w:r>
      <w:r w:rsidR="00BF059B">
        <w:t xml:space="preserve"> </w:t>
      </w:r>
      <w:r>
        <w:t>is</w:t>
      </w:r>
      <w:r w:rsidR="00BF059B">
        <w:t xml:space="preserve"> </w:t>
      </w:r>
      <w:r>
        <w:t>to</w:t>
      </w:r>
      <w:r w:rsidR="00BF059B">
        <w:t xml:space="preserve"> </w:t>
      </w:r>
      <w:r>
        <w:t>read</w:t>
      </w:r>
      <w:r w:rsidR="00BF059B">
        <w:t xml:space="preserve"> </w:t>
      </w:r>
      <w:r>
        <w:t>the</w:t>
      </w:r>
      <w:r w:rsidR="00BF059B">
        <w:t xml:space="preserve"> </w:t>
      </w:r>
      <w:r>
        <w:t>other</w:t>
      </w:r>
      <w:r w:rsidR="00BF059B">
        <w:t xml:space="preserve"> </w:t>
      </w:r>
      <w:r>
        <w:t>information</w:t>
      </w:r>
      <w:r w:rsidR="00BF059B">
        <w:t xml:space="preserve"> </w:t>
      </w:r>
      <w:r>
        <w:t>and,</w:t>
      </w:r>
      <w:r w:rsidR="00BF059B">
        <w:t xml:space="preserve"> </w:t>
      </w:r>
      <w:r>
        <w:t>in</w:t>
      </w:r>
      <w:r w:rsidR="00BF059B">
        <w:t xml:space="preserve"> </w:t>
      </w:r>
      <w:r>
        <w:t>doing</w:t>
      </w:r>
      <w:r w:rsidR="00BF059B">
        <w:t xml:space="preserve"> </w:t>
      </w:r>
      <w:r>
        <w:t>so,</w:t>
      </w:r>
      <w:r w:rsidR="00BF059B">
        <w:t xml:space="preserve"> </w:t>
      </w:r>
      <w:r>
        <w:t>consider</w:t>
      </w:r>
      <w:r w:rsidR="00BF059B">
        <w:t xml:space="preserve"> </w:t>
      </w:r>
      <w:r>
        <w:t>whether</w:t>
      </w:r>
      <w:r w:rsidR="00BF059B">
        <w:t xml:space="preserve"> </w:t>
      </w:r>
      <w:r>
        <w:t>the</w:t>
      </w:r>
      <w:r w:rsidR="00BF059B">
        <w:t xml:space="preserve"> </w:t>
      </w:r>
      <w:r>
        <w:t>other</w:t>
      </w:r>
      <w:r w:rsidR="00BF059B">
        <w:t xml:space="preserve"> </w:t>
      </w:r>
      <w:r>
        <w:t>information</w:t>
      </w:r>
      <w:r w:rsidR="00BF059B">
        <w:t xml:space="preserve"> </w:t>
      </w:r>
      <w:r>
        <w:t>is</w:t>
      </w:r>
      <w:r w:rsidR="00BF059B">
        <w:t xml:space="preserve"> </w:t>
      </w:r>
      <w:r>
        <w:t>materially</w:t>
      </w:r>
      <w:r w:rsidR="00BF059B">
        <w:t xml:space="preserve"> </w:t>
      </w:r>
      <w:r>
        <w:t>inconsistent</w:t>
      </w:r>
      <w:r w:rsidR="00BF059B">
        <w:t xml:space="preserve"> </w:t>
      </w:r>
      <w:r>
        <w:t>with</w:t>
      </w:r>
      <w:r w:rsidR="00BF059B">
        <w:t xml:space="preserve"> </w:t>
      </w:r>
      <w:r>
        <w:t>the</w:t>
      </w:r>
      <w:r w:rsidR="00BF059B">
        <w:t xml:space="preserve"> </w:t>
      </w:r>
      <w:r>
        <w:t>financial</w:t>
      </w:r>
      <w:r w:rsidR="00BF059B">
        <w:t xml:space="preserve"> </w:t>
      </w:r>
      <w:r>
        <w:t>statements</w:t>
      </w:r>
      <w:r w:rsidR="00BF059B">
        <w:t xml:space="preserve"> </w:t>
      </w:r>
      <w:r>
        <w:t>or</w:t>
      </w:r>
      <w:r w:rsidR="00BF059B">
        <w:t xml:space="preserve"> </w:t>
      </w:r>
      <w:r>
        <w:t>our</w:t>
      </w:r>
      <w:r w:rsidR="00BF059B">
        <w:t xml:space="preserve"> </w:t>
      </w:r>
      <w:r>
        <w:t>knowledge</w:t>
      </w:r>
      <w:r w:rsidR="00BF059B">
        <w:t xml:space="preserve"> </w:t>
      </w:r>
      <w:r>
        <w:t>obtained</w:t>
      </w:r>
      <w:r w:rsidR="00BF059B">
        <w:t xml:space="preserve"> </w:t>
      </w:r>
      <w:r>
        <w:t>in</w:t>
      </w:r>
      <w:r w:rsidR="00BF059B">
        <w:t xml:space="preserve"> </w:t>
      </w:r>
      <w:r>
        <w:t>the</w:t>
      </w:r>
      <w:r w:rsidR="00BF059B">
        <w:t xml:space="preserve"> </w:t>
      </w:r>
      <w:r>
        <w:t>course</w:t>
      </w:r>
      <w:r w:rsidR="00BF059B">
        <w:t xml:space="preserve"> </w:t>
      </w:r>
      <w:r>
        <w:t>of</w:t>
      </w:r>
      <w:r w:rsidR="00BF059B">
        <w:t xml:space="preserve"> </w:t>
      </w:r>
      <w:r>
        <w:t>the</w:t>
      </w:r>
      <w:r w:rsidR="00BF059B">
        <w:t xml:space="preserve"> </w:t>
      </w:r>
      <w:r>
        <w:t>audit</w:t>
      </w:r>
      <w:r w:rsidR="00BF059B">
        <w:t xml:space="preserve"> </w:t>
      </w:r>
      <w:r>
        <w:t>or</w:t>
      </w:r>
      <w:r w:rsidR="00BF059B">
        <w:t xml:space="preserve"> </w:t>
      </w:r>
      <w:r>
        <w:t>otherwise</w:t>
      </w:r>
      <w:r w:rsidR="00BF059B">
        <w:t xml:space="preserve"> </w:t>
      </w:r>
      <w:r>
        <w:t>appears</w:t>
      </w:r>
      <w:r w:rsidR="00BF059B">
        <w:t xml:space="preserve"> </w:t>
      </w:r>
      <w:r>
        <w:t>to</w:t>
      </w:r>
      <w:r w:rsidR="00BF059B">
        <w:t xml:space="preserve"> </w:t>
      </w:r>
      <w:r>
        <w:t>be</w:t>
      </w:r>
      <w:r w:rsidR="00BF059B">
        <w:t xml:space="preserve"> </w:t>
      </w:r>
      <w:r>
        <w:t>materially</w:t>
      </w:r>
      <w:r w:rsidR="00BF059B">
        <w:t xml:space="preserve"> </w:t>
      </w:r>
      <w:r>
        <w:t>misstated.</w:t>
      </w:r>
      <w:r w:rsidR="00BF059B">
        <w:t xml:space="preserve"> </w:t>
      </w:r>
      <w:r>
        <w:t>If</w:t>
      </w:r>
      <w:r w:rsidR="00BF059B">
        <w:t xml:space="preserve"> </w:t>
      </w:r>
      <w:r>
        <w:t>we</w:t>
      </w:r>
      <w:r w:rsidR="00BF059B">
        <w:t xml:space="preserve"> </w:t>
      </w:r>
      <w:r>
        <w:t>identify</w:t>
      </w:r>
      <w:r w:rsidR="00BF059B">
        <w:t xml:space="preserve"> </w:t>
      </w:r>
      <w:r>
        <w:t>such</w:t>
      </w:r>
      <w:r w:rsidR="00BF059B">
        <w:t xml:space="preserve"> </w:t>
      </w:r>
      <w:r>
        <w:t>material</w:t>
      </w:r>
      <w:r w:rsidR="00BF059B">
        <w:t xml:space="preserve"> </w:t>
      </w:r>
      <w:r>
        <w:t>inconsistencies</w:t>
      </w:r>
      <w:r w:rsidR="00BF059B">
        <w:t xml:space="preserve"> </w:t>
      </w:r>
      <w:r>
        <w:t>or</w:t>
      </w:r>
      <w:r w:rsidR="00BF059B">
        <w:t xml:space="preserve"> </w:t>
      </w:r>
      <w:r>
        <w:t>apparent</w:t>
      </w:r>
      <w:r w:rsidR="00BF059B">
        <w:t xml:space="preserve"> </w:t>
      </w:r>
      <w:r>
        <w:t>material</w:t>
      </w:r>
      <w:r w:rsidR="00BF059B">
        <w:t xml:space="preserve"> </w:t>
      </w:r>
      <w:r>
        <w:t>misstatements,</w:t>
      </w:r>
      <w:r w:rsidR="00BF059B">
        <w:t xml:space="preserve"> </w:t>
      </w:r>
      <w:r>
        <w:t>we</w:t>
      </w:r>
      <w:r w:rsidR="00BF059B">
        <w:t xml:space="preserve"> </w:t>
      </w:r>
      <w:r>
        <w:t>are</w:t>
      </w:r>
      <w:r w:rsidR="00BF059B">
        <w:t xml:space="preserve"> </w:t>
      </w:r>
      <w:r>
        <w:t>required</w:t>
      </w:r>
      <w:r w:rsidR="00BF059B">
        <w:t xml:space="preserve"> </w:t>
      </w:r>
      <w:r>
        <w:t>to</w:t>
      </w:r>
      <w:r w:rsidR="00BF059B">
        <w:t xml:space="preserve"> </w:t>
      </w:r>
      <w:r>
        <w:t>determine</w:t>
      </w:r>
      <w:r w:rsidR="00BF059B">
        <w:t xml:space="preserve"> </w:t>
      </w:r>
      <w:r>
        <w:t>whether</w:t>
      </w:r>
      <w:r w:rsidR="00BF059B">
        <w:t xml:space="preserve"> </w:t>
      </w:r>
      <w:r>
        <w:t>there</w:t>
      </w:r>
      <w:r w:rsidR="00BF059B">
        <w:t xml:space="preserve"> </w:t>
      </w:r>
      <w:r>
        <w:t>is</w:t>
      </w:r>
      <w:r w:rsidR="00BF059B">
        <w:t xml:space="preserve"> </w:t>
      </w:r>
      <w:r>
        <w:t>a</w:t>
      </w:r>
      <w:r w:rsidR="00BF059B">
        <w:t xml:space="preserve"> </w:t>
      </w:r>
      <w:r>
        <w:t>material</w:t>
      </w:r>
      <w:r w:rsidR="00BF059B">
        <w:t xml:space="preserve"> </w:t>
      </w:r>
      <w:r>
        <w:t>misstatement</w:t>
      </w:r>
      <w:r w:rsidR="00BF059B">
        <w:t xml:space="preserve"> </w:t>
      </w:r>
      <w:r>
        <w:t>in</w:t>
      </w:r>
      <w:r w:rsidR="00BF059B">
        <w:t xml:space="preserve"> </w:t>
      </w:r>
      <w:r>
        <w:t>the</w:t>
      </w:r>
      <w:r w:rsidR="00BF059B">
        <w:t xml:space="preserve"> </w:t>
      </w:r>
      <w:r>
        <w:t>financial</w:t>
      </w:r>
      <w:r w:rsidR="00BF059B">
        <w:t xml:space="preserve"> </w:t>
      </w:r>
      <w:r>
        <w:t>statements</w:t>
      </w:r>
      <w:r w:rsidR="00BF059B">
        <w:t xml:space="preserve"> </w:t>
      </w:r>
      <w:r>
        <w:t>themselves.</w:t>
      </w:r>
      <w:r w:rsidR="00BF059B">
        <w:t xml:space="preserve"> </w:t>
      </w:r>
      <w:r>
        <w:t>If,</w:t>
      </w:r>
      <w:r w:rsidR="00BF059B">
        <w:t xml:space="preserve"> </w:t>
      </w:r>
      <w:r>
        <w:t>based</w:t>
      </w:r>
      <w:r w:rsidR="00BF059B">
        <w:t xml:space="preserve"> </w:t>
      </w:r>
      <w:r>
        <w:t>on</w:t>
      </w:r>
      <w:r w:rsidR="00BF059B">
        <w:t xml:space="preserve"> </w:t>
      </w:r>
      <w:r>
        <w:t>the</w:t>
      </w:r>
      <w:r w:rsidR="00BF059B">
        <w:t xml:space="preserve"> </w:t>
      </w:r>
      <w:r>
        <w:t>work</w:t>
      </w:r>
      <w:r w:rsidR="00BF059B">
        <w:t xml:space="preserve"> </w:t>
      </w:r>
      <w:r>
        <w:t>we</w:t>
      </w:r>
      <w:r w:rsidR="00BF059B">
        <w:t xml:space="preserve"> </w:t>
      </w:r>
      <w:r>
        <w:t>have</w:t>
      </w:r>
      <w:r w:rsidR="00BF059B">
        <w:t xml:space="preserve"> </w:t>
      </w:r>
      <w:r>
        <w:t>performed,</w:t>
      </w:r>
      <w:r w:rsidR="00BF059B">
        <w:t xml:space="preserve"> </w:t>
      </w:r>
      <w:r>
        <w:t>we</w:t>
      </w:r>
      <w:r w:rsidR="00BF059B">
        <w:t xml:space="preserve"> </w:t>
      </w:r>
      <w:r>
        <w:t>conclude</w:t>
      </w:r>
      <w:r w:rsidR="00BF059B">
        <w:t xml:space="preserve"> </w:t>
      </w:r>
      <w:r>
        <w:t>that</w:t>
      </w:r>
      <w:r w:rsidR="00BF059B">
        <w:t xml:space="preserve"> </w:t>
      </w:r>
      <w:r>
        <w:t>there</w:t>
      </w:r>
      <w:r w:rsidR="00BF059B">
        <w:t xml:space="preserve"> </w:t>
      </w:r>
      <w:r>
        <w:t>is</w:t>
      </w:r>
      <w:r w:rsidR="00BF059B">
        <w:t xml:space="preserve"> </w:t>
      </w:r>
      <w:r>
        <w:t>a</w:t>
      </w:r>
      <w:r w:rsidR="00BF059B">
        <w:t xml:space="preserve"> </w:t>
      </w:r>
      <w:r>
        <w:t>material</w:t>
      </w:r>
      <w:r w:rsidR="00BF059B">
        <w:t xml:space="preserve"> </w:t>
      </w:r>
      <w:r>
        <w:t>misstatement</w:t>
      </w:r>
      <w:r w:rsidR="00BF059B">
        <w:t xml:space="preserve"> </w:t>
      </w:r>
      <w:r>
        <w:t>of</w:t>
      </w:r>
      <w:r w:rsidR="00BF059B">
        <w:t xml:space="preserve"> </w:t>
      </w:r>
      <w:r>
        <w:t>this</w:t>
      </w:r>
      <w:r w:rsidR="00BF059B">
        <w:t xml:space="preserve"> </w:t>
      </w:r>
      <w:r>
        <w:t>other</w:t>
      </w:r>
      <w:r w:rsidR="00BF059B">
        <w:t xml:space="preserve"> </w:t>
      </w:r>
      <w:r>
        <w:t>information,</w:t>
      </w:r>
      <w:r w:rsidR="00BF059B">
        <w:t xml:space="preserve"> </w:t>
      </w:r>
      <w:r>
        <w:t>we</w:t>
      </w:r>
      <w:r w:rsidR="00BF059B">
        <w:t xml:space="preserve"> </w:t>
      </w:r>
      <w:r>
        <w:t>are</w:t>
      </w:r>
      <w:r w:rsidR="00BF059B">
        <w:t xml:space="preserve"> </w:t>
      </w:r>
      <w:r>
        <w:t>required</w:t>
      </w:r>
      <w:r w:rsidR="00BF059B">
        <w:t xml:space="preserve"> </w:t>
      </w:r>
      <w:r>
        <w:t>to</w:t>
      </w:r>
      <w:r w:rsidR="00BF059B">
        <w:t xml:space="preserve"> </w:t>
      </w:r>
      <w:r>
        <w:t>report</w:t>
      </w:r>
      <w:r w:rsidR="00BF059B">
        <w:t xml:space="preserve"> </w:t>
      </w:r>
      <w:r>
        <w:t>that</w:t>
      </w:r>
      <w:r w:rsidR="00BF059B">
        <w:t xml:space="preserve"> </w:t>
      </w:r>
      <w:r>
        <w:t>fact.</w:t>
      </w:r>
    </w:p>
    <w:p w14:paraId="0077C6FD" w14:textId="77777777" w:rsidR="00BE13A8" w:rsidRDefault="00BE13A8" w:rsidP="00DE30D3"/>
    <w:p w14:paraId="0E197FA0" w14:textId="23A0D54C" w:rsidR="00BE13A8" w:rsidRDefault="00D70530" w:rsidP="00DE30D3">
      <w:r>
        <w:t>We</w:t>
      </w:r>
      <w:r w:rsidR="00BF059B">
        <w:t xml:space="preserve"> </w:t>
      </w:r>
      <w:r>
        <w:t>have</w:t>
      </w:r>
      <w:r w:rsidR="00BF059B">
        <w:t xml:space="preserve"> </w:t>
      </w:r>
      <w:r>
        <w:t>nothing</w:t>
      </w:r>
      <w:r w:rsidR="00BF059B">
        <w:t xml:space="preserve"> </w:t>
      </w:r>
      <w:r>
        <w:t>to</w:t>
      </w:r>
      <w:r w:rsidR="00BF059B">
        <w:t xml:space="preserve"> </w:t>
      </w:r>
      <w:r>
        <w:t>report</w:t>
      </w:r>
      <w:r w:rsidR="00BF059B">
        <w:t xml:space="preserve"> </w:t>
      </w:r>
      <w:r>
        <w:t>in</w:t>
      </w:r>
      <w:r w:rsidR="00BF059B">
        <w:t xml:space="preserve"> </w:t>
      </w:r>
      <w:r>
        <w:t>this</w:t>
      </w:r>
      <w:r w:rsidR="00BF059B">
        <w:t xml:space="preserve"> </w:t>
      </w:r>
      <w:r>
        <w:t>regard.</w:t>
      </w:r>
      <w:r w:rsidR="00BF059B">
        <w:t xml:space="preserve"> </w:t>
      </w:r>
    </w:p>
    <w:p w14:paraId="0341DAF2" w14:textId="77777777" w:rsidR="00BE13A8" w:rsidRDefault="00BE13A8" w:rsidP="00DE30D3"/>
    <w:p w14:paraId="10792F46" w14:textId="7FC949C3" w:rsidR="00BE13A8" w:rsidRDefault="00D70530" w:rsidP="00DE30D3">
      <w:pPr>
        <w:pStyle w:val="Heading3"/>
      </w:pPr>
      <w:r>
        <w:t>Opinions</w:t>
      </w:r>
      <w:r w:rsidR="00BF059B">
        <w:t xml:space="preserve"> </w:t>
      </w:r>
      <w:r>
        <w:t>on</w:t>
      </w:r>
      <w:r w:rsidR="00BF059B">
        <w:t xml:space="preserve"> </w:t>
      </w:r>
      <w:r>
        <w:t>other</w:t>
      </w:r>
      <w:r w:rsidR="00BF059B">
        <w:t xml:space="preserve"> </w:t>
      </w:r>
      <w:r>
        <w:t>matters</w:t>
      </w:r>
      <w:r w:rsidR="00BF059B">
        <w:t xml:space="preserve"> </w:t>
      </w:r>
      <w:r>
        <w:t>prescribed</w:t>
      </w:r>
      <w:r w:rsidR="00BF059B">
        <w:t xml:space="preserve"> </w:t>
      </w:r>
      <w:r>
        <w:t>by</w:t>
      </w:r>
      <w:r w:rsidR="00BF059B">
        <w:t xml:space="preserve"> </w:t>
      </w:r>
      <w:r>
        <w:t>the</w:t>
      </w:r>
      <w:r w:rsidR="00BF059B">
        <w:t xml:space="preserve"> </w:t>
      </w:r>
      <w:r>
        <w:t>Companies</w:t>
      </w:r>
      <w:r w:rsidR="00BF059B">
        <w:t xml:space="preserve"> </w:t>
      </w:r>
      <w:r>
        <w:t>Act</w:t>
      </w:r>
      <w:r w:rsidR="00BF059B">
        <w:t xml:space="preserve"> </w:t>
      </w:r>
      <w:r>
        <w:t>2006</w:t>
      </w:r>
    </w:p>
    <w:p w14:paraId="141758DA" w14:textId="77777777" w:rsidR="00BE13A8" w:rsidRDefault="00BE13A8" w:rsidP="00DE30D3"/>
    <w:p w14:paraId="5EB86FCF" w14:textId="5C7FDFAC" w:rsidR="00BE13A8" w:rsidRDefault="00D70530" w:rsidP="00DE30D3">
      <w:r>
        <w:t>In</w:t>
      </w:r>
      <w:r w:rsidR="00BF059B">
        <w:t xml:space="preserve"> </w:t>
      </w:r>
      <w:r>
        <w:t>our</w:t>
      </w:r>
      <w:r w:rsidR="00BF059B">
        <w:t xml:space="preserve"> </w:t>
      </w:r>
      <w:r>
        <w:t>opinion,</w:t>
      </w:r>
      <w:r w:rsidR="00BF059B">
        <w:t xml:space="preserve"> </w:t>
      </w:r>
      <w:r>
        <w:t>based</w:t>
      </w:r>
      <w:r w:rsidR="00BF059B">
        <w:t xml:space="preserve"> </w:t>
      </w:r>
      <w:r>
        <w:t>on</w:t>
      </w:r>
      <w:r w:rsidR="00BF059B">
        <w:t xml:space="preserve"> </w:t>
      </w:r>
      <w:r>
        <w:t>the</w:t>
      </w:r>
      <w:r w:rsidR="00BF059B">
        <w:t xml:space="preserve"> </w:t>
      </w:r>
      <w:r>
        <w:t>work</w:t>
      </w:r>
      <w:r w:rsidR="00BF059B">
        <w:t xml:space="preserve"> </w:t>
      </w:r>
      <w:r>
        <w:t>undertaken</w:t>
      </w:r>
      <w:r w:rsidR="00BF059B">
        <w:t xml:space="preserve"> </w:t>
      </w:r>
      <w:r>
        <w:t>in</w:t>
      </w:r>
      <w:r w:rsidR="00BF059B">
        <w:t xml:space="preserve"> </w:t>
      </w:r>
      <w:r>
        <w:t>the</w:t>
      </w:r>
      <w:r w:rsidR="00BF059B">
        <w:t xml:space="preserve"> </w:t>
      </w:r>
      <w:r>
        <w:t>course</w:t>
      </w:r>
      <w:r w:rsidR="00BF059B">
        <w:t xml:space="preserve"> </w:t>
      </w:r>
      <w:r>
        <w:t>of</w:t>
      </w:r>
      <w:r w:rsidR="00BF059B">
        <w:t xml:space="preserve"> </w:t>
      </w:r>
      <w:r>
        <w:t>the</w:t>
      </w:r>
      <w:r w:rsidR="00BF059B">
        <w:t xml:space="preserve"> </w:t>
      </w:r>
      <w:r>
        <w:t>audit:</w:t>
      </w:r>
    </w:p>
    <w:p w14:paraId="64A63AC4" w14:textId="77777777" w:rsidR="00BE13A8" w:rsidRDefault="00BE13A8" w:rsidP="00DE30D3"/>
    <w:p w14:paraId="58295C33" w14:textId="121D8366" w:rsidR="00BE13A8" w:rsidRDefault="00D70530" w:rsidP="00DE30D3">
      <w:pPr>
        <w:numPr>
          <w:ilvl w:val="0"/>
          <w:numId w:val="38"/>
        </w:numPr>
      </w:pPr>
      <w:r>
        <w:t>the</w:t>
      </w:r>
      <w:r w:rsidR="00BF059B">
        <w:t xml:space="preserve"> </w:t>
      </w:r>
      <w:r>
        <w:t>information</w:t>
      </w:r>
      <w:r w:rsidR="00BF059B">
        <w:t xml:space="preserve"> </w:t>
      </w:r>
      <w:r>
        <w:t>given</w:t>
      </w:r>
      <w:r w:rsidR="00BF059B">
        <w:t xml:space="preserve"> </w:t>
      </w:r>
      <w:r>
        <w:t>in</w:t>
      </w:r>
      <w:r w:rsidR="00BF059B">
        <w:t xml:space="preserve"> </w:t>
      </w:r>
      <w:r>
        <w:t>the</w:t>
      </w:r>
      <w:r w:rsidR="00BF059B">
        <w:t xml:space="preserve"> </w:t>
      </w:r>
      <w:r>
        <w:t>Strategic</w:t>
      </w:r>
      <w:r w:rsidR="00BF059B">
        <w:t xml:space="preserve"> </w:t>
      </w:r>
      <w:r>
        <w:t>Report</w:t>
      </w:r>
      <w:r w:rsidR="00BF059B">
        <w:t xml:space="preserve"> </w:t>
      </w:r>
      <w:r>
        <w:t>and</w:t>
      </w:r>
      <w:r w:rsidR="00BF059B">
        <w:t xml:space="preserve"> </w:t>
      </w:r>
      <w:r>
        <w:t>the</w:t>
      </w:r>
      <w:r w:rsidR="00BF059B">
        <w:t xml:space="preserve"> </w:t>
      </w:r>
      <w:r>
        <w:t>Trustees’</w:t>
      </w:r>
      <w:r w:rsidR="00BF059B">
        <w:t xml:space="preserve"> </w:t>
      </w:r>
      <w:r>
        <w:t>Annual</w:t>
      </w:r>
      <w:r w:rsidR="00BF059B">
        <w:t xml:space="preserve"> </w:t>
      </w:r>
      <w:r>
        <w:t>Report</w:t>
      </w:r>
      <w:r w:rsidR="00BF059B">
        <w:t xml:space="preserve"> </w:t>
      </w:r>
      <w:r>
        <w:t>for</w:t>
      </w:r>
      <w:r w:rsidR="00BF059B">
        <w:t xml:space="preserve"> </w:t>
      </w:r>
      <w:r>
        <w:t>the</w:t>
      </w:r>
      <w:r w:rsidR="00BF059B">
        <w:t xml:space="preserve"> </w:t>
      </w:r>
      <w:r>
        <w:t>financial</w:t>
      </w:r>
      <w:r w:rsidR="00BF059B">
        <w:t xml:space="preserve"> </w:t>
      </w:r>
      <w:r>
        <w:t>year</w:t>
      </w:r>
      <w:r w:rsidR="00BF059B">
        <w:t xml:space="preserve"> </w:t>
      </w:r>
      <w:r>
        <w:t>for</w:t>
      </w:r>
      <w:r w:rsidR="00BF059B">
        <w:t xml:space="preserve"> </w:t>
      </w:r>
      <w:r>
        <w:t>which</w:t>
      </w:r>
      <w:r w:rsidR="00BF059B">
        <w:t xml:space="preserve"> </w:t>
      </w:r>
      <w:r>
        <w:t>the</w:t>
      </w:r>
      <w:r w:rsidR="00BF059B">
        <w:t xml:space="preserve"> </w:t>
      </w:r>
      <w:r>
        <w:t>financial</w:t>
      </w:r>
      <w:r w:rsidR="00BF059B">
        <w:t xml:space="preserve"> </w:t>
      </w:r>
      <w:r>
        <w:t>statements</w:t>
      </w:r>
      <w:r w:rsidR="00BF059B">
        <w:t xml:space="preserve"> </w:t>
      </w:r>
      <w:r>
        <w:t>are</w:t>
      </w:r>
      <w:r w:rsidR="00BF059B">
        <w:t xml:space="preserve"> </w:t>
      </w:r>
      <w:r>
        <w:t>prepared</w:t>
      </w:r>
      <w:r w:rsidR="00BF059B">
        <w:t xml:space="preserve"> </w:t>
      </w:r>
      <w:r>
        <w:t>is</w:t>
      </w:r>
      <w:r w:rsidR="00BF059B">
        <w:t xml:space="preserve"> </w:t>
      </w:r>
      <w:r>
        <w:t>consistent</w:t>
      </w:r>
      <w:r w:rsidR="00BF059B">
        <w:t xml:space="preserve"> </w:t>
      </w:r>
      <w:r>
        <w:t>with</w:t>
      </w:r>
      <w:r w:rsidR="00BF059B">
        <w:t xml:space="preserve"> </w:t>
      </w:r>
      <w:r>
        <w:t>the</w:t>
      </w:r>
      <w:r w:rsidR="00BF059B">
        <w:t xml:space="preserve"> </w:t>
      </w:r>
      <w:r>
        <w:t>financial</w:t>
      </w:r>
      <w:r w:rsidR="00BF059B">
        <w:t xml:space="preserve"> </w:t>
      </w:r>
      <w:r>
        <w:t>statements;</w:t>
      </w:r>
      <w:r w:rsidR="00BF059B">
        <w:t xml:space="preserve"> </w:t>
      </w:r>
      <w:r>
        <w:t>and</w:t>
      </w:r>
    </w:p>
    <w:p w14:paraId="45C2F90D" w14:textId="2ED1725B" w:rsidR="00BE13A8" w:rsidRDefault="00D70530" w:rsidP="00DE30D3">
      <w:pPr>
        <w:numPr>
          <w:ilvl w:val="0"/>
          <w:numId w:val="38"/>
        </w:numPr>
      </w:pPr>
      <w:r>
        <w:t>the</w:t>
      </w:r>
      <w:r w:rsidR="00BF059B">
        <w:t xml:space="preserve"> </w:t>
      </w:r>
      <w:r>
        <w:t>Strategic</w:t>
      </w:r>
      <w:r w:rsidR="00BF059B">
        <w:t xml:space="preserve"> </w:t>
      </w:r>
      <w:r>
        <w:t>Report</w:t>
      </w:r>
      <w:r w:rsidR="00BF059B">
        <w:t xml:space="preserve"> </w:t>
      </w:r>
      <w:r>
        <w:t>and</w:t>
      </w:r>
      <w:r w:rsidR="00BF059B">
        <w:t xml:space="preserve"> </w:t>
      </w:r>
      <w:r>
        <w:t>the</w:t>
      </w:r>
      <w:r w:rsidR="00BF059B">
        <w:t xml:space="preserve"> </w:t>
      </w:r>
      <w:r>
        <w:t>Trustees’</w:t>
      </w:r>
      <w:r w:rsidR="00BF059B">
        <w:t xml:space="preserve"> </w:t>
      </w:r>
      <w:r>
        <w:t>Annual</w:t>
      </w:r>
      <w:r w:rsidR="00BF059B">
        <w:t xml:space="preserve"> </w:t>
      </w:r>
      <w:r>
        <w:t>Report</w:t>
      </w:r>
      <w:r w:rsidR="00BF059B">
        <w:t xml:space="preserve"> </w:t>
      </w:r>
      <w:r>
        <w:t>have</w:t>
      </w:r>
      <w:r w:rsidR="00BF059B">
        <w:t xml:space="preserve"> </w:t>
      </w:r>
      <w:r>
        <w:t>been</w:t>
      </w:r>
      <w:r w:rsidR="00BF059B">
        <w:t xml:space="preserve"> </w:t>
      </w:r>
      <w:r>
        <w:t>prepared</w:t>
      </w:r>
      <w:r w:rsidR="00BF059B">
        <w:t xml:space="preserve"> </w:t>
      </w:r>
      <w:r>
        <w:t>in</w:t>
      </w:r>
      <w:r w:rsidR="00BF059B">
        <w:t xml:space="preserve"> </w:t>
      </w:r>
      <w:r>
        <w:t>accordance</w:t>
      </w:r>
      <w:r w:rsidR="00BF059B">
        <w:t xml:space="preserve"> </w:t>
      </w:r>
      <w:r>
        <w:t>with</w:t>
      </w:r>
      <w:r w:rsidR="00BF059B">
        <w:t xml:space="preserve"> </w:t>
      </w:r>
      <w:r>
        <w:t>applicable</w:t>
      </w:r>
      <w:r w:rsidR="00BF059B">
        <w:t xml:space="preserve"> </w:t>
      </w:r>
      <w:r>
        <w:t>legal</w:t>
      </w:r>
      <w:r w:rsidR="00BF059B">
        <w:t xml:space="preserve"> </w:t>
      </w:r>
      <w:r>
        <w:t>requirements.</w:t>
      </w:r>
    </w:p>
    <w:p w14:paraId="63D95078" w14:textId="77777777" w:rsidR="00BE13A8" w:rsidRDefault="00BE13A8" w:rsidP="00DE30D3"/>
    <w:p w14:paraId="22F10940" w14:textId="5CFF17A0" w:rsidR="00BE13A8" w:rsidRDefault="00D70530" w:rsidP="00DE30D3">
      <w:pPr>
        <w:pStyle w:val="Heading3"/>
      </w:pPr>
      <w:r>
        <w:t>Matters</w:t>
      </w:r>
      <w:r w:rsidR="00BF059B">
        <w:t xml:space="preserve"> </w:t>
      </w:r>
      <w:r>
        <w:t>on</w:t>
      </w:r>
      <w:r w:rsidR="00BF059B">
        <w:t xml:space="preserve"> </w:t>
      </w:r>
      <w:r>
        <w:t>which</w:t>
      </w:r>
      <w:r w:rsidR="00BF059B">
        <w:t xml:space="preserve"> </w:t>
      </w:r>
      <w:r>
        <w:t>we</w:t>
      </w:r>
      <w:r w:rsidR="00BF059B">
        <w:t xml:space="preserve"> </w:t>
      </w:r>
      <w:r>
        <w:t>are</w:t>
      </w:r>
      <w:r w:rsidR="00BF059B">
        <w:t xml:space="preserve"> </w:t>
      </w:r>
      <w:r>
        <w:t>required</w:t>
      </w:r>
      <w:r w:rsidR="00BF059B">
        <w:t xml:space="preserve"> </w:t>
      </w:r>
      <w:r>
        <w:t>to</w:t>
      </w:r>
      <w:r w:rsidR="00BF059B">
        <w:t xml:space="preserve"> </w:t>
      </w:r>
      <w:r>
        <w:t>report</w:t>
      </w:r>
      <w:r w:rsidR="00BF059B">
        <w:t xml:space="preserve"> </w:t>
      </w:r>
      <w:r>
        <w:t>by</w:t>
      </w:r>
      <w:r w:rsidR="00BF059B">
        <w:t xml:space="preserve"> </w:t>
      </w:r>
      <w:r>
        <w:t>exception</w:t>
      </w:r>
    </w:p>
    <w:p w14:paraId="13FCA72E" w14:textId="77777777" w:rsidR="00BE13A8" w:rsidRDefault="00BE13A8">
      <w:pPr>
        <w:jc w:val="both"/>
      </w:pPr>
    </w:p>
    <w:p w14:paraId="5EA65BC3" w14:textId="727877D4" w:rsidR="00BE13A8" w:rsidRDefault="00D70530" w:rsidP="00DE30D3">
      <w:r>
        <w:lastRenderedPageBreak/>
        <w:t>In</w:t>
      </w:r>
      <w:r w:rsidR="00BF059B">
        <w:t xml:space="preserve"> </w:t>
      </w:r>
      <w:r>
        <w:t>the</w:t>
      </w:r>
      <w:r w:rsidR="00BF059B">
        <w:t xml:space="preserve"> </w:t>
      </w:r>
      <w:r>
        <w:t>light</w:t>
      </w:r>
      <w:r w:rsidR="00BF059B">
        <w:t xml:space="preserve"> </w:t>
      </w:r>
      <w:r>
        <w:t>of</w:t>
      </w:r>
      <w:r w:rsidR="00BF059B">
        <w:t xml:space="preserve"> </w:t>
      </w:r>
      <w:r>
        <w:t>the</w:t>
      </w:r>
      <w:r w:rsidR="00BF059B">
        <w:t xml:space="preserve"> </w:t>
      </w:r>
      <w:r>
        <w:t>knowledge</w:t>
      </w:r>
      <w:r w:rsidR="00BF059B">
        <w:t xml:space="preserve"> </w:t>
      </w:r>
      <w:r>
        <w:t>and</w:t>
      </w:r>
      <w:r w:rsidR="00BF059B">
        <w:t xml:space="preserve"> </w:t>
      </w:r>
      <w:r>
        <w:t>understanding</w:t>
      </w:r>
      <w:r w:rsidR="00BF059B">
        <w:t xml:space="preserve"> </w:t>
      </w:r>
      <w:r>
        <w:t>of</w:t>
      </w:r>
      <w:r w:rsidR="00BF059B">
        <w:t xml:space="preserve"> </w:t>
      </w:r>
      <w:r>
        <w:t>the</w:t>
      </w:r>
      <w:r w:rsidR="00BF059B">
        <w:t xml:space="preserve"> </w:t>
      </w:r>
      <w:r>
        <w:t>group</w:t>
      </w:r>
      <w:r w:rsidR="00BF059B">
        <w:t xml:space="preserve"> </w:t>
      </w:r>
      <w:r>
        <w:t>and</w:t>
      </w:r>
      <w:r w:rsidR="00BF059B">
        <w:t xml:space="preserve"> </w:t>
      </w:r>
      <w:r>
        <w:t>parent</w:t>
      </w:r>
      <w:r w:rsidR="00BF059B">
        <w:t xml:space="preserve"> </w:t>
      </w:r>
      <w:r>
        <w:t>charitable</w:t>
      </w:r>
      <w:r w:rsidR="00BF059B">
        <w:t xml:space="preserve"> </w:t>
      </w:r>
      <w:r>
        <w:t>company</w:t>
      </w:r>
      <w:r w:rsidR="00BF059B">
        <w:t xml:space="preserve"> </w:t>
      </w:r>
      <w:r>
        <w:t>and</w:t>
      </w:r>
      <w:r w:rsidR="00BF059B">
        <w:t xml:space="preserve"> </w:t>
      </w:r>
      <w:r>
        <w:t>their</w:t>
      </w:r>
      <w:r w:rsidR="00BF059B">
        <w:t xml:space="preserve"> </w:t>
      </w:r>
      <w:r>
        <w:t>environment</w:t>
      </w:r>
      <w:r w:rsidR="00BF059B">
        <w:t xml:space="preserve"> </w:t>
      </w:r>
      <w:r>
        <w:t>obtained</w:t>
      </w:r>
      <w:r w:rsidR="00BF059B">
        <w:t xml:space="preserve"> </w:t>
      </w:r>
      <w:r>
        <w:t>in</w:t>
      </w:r>
      <w:r w:rsidR="00BF059B">
        <w:t xml:space="preserve"> </w:t>
      </w:r>
      <w:r>
        <w:t>the</w:t>
      </w:r>
      <w:r w:rsidR="00BF059B">
        <w:t xml:space="preserve"> </w:t>
      </w:r>
      <w:r>
        <w:t>course</w:t>
      </w:r>
      <w:r w:rsidR="00BF059B">
        <w:t xml:space="preserve"> </w:t>
      </w:r>
      <w:r>
        <w:t>of</w:t>
      </w:r>
      <w:r w:rsidR="00BF059B">
        <w:t xml:space="preserve"> </w:t>
      </w:r>
      <w:r>
        <w:t>the</w:t>
      </w:r>
      <w:r w:rsidR="00BF059B">
        <w:t xml:space="preserve"> </w:t>
      </w:r>
      <w:r>
        <w:t>audit,</w:t>
      </w:r>
      <w:r w:rsidR="00BF059B">
        <w:t xml:space="preserve"> </w:t>
      </w:r>
      <w:r>
        <w:t>we</w:t>
      </w:r>
      <w:r w:rsidR="00BF059B">
        <w:t xml:space="preserve"> </w:t>
      </w:r>
      <w:r>
        <w:t>have</w:t>
      </w:r>
      <w:r w:rsidR="00BF059B">
        <w:t xml:space="preserve"> </w:t>
      </w:r>
      <w:r>
        <w:t>not</w:t>
      </w:r>
      <w:r w:rsidR="00BF059B">
        <w:t xml:space="preserve"> </w:t>
      </w:r>
      <w:r>
        <w:t>identified</w:t>
      </w:r>
      <w:r w:rsidR="00BF059B">
        <w:t xml:space="preserve"> </w:t>
      </w:r>
      <w:r>
        <w:t>material</w:t>
      </w:r>
      <w:r w:rsidR="00BF059B">
        <w:t xml:space="preserve"> </w:t>
      </w:r>
      <w:r>
        <w:t>misstatements</w:t>
      </w:r>
      <w:r w:rsidR="00BF059B">
        <w:t xml:space="preserve"> </w:t>
      </w:r>
      <w:r>
        <w:t>in</w:t>
      </w:r>
      <w:r w:rsidR="00BF059B">
        <w:t xml:space="preserve"> </w:t>
      </w:r>
      <w:r>
        <w:t>the</w:t>
      </w:r>
      <w:r w:rsidR="00BF059B">
        <w:t xml:space="preserve"> </w:t>
      </w:r>
      <w:r>
        <w:t>Strategic</w:t>
      </w:r>
      <w:r w:rsidR="00BF059B">
        <w:t xml:space="preserve"> </w:t>
      </w:r>
      <w:r>
        <w:t>Report</w:t>
      </w:r>
      <w:r w:rsidR="00BF059B">
        <w:t xml:space="preserve"> </w:t>
      </w:r>
      <w:r>
        <w:t>or</w:t>
      </w:r>
      <w:r w:rsidR="00BF059B">
        <w:t xml:space="preserve"> </w:t>
      </w:r>
      <w:r>
        <w:t>the</w:t>
      </w:r>
      <w:r w:rsidR="00BF059B">
        <w:t xml:space="preserve"> </w:t>
      </w:r>
      <w:r>
        <w:t>Trustees’</w:t>
      </w:r>
      <w:r w:rsidR="00BF059B">
        <w:t xml:space="preserve"> </w:t>
      </w:r>
      <w:r>
        <w:t>Annual</w:t>
      </w:r>
      <w:r w:rsidR="00BF059B">
        <w:t xml:space="preserve"> </w:t>
      </w:r>
      <w:r>
        <w:t>Report.</w:t>
      </w:r>
      <w:r w:rsidR="00BF059B">
        <w:t xml:space="preserve"> </w:t>
      </w:r>
    </w:p>
    <w:p w14:paraId="2F1B2FB1" w14:textId="77777777" w:rsidR="00BE13A8" w:rsidRDefault="00BE13A8" w:rsidP="00DE30D3"/>
    <w:p w14:paraId="410169B3" w14:textId="19C914E9" w:rsidR="00BE13A8" w:rsidRDefault="00D70530" w:rsidP="00DE30D3">
      <w:r>
        <w:t>We</w:t>
      </w:r>
      <w:r w:rsidR="00BF059B">
        <w:t xml:space="preserve"> </w:t>
      </w:r>
      <w:r>
        <w:t>have</w:t>
      </w:r>
      <w:r w:rsidR="00BF059B">
        <w:t xml:space="preserve"> </w:t>
      </w:r>
      <w:r>
        <w:t>nothing</w:t>
      </w:r>
      <w:r w:rsidR="00BF059B">
        <w:t xml:space="preserve"> </w:t>
      </w:r>
      <w:r>
        <w:t>to</w:t>
      </w:r>
      <w:r w:rsidR="00BF059B">
        <w:t xml:space="preserve"> </w:t>
      </w:r>
      <w:r>
        <w:t>report</w:t>
      </w:r>
      <w:r w:rsidR="00BF059B">
        <w:t xml:space="preserve"> </w:t>
      </w:r>
      <w:r>
        <w:t>in</w:t>
      </w:r>
      <w:r w:rsidR="00BF059B">
        <w:t xml:space="preserve"> </w:t>
      </w:r>
      <w:r>
        <w:t>respect</w:t>
      </w:r>
      <w:r w:rsidR="00BF059B">
        <w:t xml:space="preserve"> </w:t>
      </w:r>
      <w:r>
        <w:t>of</w:t>
      </w:r>
      <w:r w:rsidR="00BF059B">
        <w:t xml:space="preserve"> </w:t>
      </w:r>
      <w:r>
        <w:t>the</w:t>
      </w:r>
      <w:r w:rsidR="00BF059B">
        <w:t xml:space="preserve"> </w:t>
      </w:r>
      <w:r>
        <w:t>following</w:t>
      </w:r>
      <w:r w:rsidR="00BF059B">
        <w:t xml:space="preserve"> </w:t>
      </w:r>
      <w:r>
        <w:t>matters</w:t>
      </w:r>
      <w:r w:rsidR="00BF059B">
        <w:t xml:space="preserve"> </w:t>
      </w:r>
      <w:r>
        <w:t>where</w:t>
      </w:r>
      <w:r w:rsidR="00BF059B">
        <w:t xml:space="preserve"> </w:t>
      </w:r>
      <w:r>
        <w:t>the</w:t>
      </w:r>
      <w:r w:rsidR="00BF059B">
        <w:t xml:space="preserve"> </w:t>
      </w:r>
      <w:r>
        <w:t>Companies</w:t>
      </w:r>
      <w:r w:rsidR="00BF059B">
        <w:t xml:space="preserve"> </w:t>
      </w:r>
      <w:r>
        <w:t>Act</w:t>
      </w:r>
      <w:r w:rsidR="00BF059B">
        <w:t xml:space="preserve"> </w:t>
      </w:r>
      <w:r>
        <w:t>2006</w:t>
      </w:r>
      <w:r w:rsidR="00BF059B">
        <w:t xml:space="preserve"> </w:t>
      </w:r>
      <w:r>
        <w:t>requires</w:t>
      </w:r>
      <w:r w:rsidR="00BF059B">
        <w:t xml:space="preserve"> </w:t>
      </w:r>
      <w:r>
        <w:t>us</w:t>
      </w:r>
      <w:r w:rsidR="00BF059B">
        <w:t xml:space="preserve"> </w:t>
      </w:r>
      <w:r>
        <w:t>to</w:t>
      </w:r>
      <w:r w:rsidR="00BF059B">
        <w:t xml:space="preserve"> </w:t>
      </w:r>
      <w:r>
        <w:t>report</w:t>
      </w:r>
      <w:r w:rsidR="00BF059B">
        <w:t xml:space="preserve"> </w:t>
      </w:r>
      <w:r>
        <w:t>to</w:t>
      </w:r>
      <w:r w:rsidR="00BF059B">
        <w:t xml:space="preserve"> </w:t>
      </w:r>
      <w:r>
        <w:t>you</w:t>
      </w:r>
      <w:r w:rsidR="00BF059B">
        <w:t xml:space="preserve"> </w:t>
      </w:r>
      <w:r>
        <w:t>if,</w:t>
      </w:r>
      <w:r w:rsidR="00BF059B">
        <w:t xml:space="preserve"> </w:t>
      </w:r>
      <w:r>
        <w:t>in</w:t>
      </w:r>
      <w:r w:rsidR="00BF059B">
        <w:t xml:space="preserve"> </w:t>
      </w:r>
      <w:r>
        <w:t>our</w:t>
      </w:r>
      <w:r w:rsidR="00BF059B">
        <w:t xml:space="preserve"> </w:t>
      </w:r>
      <w:r>
        <w:t>opinion:</w:t>
      </w:r>
    </w:p>
    <w:p w14:paraId="6E40CE0B" w14:textId="77777777" w:rsidR="00BE13A8" w:rsidRDefault="00BE13A8" w:rsidP="00DE30D3"/>
    <w:p w14:paraId="472D69EA" w14:textId="3126C23A" w:rsidR="00BE13A8" w:rsidRDefault="00D70530" w:rsidP="00DE30D3">
      <w:pPr>
        <w:numPr>
          <w:ilvl w:val="0"/>
          <w:numId w:val="39"/>
        </w:numPr>
      </w:pPr>
      <w:r>
        <w:t>the</w:t>
      </w:r>
      <w:r w:rsidR="00BF059B">
        <w:t xml:space="preserve"> </w:t>
      </w:r>
      <w:r>
        <w:t>parent</w:t>
      </w:r>
      <w:r w:rsidR="00BF059B">
        <w:t xml:space="preserve"> </w:t>
      </w:r>
      <w:r>
        <w:t>charitable</w:t>
      </w:r>
      <w:r w:rsidR="00BF059B">
        <w:t xml:space="preserve"> </w:t>
      </w:r>
      <w:r>
        <w:t>company</w:t>
      </w:r>
      <w:r w:rsidR="00BF059B">
        <w:t xml:space="preserve"> </w:t>
      </w:r>
      <w:r>
        <w:t>has</w:t>
      </w:r>
      <w:r w:rsidR="00BF059B">
        <w:t xml:space="preserve"> </w:t>
      </w:r>
      <w:r>
        <w:t>not</w:t>
      </w:r>
      <w:r w:rsidR="00BF059B">
        <w:t xml:space="preserve"> </w:t>
      </w:r>
      <w:r>
        <w:t>kept</w:t>
      </w:r>
      <w:r w:rsidR="00BF059B">
        <w:t xml:space="preserve"> </w:t>
      </w:r>
      <w:r>
        <w:t>adequate</w:t>
      </w:r>
      <w:r w:rsidR="00BF059B">
        <w:t xml:space="preserve"> </w:t>
      </w:r>
      <w:r>
        <w:t>and</w:t>
      </w:r>
      <w:r w:rsidR="00BF059B">
        <w:t xml:space="preserve"> </w:t>
      </w:r>
      <w:r>
        <w:t>sufficient</w:t>
      </w:r>
      <w:r w:rsidR="00BF059B">
        <w:t xml:space="preserve"> </w:t>
      </w:r>
      <w:r>
        <w:t>accounting</w:t>
      </w:r>
      <w:r w:rsidR="00BF059B">
        <w:t xml:space="preserve"> </w:t>
      </w:r>
      <w:r>
        <w:t>records,</w:t>
      </w:r>
      <w:r w:rsidR="00BF059B">
        <w:t xml:space="preserve"> </w:t>
      </w:r>
      <w:r>
        <w:t>or</w:t>
      </w:r>
      <w:r w:rsidR="00BF059B">
        <w:t xml:space="preserve"> </w:t>
      </w:r>
      <w:r>
        <w:t>returns</w:t>
      </w:r>
      <w:r w:rsidR="00BF059B">
        <w:t xml:space="preserve"> </w:t>
      </w:r>
      <w:r>
        <w:t>adequate</w:t>
      </w:r>
      <w:r w:rsidR="00BF059B">
        <w:t xml:space="preserve"> </w:t>
      </w:r>
      <w:r>
        <w:t>for</w:t>
      </w:r>
      <w:r w:rsidR="00BF059B">
        <w:t xml:space="preserve"> </w:t>
      </w:r>
      <w:r>
        <w:t>our</w:t>
      </w:r>
      <w:r w:rsidR="00BF059B">
        <w:t xml:space="preserve"> </w:t>
      </w:r>
      <w:r>
        <w:t>audit</w:t>
      </w:r>
      <w:r w:rsidR="00BF059B">
        <w:t xml:space="preserve"> </w:t>
      </w:r>
      <w:r>
        <w:t>have</w:t>
      </w:r>
      <w:r w:rsidR="00BF059B">
        <w:t xml:space="preserve"> </w:t>
      </w:r>
      <w:r>
        <w:t>not</w:t>
      </w:r>
      <w:r w:rsidR="00BF059B">
        <w:t xml:space="preserve"> </w:t>
      </w:r>
      <w:r>
        <w:t>been</w:t>
      </w:r>
      <w:r w:rsidR="00BF059B">
        <w:t xml:space="preserve"> </w:t>
      </w:r>
      <w:r>
        <w:t>received</w:t>
      </w:r>
      <w:r w:rsidR="00BF059B">
        <w:t xml:space="preserve"> </w:t>
      </w:r>
      <w:r>
        <w:t>from</w:t>
      </w:r>
      <w:r w:rsidR="00BF059B">
        <w:t xml:space="preserve"> </w:t>
      </w:r>
      <w:r>
        <w:t>branches</w:t>
      </w:r>
      <w:r w:rsidR="00BF059B">
        <w:t xml:space="preserve"> </w:t>
      </w:r>
      <w:r>
        <w:t>not</w:t>
      </w:r>
      <w:r w:rsidR="00BF059B">
        <w:t xml:space="preserve"> </w:t>
      </w:r>
      <w:r>
        <w:t>visited</w:t>
      </w:r>
      <w:r w:rsidR="00BF059B">
        <w:t xml:space="preserve"> </w:t>
      </w:r>
      <w:r>
        <w:t>by</w:t>
      </w:r>
      <w:r w:rsidR="00BF059B">
        <w:t xml:space="preserve"> </w:t>
      </w:r>
      <w:r>
        <w:t>us;</w:t>
      </w:r>
      <w:r w:rsidR="00BF059B">
        <w:t xml:space="preserve"> </w:t>
      </w:r>
      <w:r>
        <w:t>or</w:t>
      </w:r>
    </w:p>
    <w:p w14:paraId="344521D5" w14:textId="2B35D3AF" w:rsidR="00BE13A8" w:rsidRDefault="00D70530" w:rsidP="00DE30D3">
      <w:pPr>
        <w:numPr>
          <w:ilvl w:val="0"/>
          <w:numId w:val="39"/>
        </w:numPr>
      </w:pPr>
      <w:r>
        <w:t>the</w:t>
      </w:r>
      <w:r w:rsidR="00BF059B">
        <w:t xml:space="preserve"> </w:t>
      </w:r>
      <w:r>
        <w:t>parent</w:t>
      </w:r>
      <w:r w:rsidR="00BF059B">
        <w:t xml:space="preserve"> </w:t>
      </w:r>
      <w:r>
        <w:t>charitable</w:t>
      </w:r>
      <w:r w:rsidR="00BF059B">
        <w:t xml:space="preserve"> </w:t>
      </w:r>
      <w:r>
        <w:t>company’s</w:t>
      </w:r>
      <w:r w:rsidR="00BF059B">
        <w:t xml:space="preserve"> </w:t>
      </w:r>
      <w:r>
        <w:t>financial</w:t>
      </w:r>
      <w:r w:rsidR="00BF059B">
        <w:t xml:space="preserve"> </w:t>
      </w:r>
      <w:r>
        <w:t>statements</w:t>
      </w:r>
      <w:r w:rsidR="00BF059B">
        <w:t xml:space="preserve"> </w:t>
      </w:r>
      <w:r>
        <w:t>are</w:t>
      </w:r>
      <w:r w:rsidR="00BF059B">
        <w:t xml:space="preserve"> </w:t>
      </w:r>
      <w:r>
        <w:t>not</w:t>
      </w:r>
      <w:r w:rsidR="00BF059B">
        <w:t xml:space="preserve"> </w:t>
      </w:r>
      <w:r>
        <w:t>in</w:t>
      </w:r>
      <w:r w:rsidR="00BF059B">
        <w:t xml:space="preserve"> </w:t>
      </w:r>
      <w:r>
        <w:t>agreement</w:t>
      </w:r>
      <w:r w:rsidR="00BF059B">
        <w:t xml:space="preserve"> </w:t>
      </w:r>
      <w:r>
        <w:t>with</w:t>
      </w:r>
      <w:r w:rsidR="00BF059B">
        <w:t xml:space="preserve"> </w:t>
      </w:r>
      <w:r>
        <w:t>the</w:t>
      </w:r>
      <w:r w:rsidR="00BF059B">
        <w:t xml:space="preserve"> </w:t>
      </w:r>
      <w:r>
        <w:t>accounting</w:t>
      </w:r>
      <w:r w:rsidR="00BF059B">
        <w:t xml:space="preserve"> </w:t>
      </w:r>
      <w:r>
        <w:t>records</w:t>
      </w:r>
      <w:r w:rsidR="00BF059B">
        <w:t xml:space="preserve"> </w:t>
      </w:r>
      <w:r>
        <w:t>and</w:t>
      </w:r>
      <w:r w:rsidR="00BF059B">
        <w:t xml:space="preserve"> </w:t>
      </w:r>
      <w:r>
        <w:t>returns;</w:t>
      </w:r>
      <w:r w:rsidR="00BF059B">
        <w:t xml:space="preserve"> </w:t>
      </w:r>
      <w:r>
        <w:t>or</w:t>
      </w:r>
    </w:p>
    <w:p w14:paraId="5B2FAA77" w14:textId="743652E3" w:rsidR="00BE13A8" w:rsidRDefault="00D70530" w:rsidP="00DE30D3">
      <w:pPr>
        <w:numPr>
          <w:ilvl w:val="0"/>
          <w:numId w:val="39"/>
        </w:numPr>
      </w:pPr>
      <w:r>
        <w:t>certain</w:t>
      </w:r>
      <w:r w:rsidR="00BF059B">
        <w:t xml:space="preserve"> </w:t>
      </w:r>
      <w:r>
        <w:t>disclosures</w:t>
      </w:r>
      <w:r w:rsidR="00BF059B">
        <w:t xml:space="preserve"> </w:t>
      </w:r>
      <w:r>
        <w:t>of</w:t>
      </w:r>
      <w:r w:rsidR="00BF059B">
        <w:t xml:space="preserve"> </w:t>
      </w:r>
      <w:r>
        <w:t>Trustees’</w:t>
      </w:r>
      <w:r w:rsidR="00BF059B">
        <w:t xml:space="preserve"> </w:t>
      </w:r>
      <w:r>
        <w:t>remuneration</w:t>
      </w:r>
      <w:r w:rsidR="00BF059B">
        <w:t xml:space="preserve"> </w:t>
      </w:r>
      <w:r>
        <w:t>specified</w:t>
      </w:r>
      <w:r w:rsidR="00BF059B">
        <w:t xml:space="preserve"> </w:t>
      </w:r>
      <w:r>
        <w:t>by</w:t>
      </w:r>
      <w:r w:rsidR="00BF059B">
        <w:t xml:space="preserve"> </w:t>
      </w:r>
      <w:r>
        <w:t>law</w:t>
      </w:r>
      <w:r w:rsidR="00BF059B">
        <w:t xml:space="preserve"> </w:t>
      </w:r>
      <w:r>
        <w:t>are</w:t>
      </w:r>
      <w:r w:rsidR="00BF059B">
        <w:t xml:space="preserve"> </w:t>
      </w:r>
      <w:r>
        <w:t>not</w:t>
      </w:r>
      <w:r w:rsidR="00BF059B">
        <w:t xml:space="preserve"> </w:t>
      </w:r>
      <w:r>
        <w:t>made;</w:t>
      </w:r>
      <w:r w:rsidR="00BF059B">
        <w:t xml:space="preserve"> </w:t>
      </w:r>
      <w:r>
        <w:t>or</w:t>
      </w:r>
    </w:p>
    <w:p w14:paraId="4EAB7903" w14:textId="79FA1511" w:rsidR="00BE13A8" w:rsidRDefault="00D70530" w:rsidP="00DE30D3">
      <w:pPr>
        <w:numPr>
          <w:ilvl w:val="0"/>
          <w:numId w:val="39"/>
        </w:numPr>
      </w:pPr>
      <w:r>
        <w:t>we</w:t>
      </w:r>
      <w:r w:rsidR="00BF059B">
        <w:t xml:space="preserve"> </w:t>
      </w:r>
      <w:r>
        <w:t>have</w:t>
      </w:r>
      <w:r w:rsidR="00BF059B">
        <w:t xml:space="preserve"> </w:t>
      </w:r>
      <w:r>
        <w:t>not</w:t>
      </w:r>
      <w:r w:rsidR="00BF059B">
        <w:t xml:space="preserve"> </w:t>
      </w:r>
      <w:r>
        <w:t>received</w:t>
      </w:r>
      <w:r w:rsidR="00BF059B">
        <w:t xml:space="preserve"> </w:t>
      </w:r>
      <w:r>
        <w:t>all</w:t>
      </w:r>
      <w:r w:rsidR="00BF059B">
        <w:t xml:space="preserve"> </w:t>
      </w:r>
      <w:r>
        <w:t>the</w:t>
      </w:r>
      <w:r w:rsidR="00BF059B">
        <w:t xml:space="preserve"> </w:t>
      </w:r>
      <w:r>
        <w:t>information</w:t>
      </w:r>
      <w:r w:rsidR="00BF059B">
        <w:t xml:space="preserve"> </w:t>
      </w:r>
      <w:r>
        <w:t>and</w:t>
      </w:r>
      <w:r w:rsidR="00BF059B">
        <w:t xml:space="preserve"> </w:t>
      </w:r>
      <w:r>
        <w:t>explanations</w:t>
      </w:r>
      <w:r w:rsidR="00BF059B">
        <w:t xml:space="preserve"> </w:t>
      </w:r>
      <w:r>
        <w:t>we</w:t>
      </w:r>
      <w:r w:rsidR="00BF059B">
        <w:t xml:space="preserve"> </w:t>
      </w:r>
      <w:r>
        <w:t>require</w:t>
      </w:r>
      <w:r w:rsidR="00BF059B">
        <w:t xml:space="preserve"> </w:t>
      </w:r>
      <w:r>
        <w:t>for</w:t>
      </w:r>
      <w:r w:rsidR="00BF059B">
        <w:t xml:space="preserve"> </w:t>
      </w:r>
      <w:r>
        <w:t>our</w:t>
      </w:r>
      <w:r w:rsidR="00BF059B">
        <w:t xml:space="preserve"> </w:t>
      </w:r>
      <w:r>
        <w:t>audit.</w:t>
      </w:r>
    </w:p>
    <w:p w14:paraId="6EA30981" w14:textId="77777777" w:rsidR="00BE13A8" w:rsidRDefault="00BE13A8">
      <w:pPr>
        <w:jc w:val="both"/>
      </w:pPr>
    </w:p>
    <w:p w14:paraId="7FB08EBF" w14:textId="0B96F0CB" w:rsidR="00BE13A8" w:rsidRDefault="00D70530" w:rsidP="00DE30D3">
      <w:pPr>
        <w:pStyle w:val="Heading3"/>
      </w:pPr>
      <w:r>
        <w:t>Responsibilities</w:t>
      </w:r>
      <w:r w:rsidR="00BF059B">
        <w:t xml:space="preserve"> </w:t>
      </w:r>
      <w:r>
        <w:t>of</w:t>
      </w:r>
      <w:r w:rsidR="00BF059B">
        <w:t xml:space="preserve"> </w:t>
      </w:r>
      <w:r>
        <w:t>Trustees</w:t>
      </w:r>
    </w:p>
    <w:p w14:paraId="33614360" w14:textId="77777777" w:rsidR="00BE13A8" w:rsidRDefault="00BE13A8">
      <w:pPr>
        <w:jc w:val="both"/>
      </w:pPr>
    </w:p>
    <w:p w14:paraId="35629BCF" w14:textId="630B585B" w:rsidR="00BE13A8" w:rsidRDefault="00D70530" w:rsidP="00DE30D3">
      <w:r>
        <w:t>As</w:t>
      </w:r>
      <w:r w:rsidR="00BF059B">
        <w:t xml:space="preserve"> </w:t>
      </w:r>
      <w:r>
        <w:t>explained</w:t>
      </w:r>
      <w:r w:rsidR="00BF059B">
        <w:t xml:space="preserve"> </w:t>
      </w:r>
      <w:r>
        <w:t>more</w:t>
      </w:r>
      <w:r w:rsidR="00BF059B">
        <w:t xml:space="preserve"> </w:t>
      </w:r>
      <w:r>
        <w:t>fully</w:t>
      </w:r>
      <w:r w:rsidR="00BF059B">
        <w:t xml:space="preserve"> </w:t>
      </w:r>
      <w:r>
        <w:t>in</w:t>
      </w:r>
      <w:r w:rsidR="00BF059B">
        <w:t xml:space="preserve"> </w:t>
      </w:r>
      <w:r>
        <w:t>the</w:t>
      </w:r>
      <w:r w:rsidR="00BF059B">
        <w:t xml:space="preserve"> </w:t>
      </w:r>
      <w:r>
        <w:t>Trustees’</w:t>
      </w:r>
      <w:r w:rsidR="00BF059B">
        <w:t xml:space="preserve"> </w:t>
      </w:r>
      <w:r>
        <w:t>responsibilities</w:t>
      </w:r>
      <w:r w:rsidR="00BF059B">
        <w:t xml:space="preserve"> </w:t>
      </w:r>
      <w:r>
        <w:t>statement</w:t>
      </w:r>
      <w:r w:rsidR="00BF059B">
        <w:t xml:space="preserve"> </w:t>
      </w:r>
      <w:r>
        <w:t>set</w:t>
      </w:r>
      <w:r w:rsidR="00BF059B">
        <w:t xml:space="preserve"> </w:t>
      </w:r>
      <w:r>
        <w:t>out</w:t>
      </w:r>
      <w:r w:rsidR="00BF059B">
        <w:t xml:space="preserve"> </w:t>
      </w:r>
      <w:r>
        <w:t>on</w:t>
      </w:r>
      <w:r w:rsidR="00BF059B">
        <w:t xml:space="preserve"> </w:t>
      </w:r>
      <w:r>
        <w:t>pages</w:t>
      </w:r>
      <w:r w:rsidR="00BF059B">
        <w:t xml:space="preserve"> </w:t>
      </w:r>
      <w:r>
        <w:t>30</w:t>
      </w:r>
      <w:r w:rsidR="00BF059B">
        <w:t xml:space="preserve"> </w:t>
      </w:r>
      <w:r>
        <w:t>and</w:t>
      </w:r>
      <w:r w:rsidR="00BF059B">
        <w:t xml:space="preserve"> </w:t>
      </w:r>
      <w:r>
        <w:t>31,</w:t>
      </w:r>
      <w:r w:rsidR="00BF059B">
        <w:t xml:space="preserve"> </w:t>
      </w:r>
      <w:r>
        <w:t>the</w:t>
      </w:r>
      <w:r w:rsidR="00BF059B">
        <w:t xml:space="preserve"> </w:t>
      </w:r>
      <w:r>
        <w:t>Trustees</w:t>
      </w:r>
      <w:r w:rsidR="00BF059B">
        <w:t xml:space="preserve"> </w:t>
      </w:r>
      <w:r>
        <w:t>(who</w:t>
      </w:r>
      <w:r w:rsidR="00BF059B">
        <w:t xml:space="preserve"> </w:t>
      </w:r>
      <w:r>
        <w:t>are</w:t>
      </w:r>
      <w:r w:rsidR="00BF059B">
        <w:t xml:space="preserve"> </w:t>
      </w:r>
      <w:r>
        <w:t>also</w:t>
      </w:r>
      <w:r w:rsidR="00BF059B">
        <w:t xml:space="preserve"> </w:t>
      </w:r>
      <w:r>
        <w:t>the</w:t>
      </w:r>
      <w:r w:rsidR="00BF059B">
        <w:t xml:space="preserve"> </w:t>
      </w:r>
      <w:r>
        <w:t>directors</w:t>
      </w:r>
      <w:r w:rsidR="00BF059B">
        <w:t xml:space="preserve"> </w:t>
      </w:r>
      <w:r>
        <w:t>of</w:t>
      </w:r>
      <w:r w:rsidR="00BF059B">
        <w:t xml:space="preserve"> </w:t>
      </w:r>
      <w:r>
        <w:t>the</w:t>
      </w:r>
      <w:r w:rsidR="00BF059B">
        <w:t xml:space="preserve"> </w:t>
      </w:r>
      <w:r>
        <w:t>charitable</w:t>
      </w:r>
      <w:r w:rsidR="00BF059B">
        <w:t xml:space="preserve"> </w:t>
      </w:r>
      <w:r>
        <w:t>company</w:t>
      </w:r>
      <w:r w:rsidR="00BF059B">
        <w:t xml:space="preserve"> </w:t>
      </w:r>
      <w:r>
        <w:t>for</w:t>
      </w:r>
      <w:r w:rsidR="00BF059B">
        <w:t xml:space="preserve"> </w:t>
      </w:r>
      <w:r>
        <w:t>the</w:t>
      </w:r>
      <w:r w:rsidR="00BF059B">
        <w:t xml:space="preserve"> </w:t>
      </w:r>
      <w:r>
        <w:t>purposes</w:t>
      </w:r>
      <w:r w:rsidR="00BF059B">
        <w:t xml:space="preserve"> </w:t>
      </w:r>
      <w:r>
        <w:t>of</w:t>
      </w:r>
      <w:r w:rsidR="00BF059B">
        <w:t xml:space="preserve"> </w:t>
      </w:r>
      <w:r>
        <w:t>company</w:t>
      </w:r>
      <w:r w:rsidR="00BF059B">
        <w:t xml:space="preserve"> </w:t>
      </w:r>
      <w:r>
        <w:t>law)</w:t>
      </w:r>
      <w:r w:rsidR="00BF059B">
        <w:t xml:space="preserve"> </w:t>
      </w:r>
      <w:r>
        <w:t>are</w:t>
      </w:r>
      <w:r w:rsidR="00BF059B">
        <w:t xml:space="preserve"> </w:t>
      </w:r>
      <w:r>
        <w:t>responsible</w:t>
      </w:r>
      <w:r w:rsidR="00BF059B">
        <w:t xml:space="preserve"> </w:t>
      </w:r>
      <w:r>
        <w:t>for</w:t>
      </w:r>
      <w:r w:rsidR="00BF059B">
        <w:t xml:space="preserve"> </w:t>
      </w:r>
      <w:r>
        <w:t>the</w:t>
      </w:r>
      <w:r w:rsidR="00BF059B">
        <w:t xml:space="preserve"> </w:t>
      </w:r>
      <w:r>
        <w:t>preparation</w:t>
      </w:r>
      <w:r w:rsidR="00BF059B">
        <w:t xml:space="preserve"> </w:t>
      </w:r>
      <w:r>
        <w:t>of</w:t>
      </w:r>
      <w:r w:rsidR="00BF059B">
        <w:t xml:space="preserve"> </w:t>
      </w:r>
      <w:r>
        <w:t>the</w:t>
      </w:r>
      <w:r w:rsidR="00BF059B">
        <w:t xml:space="preserve"> </w:t>
      </w:r>
      <w:r>
        <w:t>financial</w:t>
      </w:r>
      <w:r w:rsidR="00BF059B">
        <w:t xml:space="preserve"> </w:t>
      </w:r>
      <w:r>
        <w:t>statements</w:t>
      </w:r>
      <w:r w:rsidR="00BF059B">
        <w:t xml:space="preserve"> </w:t>
      </w:r>
      <w:r>
        <w:t>and</w:t>
      </w:r>
      <w:r w:rsidR="00BF059B">
        <w:t xml:space="preserve"> </w:t>
      </w:r>
      <w:r>
        <w:t>for</w:t>
      </w:r>
      <w:r w:rsidR="00BF059B">
        <w:t xml:space="preserve"> </w:t>
      </w:r>
      <w:r>
        <w:t>being</w:t>
      </w:r>
      <w:r w:rsidR="00BF059B">
        <w:t xml:space="preserve"> </w:t>
      </w:r>
      <w:r>
        <w:t>satisfied</w:t>
      </w:r>
      <w:r w:rsidR="00BF059B">
        <w:t xml:space="preserve"> </w:t>
      </w:r>
      <w:r>
        <w:t>that</w:t>
      </w:r>
      <w:r w:rsidR="00BF059B">
        <w:t xml:space="preserve"> </w:t>
      </w:r>
      <w:r>
        <w:t>they</w:t>
      </w:r>
      <w:r w:rsidR="00BF059B">
        <w:t xml:space="preserve"> </w:t>
      </w:r>
      <w:r>
        <w:t>give</w:t>
      </w:r>
      <w:r w:rsidR="00BF059B">
        <w:t xml:space="preserve"> </w:t>
      </w:r>
      <w:r>
        <w:t>a</w:t>
      </w:r>
      <w:r w:rsidR="00BF059B">
        <w:t xml:space="preserve"> </w:t>
      </w:r>
      <w:r>
        <w:t>true</w:t>
      </w:r>
      <w:r w:rsidR="00BF059B">
        <w:t xml:space="preserve"> </w:t>
      </w:r>
      <w:r>
        <w:t>and</w:t>
      </w:r>
      <w:r w:rsidR="00BF059B">
        <w:t xml:space="preserve"> </w:t>
      </w:r>
      <w:r>
        <w:t>fair</w:t>
      </w:r>
      <w:r w:rsidR="00BF059B">
        <w:t xml:space="preserve"> </w:t>
      </w:r>
      <w:r>
        <w:t>view,</w:t>
      </w:r>
      <w:r w:rsidR="00BF059B">
        <w:t xml:space="preserve"> </w:t>
      </w:r>
      <w:r>
        <w:t>and</w:t>
      </w:r>
      <w:r w:rsidR="00BF059B">
        <w:t xml:space="preserve"> </w:t>
      </w:r>
      <w:r>
        <w:t>for</w:t>
      </w:r>
      <w:r w:rsidR="00BF059B">
        <w:t xml:space="preserve"> </w:t>
      </w:r>
      <w:r>
        <w:t>such</w:t>
      </w:r>
      <w:r w:rsidR="00BF059B">
        <w:t xml:space="preserve"> </w:t>
      </w:r>
      <w:r>
        <w:t>internal</w:t>
      </w:r>
      <w:r w:rsidR="00BF059B">
        <w:t xml:space="preserve"> </w:t>
      </w:r>
      <w:r>
        <w:t>control</w:t>
      </w:r>
      <w:r w:rsidR="00BF059B">
        <w:t xml:space="preserve"> </w:t>
      </w:r>
      <w:r>
        <w:t>as</w:t>
      </w:r>
      <w:r w:rsidR="00BF059B">
        <w:t xml:space="preserve"> </w:t>
      </w:r>
      <w:r>
        <w:t>the</w:t>
      </w:r>
      <w:r w:rsidR="00BF059B">
        <w:t xml:space="preserve"> </w:t>
      </w:r>
      <w:r>
        <w:t>Trustees</w:t>
      </w:r>
      <w:r w:rsidR="00BF059B">
        <w:t xml:space="preserve"> </w:t>
      </w:r>
      <w:r>
        <w:t>determine</w:t>
      </w:r>
      <w:r w:rsidR="00BF059B">
        <w:t xml:space="preserve"> </w:t>
      </w:r>
      <w:r>
        <w:t>is</w:t>
      </w:r>
      <w:r w:rsidR="00BF059B">
        <w:t xml:space="preserve"> </w:t>
      </w:r>
      <w:r>
        <w:t>necessary</w:t>
      </w:r>
      <w:r w:rsidR="00BF059B">
        <w:t xml:space="preserve"> </w:t>
      </w:r>
      <w:r>
        <w:t>to</w:t>
      </w:r>
      <w:r w:rsidR="00BF059B">
        <w:t xml:space="preserve"> </w:t>
      </w:r>
      <w:r>
        <w:t>enable</w:t>
      </w:r>
      <w:r w:rsidR="00BF059B">
        <w:t xml:space="preserve"> </w:t>
      </w:r>
      <w:r>
        <w:t>the</w:t>
      </w:r>
      <w:r w:rsidR="00BF059B">
        <w:t xml:space="preserve"> </w:t>
      </w:r>
      <w:r>
        <w:t>preparation</w:t>
      </w:r>
      <w:r w:rsidR="00BF059B">
        <w:t xml:space="preserve"> </w:t>
      </w:r>
      <w:r>
        <w:t>of</w:t>
      </w:r>
      <w:r w:rsidR="00BF059B">
        <w:t xml:space="preserve"> </w:t>
      </w:r>
      <w:r>
        <w:t>financial</w:t>
      </w:r>
      <w:r w:rsidR="00BF059B">
        <w:t xml:space="preserve"> </w:t>
      </w:r>
      <w:r>
        <w:t>statements</w:t>
      </w:r>
      <w:r w:rsidR="00BF059B">
        <w:t xml:space="preserve"> </w:t>
      </w:r>
      <w:r>
        <w:t>that</w:t>
      </w:r>
      <w:r w:rsidR="00BF059B">
        <w:t xml:space="preserve"> </w:t>
      </w:r>
      <w:r>
        <w:t>are</w:t>
      </w:r>
      <w:r w:rsidR="00BF059B">
        <w:t xml:space="preserve"> </w:t>
      </w:r>
      <w:r>
        <w:t>free</w:t>
      </w:r>
      <w:r w:rsidR="00BF059B">
        <w:t xml:space="preserve"> </w:t>
      </w:r>
      <w:r>
        <w:t>from</w:t>
      </w:r>
      <w:r w:rsidR="00BF059B">
        <w:t xml:space="preserve"> </w:t>
      </w:r>
      <w:r>
        <w:t>material</w:t>
      </w:r>
      <w:r w:rsidR="00BF059B">
        <w:t xml:space="preserve"> </w:t>
      </w:r>
      <w:r>
        <w:t>misstatement,</w:t>
      </w:r>
      <w:r w:rsidR="00BF059B">
        <w:t xml:space="preserve"> </w:t>
      </w:r>
      <w:r>
        <w:t>whether</w:t>
      </w:r>
      <w:r w:rsidR="00BF059B">
        <w:t xml:space="preserve"> </w:t>
      </w:r>
      <w:r>
        <w:t>due</w:t>
      </w:r>
      <w:r w:rsidR="00BF059B">
        <w:t xml:space="preserve"> </w:t>
      </w:r>
      <w:r>
        <w:t>to</w:t>
      </w:r>
      <w:r w:rsidR="00BF059B">
        <w:t xml:space="preserve"> </w:t>
      </w:r>
      <w:r>
        <w:t>fraud</w:t>
      </w:r>
      <w:r w:rsidR="00BF059B">
        <w:t xml:space="preserve"> </w:t>
      </w:r>
      <w:r>
        <w:t>or</w:t>
      </w:r>
      <w:r w:rsidR="00BF059B">
        <w:t xml:space="preserve"> </w:t>
      </w:r>
      <w:r>
        <w:t>error.</w:t>
      </w:r>
    </w:p>
    <w:p w14:paraId="23001730" w14:textId="77777777" w:rsidR="00BE13A8" w:rsidRDefault="00BE13A8" w:rsidP="00DE30D3"/>
    <w:p w14:paraId="55864EC0" w14:textId="7ED78E76" w:rsidR="00BE13A8" w:rsidRDefault="00D70530" w:rsidP="00DE30D3">
      <w:r>
        <w:t>In</w:t>
      </w:r>
      <w:r w:rsidR="00BF059B">
        <w:t xml:space="preserve"> </w:t>
      </w:r>
      <w:r>
        <w:t>preparing</w:t>
      </w:r>
      <w:r w:rsidR="00BF059B">
        <w:t xml:space="preserve"> </w:t>
      </w:r>
      <w:r>
        <w:t>the</w:t>
      </w:r>
      <w:r w:rsidR="00BF059B">
        <w:t xml:space="preserve"> </w:t>
      </w:r>
      <w:r>
        <w:t>financial</w:t>
      </w:r>
      <w:r w:rsidR="00BF059B">
        <w:t xml:space="preserve"> </w:t>
      </w:r>
      <w:r>
        <w:t>statements,</w:t>
      </w:r>
      <w:r w:rsidR="00BF059B">
        <w:t xml:space="preserve"> </w:t>
      </w:r>
      <w:r>
        <w:t>the</w:t>
      </w:r>
      <w:r w:rsidR="00BF059B">
        <w:t xml:space="preserve"> </w:t>
      </w:r>
      <w:r>
        <w:t>Trustees</w:t>
      </w:r>
      <w:r w:rsidR="00BF059B">
        <w:t xml:space="preserve"> </w:t>
      </w:r>
      <w:r>
        <w:t>are</w:t>
      </w:r>
      <w:r w:rsidR="00BF059B">
        <w:t xml:space="preserve"> </w:t>
      </w:r>
      <w:r>
        <w:t>responsible</w:t>
      </w:r>
      <w:r w:rsidR="00BF059B">
        <w:t xml:space="preserve"> </w:t>
      </w:r>
      <w:r>
        <w:t>for</w:t>
      </w:r>
      <w:r w:rsidR="00BF059B">
        <w:t xml:space="preserve"> </w:t>
      </w:r>
      <w:r>
        <w:t>assessing</w:t>
      </w:r>
      <w:r w:rsidR="00BF059B">
        <w:t xml:space="preserve"> </w:t>
      </w:r>
      <w:r>
        <w:t>the</w:t>
      </w:r>
      <w:r w:rsidR="00BF059B">
        <w:t xml:space="preserve"> </w:t>
      </w:r>
      <w:r>
        <w:t>group</w:t>
      </w:r>
      <w:r w:rsidR="00BF059B">
        <w:t xml:space="preserve"> </w:t>
      </w:r>
      <w:r>
        <w:t>and</w:t>
      </w:r>
      <w:r w:rsidR="00BF059B">
        <w:t xml:space="preserve"> </w:t>
      </w:r>
      <w:r>
        <w:t>parent</w:t>
      </w:r>
      <w:r w:rsidR="00BF059B">
        <w:t xml:space="preserve"> </w:t>
      </w:r>
      <w:r>
        <w:t>charitable</w:t>
      </w:r>
      <w:r w:rsidR="00BF059B">
        <w:t xml:space="preserve"> </w:t>
      </w:r>
      <w:r>
        <w:t>company’s</w:t>
      </w:r>
      <w:r w:rsidR="00BF059B">
        <w:t xml:space="preserve"> </w:t>
      </w:r>
      <w:r>
        <w:t>ability</w:t>
      </w:r>
      <w:r w:rsidR="00BF059B">
        <w:t xml:space="preserve"> </w:t>
      </w:r>
      <w:r>
        <w:t>to</w:t>
      </w:r>
      <w:r w:rsidR="00BF059B">
        <w:t xml:space="preserve"> </w:t>
      </w:r>
      <w:r>
        <w:t>continue</w:t>
      </w:r>
      <w:r w:rsidR="00BF059B">
        <w:t xml:space="preserve"> </w:t>
      </w:r>
      <w:r>
        <w:t>as</w:t>
      </w:r>
      <w:r w:rsidR="00BF059B">
        <w:t xml:space="preserve"> </w:t>
      </w:r>
      <w:r>
        <w:t>a</w:t>
      </w:r>
      <w:r w:rsidR="00BF059B">
        <w:t xml:space="preserve"> </w:t>
      </w:r>
      <w:r>
        <w:t>going</w:t>
      </w:r>
      <w:r w:rsidR="00BF059B">
        <w:t xml:space="preserve"> </w:t>
      </w:r>
      <w:r>
        <w:t>concern,</w:t>
      </w:r>
      <w:r w:rsidR="00BF059B">
        <w:t xml:space="preserve"> </w:t>
      </w:r>
      <w:r>
        <w:t>disclosing,</w:t>
      </w:r>
      <w:r w:rsidR="00BF059B">
        <w:t xml:space="preserve"> </w:t>
      </w:r>
      <w:r>
        <w:t>as</w:t>
      </w:r>
      <w:r w:rsidR="00BF059B">
        <w:t xml:space="preserve"> </w:t>
      </w:r>
      <w:r>
        <w:t>applicable,</w:t>
      </w:r>
      <w:r w:rsidR="00BF059B">
        <w:t xml:space="preserve"> </w:t>
      </w:r>
      <w:r>
        <w:t>matters</w:t>
      </w:r>
      <w:r w:rsidR="00BF059B">
        <w:t xml:space="preserve"> </w:t>
      </w:r>
      <w:r>
        <w:t>related</w:t>
      </w:r>
      <w:r w:rsidR="00BF059B">
        <w:t xml:space="preserve"> </w:t>
      </w:r>
      <w:r>
        <w:t>to</w:t>
      </w:r>
      <w:r w:rsidR="00BF059B">
        <w:t xml:space="preserve"> </w:t>
      </w:r>
      <w:r>
        <w:t>going</w:t>
      </w:r>
      <w:r w:rsidR="00BF059B">
        <w:t xml:space="preserve"> </w:t>
      </w:r>
      <w:r>
        <w:t>concern</w:t>
      </w:r>
      <w:r w:rsidR="00BF059B">
        <w:t xml:space="preserve"> </w:t>
      </w:r>
      <w:r>
        <w:t>and</w:t>
      </w:r>
      <w:r w:rsidR="00BF059B">
        <w:t xml:space="preserve"> </w:t>
      </w:r>
      <w:r>
        <w:t>using</w:t>
      </w:r>
      <w:r w:rsidR="00BF059B">
        <w:t xml:space="preserve"> </w:t>
      </w:r>
      <w:r>
        <w:t>the</w:t>
      </w:r>
      <w:r w:rsidR="00BF059B">
        <w:t xml:space="preserve"> </w:t>
      </w:r>
      <w:r>
        <w:t>going</w:t>
      </w:r>
      <w:r w:rsidR="00BF059B">
        <w:t xml:space="preserve"> </w:t>
      </w:r>
      <w:r>
        <w:t>concern</w:t>
      </w:r>
      <w:r w:rsidR="00BF059B">
        <w:t xml:space="preserve"> </w:t>
      </w:r>
      <w:r>
        <w:t>basis</w:t>
      </w:r>
      <w:r w:rsidR="00BF059B">
        <w:t xml:space="preserve"> </w:t>
      </w:r>
      <w:r>
        <w:t>of</w:t>
      </w:r>
      <w:r w:rsidR="00BF059B">
        <w:t xml:space="preserve"> </w:t>
      </w:r>
      <w:r>
        <w:t>accounting</w:t>
      </w:r>
      <w:r w:rsidR="00BF059B">
        <w:t xml:space="preserve"> </w:t>
      </w:r>
      <w:r>
        <w:t>unless</w:t>
      </w:r>
      <w:r w:rsidR="00BF059B">
        <w:t xml:space="preserve"> </w:t>
      </w:r>
      <w:r>
        <w:t>the</w:t>
      </w:r>
      <w:r w:rsidR="00BF059B">
        <w:t xml:space="preserve"> </w:t>
      </w:r>
      <w:r>
        <w:t>Trustees</w:t>
      </w:r>
      <w:r w:rsidR="00BF059B">
        <w:t xml:space="preserve"> </w:t>
      </w:r>
      <w:r>
        <w:t>either</w:t>
      </w:r>
      <w:r w:rsidR="00BF059B">
        <w:t xml:space="preserve"> </w:t>
      </w:r>
      <w:r>
        <w:t>intend</w:t>
      </w:r>
      <w:r w:rsidR="00BF059B">
        <w:t xml:space="preserve"> </w:t>
      </w:r>
      <w:r>
        <w:t>to</w:t>
      </w:r>
      <w:r w:rsidR="00BF059B">
        <w:t xml:space="preserve"> </w:t>
      </w:r>
      <w:r>
        <w:t>liquidate</w:t>
      </w:r>
      <w:r w:rsidR="00BF059B">
        <w:t xml:space="preserve"> </w:t>
      </w:r>
      <w:r>
        <w:t>the</w:t>
      </w:r>
      <w:r w:rsidR="00BF059B">
        <w:t xml:space="preserve"> </w:t>
      </w:r>
      <w:r>
        <w:t>group</w:t>
      </w:r>
      <w:r w:rsidR="00BF059B">
        <w:t xml:space="preserve"> </w:t>
      </w:r>
      <w:r>
        <w:t>or</w:t>
      </w:r>
      <w:r w:rsidR="00BF059B">
        <w:t xml:space="preserve"> </w:t>
      </w:r>
      <w:r>
        <w:t>parent</w:t>
      </w:r>
      <w:r w:rsidR="00BF059B">
        <w:t xml:space="preserve"> </w:t>
      </w:r>
      <w:r>
        <w:t>charitable</w:t>
      </w:r>
      <w:r w:rsidR="00BF059B">
        <w:t xml:space="preserve"> </w:t>
      </w:r>
      <w:r>
        <w:t>company</w:t>
      </w:r>
      <w:r w:rsidR="00BF059B">
        <w:t xml:space="preserve"> </w:t>
      </w:r>
      <w:r>
        <w:t>or</w:t>
      </w:r>
      <w:r w:rsidR="00BF059B">
        <w:t xml:space="preserve"> </w:t>
      </w:r>
      <w:r>
        <w:t>to</w:t>
      </w:r>
      <w:r w:rsidR="00BF059B">
        <w:t xml:space="preserve"> </w:t>
      </w:r>
      <w:r>
        <w:t>cease</w:t>
      </w:r>
      <w:r w:rsidR="00BF059B">
        <w:t xml:space="preserve"> </w:t>
      </w:r>
      <w:r>
        <w:t>operations,</w:t>
      </w:r>
      <w:r w:rsidR="00BF059B">
        <w:t xml:space="preserve"> </w:t>
      </w:r>
      <w:r>
        <w:t>or</w:t>
      </w:r>
      <w:r w:rsidR="00BF059B">
        <w:t xml:space="preserve"> </w:t>
      </w:r>
      <w:r>
        <w:t>have</w:t>
      </w:r>
      <w:r w:rsidR="00BF059B">
        <w:t xml:space="preserve"> </w:t>
      </w:r>
      <w:r>
        <w:t>no</w:t>
      </w:r>
      <w:r w:rsidR="00BF059B">
        <w:t xml:space="preserve"> </w:t>
      </w:r>
      <w:r>
        <w:t>realistic</w:t>
      </w:r>
      <w:r w:rsidR="00BF059B">
        <w:t xml:space="preserve"> </w:t>
      </w:r>
      <w:r>
        <w:t>alternative</w:t>
      </w:r>
      <w:r w:rsidR="00BF059B">
        <w:t xml:space="preserve"> </w:t>
      </w:r>
      <w:r>
        <w:t>but</w:t>
      </w:r>
      <w:r w:rsidR="00BF059B">
        <w:t xml:space="preserve"> </w:t>
      </w:r>
      <w:r>
        <w:t>to</w:t>
      </w:r>
      <w:r w:rsidR="00BF059B">
        <w:t xml:space="preserve"> </w:t>
      </w:r>
      <w:r>
        <w:t>do</w:t>
      </w:r>
      <w:r w:rsidR="00BF059B">
        <w:t xml:space="preserve"> </w:t>
      </w:r>
      <w:r>
        <w:t>so.</w:t>
      </w:r>
      <w:r w:rsidR="00BF059B">
        <w:t xml:space="preserve"> </w:t>
      </w:r>
    </w:p>
    <w:p w14:paraId="1C87EC13" w14:textId="77777777" w:rsidR="00BE13A8" w:rsidRDefault="00BE13A8" w:rsidP="00DE30D3"/>
    <w:p w14:paraId="257863F4" w14:textId="34DA4215" w:rsidR="00BE13A8" w:rsidRDefault="00D70530" w:rsidP="00DE30D3">
      <w:pPr>
        <w:pStyle w:val="Heading3"/>
      </w:pPr>
      <w:r>
        <w:t>Auditor’s</w:t>
      </w:r>
      <w:r w:rsidR="00BF059B">
        <w:t xml:space="preserve"> </w:t>
      </w:r>
      <w:r>
        <w:t>responsibilities</w:t>
      </w:r>
      <w:r w:rsidR="00BF059B">
        <w:t xml:space="preserve"> </w:t>
      </w:r>
      <w:r>
        <w:t>for</w:t>
      </w:r>
      <w:r w:rsidR="00BF059B">
        <w:t xml:space="preserve"> </w:t>
      </w:r>
      <w:r>
        <w:t>the</w:t>
      </w:r>
      <w:r w:rsidR="00BF059B">
        <w:t xml:space="preserve"> </w:t>
      </w:r>
      <w:r>
        <w:t>audit</w:t>
      </w:r>
      <w:r w:rsidR="00BF059B">
        <w:t xml:space="preserve"> </w:t>
      </w:r>
      <w:r>
        <w:t>of</w:t>
      </w:r>
      <w:r w:rsidR="00BF059B">
        <w:t xml:space="preserve"> </w:t>
      </w:r>
      <w:r>
        <w:t>the</w:t>
      </w:r>
      <w:r w:rsidR="00BF059B">
        <w:t xml:space="preserve"> </w:t>
      </w:r>
      <w:r>
        <w:t>financial</w:t>
      </w:r>
      <w:r w:rsidR="00BF059B">
        <w:t xml:space="preserve"> </w:t>
      </w:r>
      <w:r>
        <w:t>statements</w:t>
      </w:r>
    </w:p>
    <w:p w14:paraId="169F5352" w14:textId="77777777" w:rsidR="00BE13A8" w:rsidRDefault="00BE13A8" w:rsidP="00DE30D3"/>
    <w:p w14:paraId="794C35CB" w14:textId="2EBF6E84" w:rsidR="00BE13A8" w:rsidRDefault="00D70530" w:rsidP="00DE30D3">
      <w:r>
        <w:t>Our</w:t>
      </w:r>
      <w:r w:rsidR="00BF059B">
        <w:t xml:space="preserve"> </w:t>
      </w:r>
      <w:r>
        <w:t>objectives</w:t>
      </w:r>
      <w:r w:rsidR="00BF059B">
        <w:t xml:space="preserve"> </w:t>
      </w:r>
      <w:r>
        <w:t>are</w:t>
      </w:r>
      <w:r w:rsidR="00BF059B">
        <w:t xml:space="preserve"> </w:t>
      </w:r>
      <w:r>
        <w:t>to</w:t>
      </w:r>
      <w:r w:rsidR="00BF059B">
        <w:t xml:space="preserve"> </w:t>
      </w:r>
      <w:r>
        <w:t>obtain</w:t>
      </w:r>
      <w:r w:rsidR="00BF059B">
        <w:t xml:space="preserve"> </w:t>
      </w:r>
      <w:r>
        <w:t>reasonable</w:t>
      </w:r>
      <w:r w:rsidR="00BF059B">
        <w:t xml:space="preserve"> </w:t>
      </w:r>
      <w:r>
        <w:t>assurance</w:t>
      </w:r>
      <w:r w:rsidR="00BF059B">
        <w:t xml:space="preserve"> </w:t>
      </w:r>
      <w:r>
        <w:t>about</w:t>
      </w:r>
      <w:r w:rsidR="00BF059B">
        <w:t xml:space="preserve"> </w:t>
      </w:r>
      <w:r>
        <w:t>whether</w:t>
      </w:r>
      <w:r w:rsidR="00BF059B">
        <w:t xml:space="preserve"> </w:t>
      </w:r>
      <w:r>
        <w:t>the</w:t>
      </w:r>
      <w:r w:rsidR="00BF059B">
        <w:t xml:space="preserve"> </w:t>
      </w:r>
      <w:r>
        <w:t>financial</w:t>
      </w:r>
      <w:r w:rsidR="00BF059B">
        <w:t xml:space="preserve"> </w:t>
      </w:r>
      <w:r>
        <w:t>statements</w:t>
      </w:r>
      <w:r w:rsidR="00BF059B">
        <w:t xml:space="preserve"> </w:t>
      </w:r>
      <w:r>
        <w:t>as</w:t>
      </w:r>
      <w:r w:rsidR="00BF059B">
        <w:t xml:space="preserve"> </w:t>
      </w:r>
      <w:r>
        <w:t>a</w:t>
      </w:r>
      <w:r w:rsidR="00BF059B">
        <w:t xml:space="preserve"> </w:t>
      </w:r>
      <w:r>
        <w:t>whole</w:t>
      </w:r>
      <w:r w:rsidR="00BF059B">
        <w:t xml:space="preserve"> </w:t>
      </w:r>
      <w:r>
        <w:t>are</w:t>
      </w:r>
      <w:r w:rsidR="00BF059B">
        <w:t xml:space="preserve"> </w:t>
      </w:r>
      <w:r>
        <w:t>free</w:t>
      </w:r>
      <w:r w:rsidR="00BF059B">
        <w:t xml:space="preserve"> </w:t>
      </w:r>
      <w:r>
        <w:t>from</w:t>
      </w:r>
      <w:r w:rsidR="00BF059B">
        <w:t xml:space="preserve"> </w:t>
      </w:r>
      <w:r>
        <w:t>material</w:t>
      </w:r>
      <w:r w:rsidR="00BF059B">
        <w:t xml:space="preserve"> </w:t>
      </w:r>
      <w:r>
        <w:t>misstatement,</w:t>
      </w:r>
      <w:r w:rsidR="00BF059B">
        <w:t xml:space="preserve"> </w:t>
      </w:r>
      <w:r>
        <w:t>whether</w:t>
      </w:r>
      <w:r w:rsidR="00BF059B">
        <w:t xml:space="preserve"> </w:t>
      </w:r>
      <w:r>
        <w:t>due</w:t>
      </w:r>
      <w:r w:rsidR="00BF059B">
        <w:t xml:space="preserve"> </w:t>
      </w:r>
      <w:r>
        <w:t>to</w:t>
      </w:r>
      <w:r w:rsidR="00BF059B">
        <w:t xml:space="preserve"> </w:t>
      </w:r>
      <w:r>
        <w:t>fraud</w:t>
      </w:r>
      <w:r w:rsidR="00BF059B">
        <w:t xml:space="preserve"> </w:t>
      </w:r>
      <w:r>
        <w:t>or</w:t>
      </w:r>
      <w:r w:rsidR="00BF059B">
        <w:t xml:space="preserve"> </w:t>
      </w:r>
      <w:r>
        <w:t>error,</w:t>
      </w:r>
      <w:r w:rsidR="00BF059B">
        <w:t xml:space="preserve"> </w:t>
      </w:r>
      <w:r>
        <w:t>and</w:t>
      </w:r>
      <w:r w:rsidR="00BF059B">
        <w:t xml:space="preserve"> </w:t>
      </w:r>
      <w:r>
        <w:t>to</w:t>
      </w:r>
      <w:r w:rsidR="00BF059B">
        <w:t xml:space="preserve"> </w:t>
      </w:r>
      <w:r>
        <w:t>issue</w:t>
      </w:r>
      <w:r w:rsidR="00BF059B">
        <w:t xml:space="preserve"> </w:t>
      </w:r>
      <w:r>
        <w:t>an</w:t>
      </w:r>
      <w:r w:rsidR="00BF059B">
        <w:t xml:space="preserve"> </w:t>
      </w:r>
      <w:r>
        <w:t>auditor’s</w:t>
      </w:r>
      <w:r w:rsidR="00BF059B">
        <w:t xml:space="preserve"> </w:t>
      </w:r>
      <w:r>
        <w:t>report</w:t>
      </w:r>
      <w:r w:rsidR="00BF059B">
        <w:t xml:space="preserve"> </w:t>
      </w:r>
      <w:r>
        <w:t>that</w:t>
      </w:r>
      <w:r w:rsidR="00BF059B">
        <w:t xml:space="preserve"> </w:t>
      </w:r>
      <w:r>
        <w:t>includes</w:t>
      </w:r>
      <w:r w:rsidR="00BF059B">
        <w:t xml:space="preserve"> </w:t>
      </w:r>
      <w:r>
        <w:t>our</w:t>
      </w:r>
      <w:r w:rsidR="00BF059B">
        <w:t xml:space="preserve"> </w:t>
      </w:r>
      <w:r>
        <w:t>opinion.</w:t>
      </w:r>
      <w:r w:rsidR="00BF059B">
        <w:t xml:space="preserve"> </w:t>
      </w:r>
      <w:r>
        <w:t>Reasonable</w:t>
      </w:r>
      <w:r w:rsidR="00BF059B">
        <w:t xml:space="preserve"> </w:t>
      </w:r>
      <w:r>
        <w:t>assurance</w:t>
      </w:r>
      <w:r w:rsidR="00BF059B">
        <w:t xml:space="preserve"> </w:t>
      </w:r>
      <w:r>
        <w:t>is</w:t>
      </w:r>
      <w:r w:rsidR="00BF059B">
        <w:t xml:space="preserve"> </w:t>
      </w:r>
      <w:r>
        <w:t>a</w:t>
      </w:r>
      <w:r w:rsidR="00BF059B">
        <w:t xml:space="preserve"> </w:t>
      </w:r>
      <w:r>
        <w:t>high</w:t>
      </w:r>
      <w:r w:rsidR="00BF059B">
        <w:t xml:space="preserve"> </w:t>
      </w:r>
      <w:r>
        <w:t>level</w:t>
      </w:r>
      <w:r w:rsidR="00BF059B">
        <w:t xml:space="preserve"> </w:t>
      </w:r>
      <w:r>
        <w:t>of</w:t>
      </w:r>
      <w:r w:rsidR="00BF059B">
        <w:t xml:space="preserve"> </w:t>
      </w:r>
      <w:r>
        <w:t>assurance</w:t>
      </w:r>
      <w:r w:rsidR="00BF059B">
        <w:t xml:space="preserve"> </w:t>
      </w:r>
      <w:r>
        <w:t>but</w:t>
      </w:r>
      <w:r w:rsidR="00BF059B">
        <w:t xml:space="preserve"> </w:t>
      </w:r>
      <w:r>
        <w:t>is</w:t>
      </w:r>
      <w:r w:rsidR="00BF059B">
        <w:t xml:space="preserve"> </w:t>
      </w:r>
      <w:r>
        <w:t>not</w:t>
      </w:r>
      <w:r w:rsidR="00BF059B">
        <w:t xml:space="preserve"> </w:t>
      </w:r>
      <w:r>
        <w:t>a</w:t>
      </w:r>
      <w:r w:rsidR="00BF059B">
        <w:t xml:space="preserve"> </w:t>
      </w:r>
      <w:r>
        <w:t>guarantee</w:t>
      </w:r>
      <w:r w:rsidR="00BF059B">
        <w:t xml:space="preserve"> </w:t>
      </w:r>
      <w:r>
        <w:t>that</w:t>
      </w:r>
      <w:r w:rsidR="00BF059B">
        <w:t xml:space="preserve"> </w:t>
      </w:r>
      <w:r>
        <w:t>an</w:t>
      </w:r>
      <w:r w:rsidR="00BF059B">
        <w:t xml:space="preserve"> </w:t>
      </w:r>
      <w:r>
        <w:t>audit</w:t>
      </w:r>
      <w:r w:rsidR="00BF059B">
        <w:t xml:space="preserve"> </w:t>
      </w:r>
      <w:r>
        <w:t>conducted</w:t>
      </w:r>
      <w:r w:rsidR="00BF059B">
        <w:t xml:space="preserve"> </w:t>
      </w:r>
      <w:r>
        <w:t>in</w:t>
      </w:r>
      <w:r w:rsidR="00BF059B">
        <w:t xml:space="preserve"> </w:t>
      </w:r>
      <w:r>
        <w:t>accordance</w:t>
      </w:r>
      <w:r w:rsidR="00BF059B">
        <w:t xml:space="preserve"> </w:t>
      </w:r>
      <w:r>
        <w:t>with</w:t>
      </w:r>
      <w:r w:rsidR="00BF059B">
        <w:t xml:space="preserve"> </w:t>
      </w:r>
      <w:r>
        <w:t>ISAs</w:t>
      </w:r>
      <w:r w:rsidR="00BF059B">
        <w:t xml:space="preserve"> </w:t>
      </w:r>
      <w:r>
        <w:t>(UK)</w:t>
      </w:r>
      <w:r w:rsidR="00BF059B">
        <w:t xml:space="preserve"> </w:t>
      </w:r>
      <w:r>
        <w:t>will</w:t>
      </w:r>
      <w:r w:rsidR="00BF059B">
        <w:t xml:space="preserve"> </w:t>
      </w:r>
      <w:r>
        <w:t>always</w:t>
      </w:r>
      <w:r w:rsidR="00BF059B">
        <w:t xml:space="preserve"> </w:t>
      </w:r>
      <w:r>
        <w:t>detect</w:t>
      </w:r>
      <w:r w:rsidR="00BF059B">
        <w:t xml:space="preserve"> </w:t>
      </w:r>
      <w:r>
        <w:t>a</w:t>
      </w:r>
      <w:r w:rsidR="00BF059B">
        <w:t xml:space="preserve"> </w:t>
      </w:r>
      <w:r>
        <w:t>material</w:t>
      </w:r>
      <w:r w:rsidR="00BF059B">
        <w:t xml:space="preserve"> </w:t>
      </w:r>
      <w:r>
        <w:t>misstatement</w:t>
      </w:r>
      <w:r w:rsidR="00BF059B">
        <w:t xml:space="preserve"> </w:t>
      </w:r>
      <w:r>
        <w:t>when</w:t>
      </w:r>
      <w:r w:rsidR="00BF059B">
        <w:t xml:space="preserve"> </w:t>
      </w:r>
      <w:r>
        <w:t>it</w:t>
      </w:r>
      <w:r w:rsidR="00BF059B">
        <w:t xml:space="preserve"> </w:t>
      </w:r>
      <w:r>
        <w:t>exists.</w:t>
      </w:r>
      <w:r w:rsidR="00BF059B">
        <w:t xml:space="preserve"> </w:t>
      </w:r>
      <w:r>
        <w:t>Misstatements</w:t>
      </w:r>
      <w:r w:rsidR="00BF059B">
        <w:t xml:space="preserve"> </w:t>
      </w:r>
      <w:r>
        <w:t>can</w:t>
      </w:r>
      <w:r w:rsidR="00BF059B">
        <w:t xml:space="preserve"> </w:t>
      </w:r>
      <w:r>
        <w:t>arise</w:t>
      </w:r>
      <w:r w:rsidR="00BF059B">
        <w:t xml:space="preserve"> </w:t>
      </w:r>
      <w:r>
        <w:t>from</w:t>
      </w:r>
      <w:r w:rsidR="00BF059B">
        <w:t xml:space="preserve"> </w:t>
      </w:r>
      <w:r>
        <w:t>fraud</w:t>
      </w:r>
      <w:r w:rsidR="00BF059B">
        <w:t xml:space="preserve"> </w:t>
      </w:r>
      <w:r>
        <w:t>or</w:t>
      </w:r>
      <w:r w:rsidR="00BF059B">
        <w:t xml:space="preserve"> </w:t>
      </w:r>
      <w:r>
        <w:t>error</w:t>
      </w:r>
      <w:r w:rsidR="00BF059B">
        <w:t xml:space="preserve"> </w:t>
      </w:r>
      <w:r>
        <w:t>and</w:t>
      </w:r>
      <w:r w:rsidR="00BF059B">
        <w:t xml:space="preserve"> </w:t>
      </w:r>
      <w:r>
        <w:t>are</w:t>
      </w:r>
      <w:r w:rsidR="00BF059B">
        <w:t xml:space="preserve"> </w:t>
      </w:r>
      <w:r>
        <w:t>considered</w:t>
      </w:r>
      <w:r w:rsidR="00BF059B">
        <w:t xml:space="preserve"> </w:t>
      </w:r>
      <w:r>
        <w:t>material</w:t>
      </w:r>
      <w:r w:rsidR="00BF059B">
        <w:t xml:space="preserve"> </w:t>
      </w:r>
      <w:r>
        <w:t>if,</w:t>
      </w:r>
      <w:r w:rsidR="00BF059B">
        <w:t xml:space="preserve"> </w:t>
      </w:r>
      <w:r>
        <w:t>individually</w:t>
      </w:r>
      <w:r w:rsidR="00BF059B">
        <w:t xml:space="preserve"> </w:t>
      </w:r>
      <w:r>
        <w:t>or</w:t>
      </w:r>
      <w:r w:rsidR="00BF059B">
        <w:t xml:space="preserve"> </w:t>
      </w:r>
      <w:r>
        <w:t>in</w:t>
      </w:r>
      <w:r w:rsidR="00BF059B">
        <w:t xml:space="preserve"> </w:t>
      </w:r>
      <w:r>
        <w:t>aggregate,</w:t>
      </w:r>
      <w:r w:rsidR="00BF059B">
        <w:t xml:space="preserve"> </w:t>
      </w:r>
      <w:r>
        <w:t>they</w:t>
      </w:r>
      <w:r w:rsidR="00BF059B">
        <w:t xml:space="preserve"> </w:t>
      </w:r>
      <w:r>
        <w:t>could</w:t>
      </w:r>
      <w:r w:rsidR="00BF059B">
        <w:t xml:space="preserve"> </w:t>
      </w:r>
      <w:r>
        <w:t>reasonably</w:t>
      </w:r>
      <w:r w:rsidR="00BF059B">
        <w:t xml:space="preserve"> </w:t>
      </w:r>
      <w:r>
        <w:t>be</w:t>
      </w:r>
      <w:r w:rsidR="00BF059B">
        <w:t xml:space="preserve"> </w:t>
      </w:r>
      <w:r>
        <w:t>expected</w:t>
      </w:r>
      <w:r w:rsidR="00BF059B">
        <w:t xml:space="preserve"> </w:t>
      </w:r>
      <w:r>
        <w:t>to</w:t>
      </w:r>
      <w:r w:rsidR="00BF059B">
        <w:t xml:space="preserve"> </w:t>
      </w:r>
      <w:r>
        <w:t>influence</w:t>
      </w:r>
      <w:r w:rsidR="00BF059B">
        <w:t xml:space="preserve"> </w:t>
      </w:r>
      <w:r>
        <w:t>the</w:t>
      </w:r>
      <w:r w:rsidR="00BF059B">
        <w:t xml:space="preserve"> </w:t>
      </w:r>
      <w:r>
        <w:t>economic</w:t>
      </w:r>
      <w:r w:rsidR="00BF059B">
        <w:t xml:space="preserve"> </w:t>
      </w:r>
      <w:r>
        <w:t>decisions</w:t>
      </w:r>
      <w:r w:rsidR="00BF059B">
        <w:t xml:space="preserve"> </w:t>
      </w:r>
      <w:r>
        <w:t>of</w:t>
      </w:r>
      <w:r w:rsidR="00BF059B">
        <w:t xml:space="preserve"> </w:t>
      </w:r>
      <w:r>
        <w:t>users</w:t>
      </w:r>
      <w:r w:rsidR="00BF059B">
        <w:t xml:space="preserve"> </w:t>
      </w:r>
      <w:r>
        <w:t>taken</w:t>
      </w:r>
      <w:r w:rsidR="00BF059B">
        <w:t xml:space="preserve"> </w:t>
      </w:r>
      <w:r>
        <w:t>on</w:t>
      </w:r>
      <w:r w:rsidR="00BF059B">
        <w:t xml:space="preserve"> </w:t>
      </w:r>
      <w:r>
        <w:t>the</w:t>
      </w:r>
      <w:r w:rsidR="00BF059B">
        <w:t xml:space="preserve"> </w:t>
      </w:r>
      <w:r>
        <w:t>basis</w:t>
      </w:r>
      <w:r w:rsidR="00BF059B">
        <w:t xml:space="preserve"> </w:t>
      </w:r>
      <w:r>
        <w:t>of</w:t>
      </w:r>
      <w:r w:rsidR="00BF059B">
        <w:t xml:space="preserve"> </w:t>
      </w:r>
      <w:r>
        <w:t>these</w:t>
      </w:r>
      <w:r w:rsidR="00BF059B">
        <w:t xml:space="preserve"> </w:t>
      </w:r>
      <w:r>
        <w:t>financial</w:t>
      </w:r>
      <w:r w:rsidR="00BF059B">
        <w:t xml:space="preserve"> </w:t>
      </w:r>
      <w:r>
        <w:t>statements.</w:t>
      </w:r>
      <w:r w:rsidR="00BF059B">
        <w:t xml:space="preserve"> </w:t>
      </w:r>
    </w:p>
    <w:p w14:paraId="7BB8B81C" w14:textId="77777777" w:rsidR="00BE13A8" w:rsidRDefault="00BE13A8" w:rsidP="00DE30D3">
      <w:pPr>
        <w:rPr>
          <w:highlight w:val="yellow"/>
        </w:rPr>
      </w:pPr>
    </w:p>
    <w:p w14:paraId="787C04AD" w14:textId="2583B605" w:rsidR="00BE13A8" w:rsidRDefault="00D70530" w:rsidP="00DE30D3">
      <w:r>
        <w:t>As</w:t>
      </w:r>
      <w:r w:rsidR="00BF059B">
        <w:t xml:space="preserve"> </w:t>
      </w:r>
      <w:r>
        <w:t>part</w:t>
      </w:r>
      <w:r w:rsidR="00BF059B">
        <w:t xml:space="preserve"> </w:t>
      </w:r>
      <w:r>
        <w:t>of</w:t>
      </w:r>
      <w:r w:rsidR="00BF059B">
        <w:t xml:space="preserve"> </w:t>
      </w:r>
      <w:r>
        <w:t>an</w:t>
      </w:r>
      <w:r w:rsidR="00BF059B">
        <w:t xml:space="preserve"> </w:t>
      </w:r>
      <w:r>
        <w:t>audit</w:t>
      </w:r>
      <w:r w:rsidR="00BF059B">
        <w:t xml:space="preserve"> </w:t>
      </w:r>
      <w:r>
        <w:t>in</w:t>
      </w:r>
      <w:r w:rsidR="00BF059B">
        <w:t xml:space="preserve"> </w:t>
      </w:r>
      <w:r>
        <w:t>accordance</w:t>
      </w:r>
      <w:r w:rsidR="00BF059B">
        <w:t xml:space="preserve"> </w:t>
      </w:r>
      <w:r>
        <w:t>with</w:t>
      </w:r>
      <w:r w:rsidR="00BF059B">
        <w:t xml:space="preserve"> </w:t>
      </w:r>
      <w:r>
        <w:t>ISAs</w:t>
      </w:r>
      <w:r w:rsidR="00BF059B">
        <w:t xml:space="preserve"> </w:t>
      </w:r>
      <w:r>
        <w:t>(UK)</w:t>
      </w:r>
      <w:r w:rsidR="00BF059B">
        <w:t xml:space="preserve"> </w:t>
      </w:r>
      <w:r>
        <w:t>we</w:t>
      </w:r>
      <w:r w:rsidR="00BF059B">
        <w:t xml:space="preserve"> </w:t>
      </w:r>
      <w:r>
        <w:t>exercise</w:t>
      </w:r>
      <w:r w:rsidR="00BF059B">
        <w:t xml:space="preserve"> </w:t>
      </w:r>
      <w:r>
        <w:t>professional</w:t>
      </w:r>
      <w:r w:rsidR="00BF059B">
        <w:t xml:space="preserve"> </w:t>
      </w:r>
      <w:r>
        <w:t>judgement</w:t>
      </w:r>
      <w:r w:rsidR="00BF059B">
        <w:t xml:space="preserve"> </w:t>
      </w:r>
      <w:r>
        <w:t>and</w:t>
      </w:r>
      <w:r w:rsidR="00BF059B">
        <w:t xml:space="preserve"> </w:t>
      </w:r>
      <w:r>
        <w:t>maintain</w:t>
      </w:r>
      <w:r w:rsidR="00BF059B">
        <w:t xml:space="preserve"> </w:t>
      </w:r>
      <w:r>
        <w:t>professional</w:t>
      </w:r>
      <w:r w:rsidR="00BF059B">
        <w:t xml:space="preserve"> </w:t>
      </w:r>
      <w:r>
        <w:t>scepticism</w:t>
      </w:r>
      <w:r w:rsidR="00BF059B">
        <w:t xml:space="preserve"> </w:t>
      </w:r>
      <w:r>
        <w:t>throughout</w:t>
      </w:r>
      <w:r w:rsidR="00BF059B">
        <w:t xml:space="preserve"> </w:t>
      </w:r>
      <w:r>
        <w:t>the</w:t>
      </w:r>
      <w:r w:rsidR="00BF059B">
        <w:t xml:space="preserve"> </w:t>
      </w:r>
      <w:r>
        <w:t>audit.</w:t>
      </w:r>
      <w:r w:rsidR="00BF059B">
        <w:t xml:space="preserve"> </w:t>
      </w:r>
      <w:proofErr w:type="gramStart"/>
      <w:r>
        <w:t>We</w:t>
      </w:r>
      <w:proofErr w:type="gramEnd"/>
      <w:r w:rsidR="00BF059B">
        <w:t xml:space="preserve"> </w:t>
      </w:r>
      <w:r>
        <w:t>also:</w:t>
      </w:r>
    </w:p>
    <w:p w14:paraId="48CC6073" w14:textId="2EAEB7D7" w:rsidR="00BE13A8" w:rsidRDefault="00D70530" w:rsidP="00DE30D3">
      <w:pPr>
        <w:numPr>
          <w:ilvl w:val="0"/>
          <w:numId w:val="2"/>
        </w:numPr>
      </w:pPr>
      <w:r>
        <w:t>Identify</w:t>
      </w:r>
      <w:r w:rsidR="00BF059B">
        <w:t xml:space="preserve"> </w:t>
      </w:r>
      <w:r>
        <w:t>and</w:t>
      </w:r>
      <w:r w:rsidR="00BF059B">
        <w:t xml:space="preserve"> </w:t>
      </w:r>
      <w:r>
        <w:t>assess</w:t>
      </w:r>
      <w:r w:rsidR="00BF059B">
        <w:t xml:space="preserve"> </w:t>
      </w:r>
      <w:r>
        <w:t>the</w:t>
      </w:r>
      <w:r w:rsidR="00BF059B">
        <w:t xml:space="preserve"> </w:t>
      </w:r>
      <w:r>
        <w:t>risks</w:t>
      </w:r>
      <w:r w:rsidR="00BF059B">
        <w:t xml:space="preserve"> </w:t>
      </w:r>
      <w:r>
        <w:t>of</w:t>
      </w:r>
      <w:r w:rsidR="00BF059B">
        <w:t xml:space="preserve"> </w:t>
      </w:r>
      <w:r>
        <w:t>material</w:t>
      </w:r>
      <w:r w:rsidR="00BF059B">
        <w:t xml:space="preserve"> </w:t>
      </w:r>
      <w:r>
        <w:t>misstatement</w:t>
      </w:r>
      <w:r w:rsidR="00BF059B">
        <w:t xml:space="preserve"> </w:t>
      </w:r>
      <w:r>
        <w:t>of</w:t>
      </w:r>
      <w:r w:rsidR="00BF059B">
        <w:t xml:space="preserve"> </w:t>
      </w:r>
      <w:r>
        <w:t>the</w:t>
      </w:r>
      <w:r w:rsidR="00BF059B">
        <w:t xml:space="preserve"> </w:t>
      </w:r>
      <w:r>
        <w:t>financial</w:t>
      </w:r>
      <w:r w:rsidR="00BF059B">
        <w:t xml:space="preserve"> </w:t>
      </w:r>
      <w:r>
        <w:t>statements,</w:t>
      </w:r>
      <w:r w:rsidR="00BF059B">
        <w:t xml:space="preserve"> </w:t>
      </w:r>
      <w:r>
        <w:t>whether</w:t>
      </w:r>
      <w:r w:rsidR="00BF059B">
        <w:t xml:space="preserve"> </w:t>
      </w:r>
      <w:r>
        <w:t>due</w:t>
      </w:r>
      <w:r w:rsidR="00BF059B">
        <w:t xml:space="preserve"> </w:t>
      </w:r>
      <w:r>
        <w:t>to</w:t>
      </w:r>
      <w:r w:rsidR="00BF059B">
        <w:t xml:space="preserve"> </w:t>
      </w:r>
      <w:r>
        <w:t>fraud</w:t>
      </w:r>
      <w:r w:rsidR="00BF059B">
        <w:t xml:space="preserve"> </w:t>
      </w:r>
      <w:r>
        <w:t>or</w:t>
      </w:r>
      <w:r w:rsidR="00BF059B">
        <w:t xml:space="preserve"> </w:t>
      </w:r>
      <w:r>
        <w:t>error,</w:t>
      </w:r>
      <w:r w:rsidR="00BF059B">
        <w:t xml:space="preserve"> </w:t>
      </w:r>
      <w:r>
        <w:t>design</w:t>
      </w:r>
      <w:r w:rsidR="00BF059B">
        <w:t xml:space="preserve"> </w:t>
      </w:r>
      <w:r>
        <w:t>and</w:t>
      </w:r>
      <w:r w:rsidR="00BF059B">
        <w:t xml:space="preserve"> </w:t>
      </w:r>
      <w:r>
        <w:t>perform</w:t>
      </w:r>
      <w:r w:rsidR="00BF059B">
        <w:t xml:space="preserve"> </w:t>
      </w:r>
      <w:r>
        <w:t>audit</w:t>
      </w:r>
      <w:r w:rsidR="00BF059B">
        <w:t xml:space="preserve"> </w:t>
      </w:r>
      <w:r>
        <w:t>procedures</w:t>
      </w:r>
      <w:r w:rsidR="00BF059B">
        <w:t xml:space="preserve"> </w:t>
      </w:r>
      <w:r>
        <w:t>responsive</w:t>
      </w:r>
      <w:r w:rsidR="00BF059B">
        <w:t xml:space="preserve"> </w:t>
      </w:r>
      <w:r>
        <w:t>to</w:t>
      </w:r>
      <w:r w:rsidR="00BF059B">
        <w:t xml:space="preserve"> </w:t>
      </w:r>
      <w:r>
        <w:t>those</w:t>
      </w:r>
      <w:r w:rsidR="00BF059B">
        <w:t xml:space="preserve"> </w:t>
      </w:r>
      <w:r>
        <w:t>risks,</w:t>
      </w:r>
      <w:r w:rsidR="00BF059B">
        <w:t xml:space="preserve"> </w:t>
      </w:r>
      <w:r>
        <w:t>and</w:t>
      </w:r>
      <w:r w:rsidR="00BF059B">
        <w:t xml:space="preserve"> </w:t>
      </w:r>
      <w:r>
        <w:t>obtain</w:t>
      </w:r>
      <w:r w:rsidR="00BF059B">
        <w:t xml:space="preserve"> </w:t>
      </w:r>
      <w:r>
        <w:t>audit</w:t>
      </w:r>
      <w:r w:rsidR="00BF059B">
        <w:t xml:space="preserve"> </w:t>
      </w:r>
      <w:r>
        <w:t>evidence</w:t>
      </w:r>
      <w:r w:rsidR="00BF059B">
        <w:t xml:space="preserve"> </w:t>
      </w:r>
      <w:r>
        <w:t>that</w:t>
      </w:r>
      <w:r w:rsidR="00BF059B">
        <w:t xml:space="preserve"> </w:t>
      </w:r>
      <w:r>
        <w:t>is</w:t>
      </w:r>
      <w:r w:rsidR="00BF059B">
        <w:t xml:space="preserve"> </w:t>
      </w:r>
      <w:r>
        <w:t>sufficient</w:t>
      </w:r>
      <w:r w:rsidR="00BF059B">
        <w:t xml:space="preserve"> </w:t>
      </w:r>
      <w:r>
        <w:t>and</w:t>
      </w:r>
      <w:r w:rsidR="00BF059B">
        <w:t xml:space="preserve"> </w:t>
      </w:r>
      <w:r>
        <w:t>appropriate</w:t>
      </w:r>
      <w:r w:rsidR="00BF059B">
        <w:t xml:space="preserve"> </w:t>
      </w:r>
      <w:r>
        <w:t>to</w:t>
      </w:r>
      <w:r w:rsidR="00BF059B">
        <w:t xml:space="preserve"> </w:t>
      </w:r>
      <w:r>
        <w:t>provide</w:t>
      </w:r>
      <w:r w:rsidR="00BF059B">
        <w:t xml:space="preserve"> </w:t>
      </w:r>
      <w:r>
        <w:t>a</w:t>
      </w:r>
      <w:r w:rsidR="00BF059B">
        <w:t xml:space="preserve"> </w:t>
      </w:r>
      <w:r>
        <w:t>basis</w:t>
      </w:r>
      <w:r w:rsidR="00BF059B">
        <w:t xml:space="preserve"> </w:t>
      </w:r>
      <w:r>
        <w:t>for</w:t>
      </w:r>
      <w:r w:rsidR="00BF059B">
        <w:t xml:space="preserve"> </w:t>
      </w:r>
      <w:r>
        <w:t>our</w:t>
      </w:r>
      <w:r w:rsidR="00BF059B">
        <w:t xml:space="preserve"> </w:t>
      </w:r>
      <w:r>
        <w:t>opinion.</w:t>
      </w:r>
      <w:r w:rsidR="00BF059B">
        <w:t xml:space="preserve"> </w:t>
      </w:r>
      <w:r>
        <w:t>The</w:t>
      </w:r>
      <w:r w:rsidR="00BF059B">
        <w:t xml:space="preserve"> </w:t>
      </w:r>
      <w:r>
        <w:t>risk</w:t>
      </w:r>
      <w:r w:rsidR="00BF059B">
        <w:t xml:space="preserve"> </w:t>
      </w:r>
      <w:r>
        <w:t>of</w:t>
      </w:r>
      <w:r w:rsidR="00BF059B">
        <w:t xml:space="preserve"> </w:t>
      </w:r>
      <w:r>
        <w:t>not</w:t>
      </w:r>
      <w:r w:rsidR="00BF059B">
        <w:t xml:space="preserve"> </w:t>
      </w:r>
      <w:r>
        <w:t>detecting</w:t>
      </w:r>
      <w:r w:rsidR="00BF059B">
        <w:t xml:space="preserve"> </w:t>
      </w:r>
      <w:r>
        <w:t>a</w:t>
      </w:r>
      <w:r w:rsidR="00BF059B">
        <w:t xml:space="preserve"> </w:t>
      </w:r>
      <w:r>
        <w:t>material</w:t>
      </w:r>
      <w:r w:rsidR="00BF059B">
        <w:t xml:space="preserve"> </w:t>
      </w:r>
      <w:r>
        <w:t>misstatement</w:t>
      </w:r>
      <w:r w:rsidR="00BF059B">
        <w:t xml:space="preserve"> </w:t>
      </w:r>
      <w:r>
        <w:t>resulting</w:t>
      </w:r>
      <w:r w:rsidR="00BF059B">
        <w:t xml:space="preserve"> </w:t>
      </w:r>
      <w:r>
        <w:t>from</w:t>
      </w:r>
      <w:r w:rsidR="00BF059B">
        <w:t xml:space="preserve"> </w:t>
      </w:r>
      <w:r>
        <w:t>fraud</w:t>
      </w:r>
      <w:r w:rsidR="00BF059B">
        <w:t xml:space="preserve"> </w:t>
      </w:r>
      <w:r>
        <w:t>is</w:t>
      </w:r>
      <w:r w:rsidR="00BF059B">
        <w:t xml:space="preserve"> </w:t>
      </w:r>
      <w:r>
        <w:t>higher</w:t>
      </w:r>
      <w:r w:rsidR="00BF059B">
        <w:t xml:space="preserve"> </w:t>
      </w:r>
      <w:r>
        <w:t>than</w:t>
      </w:r>
      <w:r w:rsidR="00BF059B">
        <w:t xml:space="preserve"> </w:t>
      </w:r>
      <w:r>
        <w:t>for</w:t>
      </w:r>
      <w:r w:rsidR="00BF059B">
        <w:t xml:space="preserve"> </w:t>
      </w:r>
      <w:r>
        <w:t>one</w:t>
      </w:r>
      <w:r w:rsidR="00BF059B">
        <w:t xml:space="preserve"> </w:t>
      </w:r>
      <w:r>
        <w:t>resulting</w:t>
      </w:r>
      <w:r w:rsidR="00BF059B">
        <w:t xml:space="preserve"> </w:t>
      </w:r>
      <w:r>
        <w:t>from</w:t>
      </w:r>
      <w:r w:rsidR="00BF059B">
        <w:t xml:space="preserve"> </w:t>
      </w:r>
      <w:r>
        <w:t>error,</w:t>
      </w:r>
      <w:r w:rsidR="00BF059B">
        <w:t xml:space="preserve"> </w:t>
      </w:r>
      <w:r>
        <w:t>as</w:t>
      </w:r>
      <w:r w:rsidR="00BF059B">
        <w:t xml:space="preserve"> </w:t>
      </w:r>
      <w:r>
        <w:t>fraud</w:t>
      </w:r>
      <w:r w:rsidR="00BF059B">
        <w:t xml:space="preserve"> </w:t>
      </w:r>
      <w:r>
        <w:t>may</w:t>
      </w:r>
      <w:r w:rsidR="00BF059B">
        <w:t xml:space="preserve"> </w:t>
      </w:r>
      <w:r>
        <w:t>involve</w:t>
      </w:r>
      <w:r w:rsidR="00BF059B">
        <w:t xml:space="preserve"> </w:t>
      </w:r>
      <w:r>
        <w:t>collusion,</w:t>
      </w:r>
      <w:r w:rsidR="00BF059B">
        <w:t xml:space="preserve"> </w:t>
      </w:r>
      <w:r>
        <w:t>forgery,</w:t>
      </w:r>
      <w:r w:rsidR="00BF059B">
        <w:t xml:space="preserve"> </w:t>
      </w:r>
      <w:r>
        <w:t>intentional</w:t>
      </w:r>
      <w:r w:rsidR="00BF059B">
        <w:t xml:space="preserve"> </w:t>
      </w:r>
      <w:r>
        <w:t>omissions,</w:t>
      </w:r>
      <w:r w:rsidR="00BF059B">
        <w:t xml:space="preserve"> </w:t>
      </w:r>
      <w:r>
        <w:t>misrepresentations,</w:t>
      </w:r>
      <w:r w:rsidR="00BF059B">
        <w:t xml:space="preserve"> </w:t>
      </w:r>
      <w:r>
        <w:t>or</w:t>
      </w:r>
      <w:r w:rsidR="00BF059B">
        <w:t xml:space="preserve"> </w:t>
      </w:r>
      <w:r>
        <w:t>the</w:t>
      </w:r>
      <w:r w:rsidR="00BF059B">
        <w:t xml:space="preserve"> </w:t>
      </w:r>
      <w:r>
        <w:t>override</w:t>
      </w:r>
      <w:r w:rsidR="00BF059B">
        <w:t xml:space="preserve"> </w:t>
      </w:r>
      <w:r>
        <w:t>of</w:t>
      </w:r>
      <w:r w:rsidR="00BF059B">
        <w:t xml:space="preserve"> </w:t>
      </w:r>
      <w:r>
        <w:t>internal</w:t>
      </w:r>
      <w:r w:rsidR="00BF059B">
        <w:t xml:space="preserve"> </w:t>
      </w:r>
      <w:r>
        <w:t>control.</w:t>
      </w:r>
    </w:p>
    <w:p w14:paraId="639D0281" w14:textId="094A5412" w:rsidR="00BE13A8" w:rsidRDefault="00D70530" w:rsidP="00DE30D3">
      <w:pPr>
        <w:numPr>
          <w:ilvl w:val="0"/>
          <w:numId w:val="2"/>
        </w:numPr>
      </w:pPr>
      <w:r>
        <w:t>Obtain</w:t>
      </w:r>
      <w:r w:rsidR="00BF059B">
        <w:t xml:space="preserve"> </w:t>
      </w:r>
      <w:r>
        <w:t>an</w:t>
      </w:r>
      <w:r w:rsidR="00BF059B">
        <w:t xml:space="preserve"> </w:t>
      </w:r>
      <w:r>
        <w:t>understanding</w:t>
      </w:r>
      <w:r w:rsidR="00BF059B">
        <w:t xml:space="preserve"> </w:t>
      </w:r>
      <w:r>
        <w:t>of</w:t>
      </w:r>
      <w:r w:rsidR="00BF059B">
        <w:t xml:space="preserve"> </w:t>
      </w:r>
      <w:r>
        <w:t>internal</w:t>
      </w:r>
      <w:r w:rsidR="00BF059B">
        <w:t xml:space="preserve"> </w:t>
      </w:r>
      <w:r>
        <w:t>control</w:t>
      </w:r>
      <w:r w:rsidR="00BF059B">
        <w:t xml:space="preserve"> </w:t>
      </w:r>
      <w:r>
        <w:t>relevant</w:t>
      </w:r>
      <w:r w:rsidR="00BF059B">
        <w:t xml:space="preserve"> </w:t>
      </w:r>
      <w:r>
        <w:t>to</w:t>
      </w:r>
      <w:r w:rsidR="00BF059B">
        <w:t xml:space="preserve"> </w:t>
      </w:r>
      <w:r>
        <w:t>the</w:t>
      </w:r>
      <w:r w:rsidR="00BF059B">
        <w:t xml:space="preserve"> </w:t>
      </w:r>
      <w:r>
        <w:t>audit</w:t>
      </w:r>
      <w:r w:rsidR="00BF059B">
        <w:t xml:space="preserve"> </w:t>
      </w:r>
      <w:r>
        <w:t>in</w:t>
      </w:r>
      <w:r w:rsidR="00BF059B">
        <w:t xml:space="preserve"> </w:t>
      </w:r>
      <w:r>
        <w:t>order</w:t>
      </w:r>
      <w:r w:rsidR="00BF059B">
        <w:t xml:space="preserve"> </w:t>
      </w:r>
      <w:r>
        <w:t>to</w:t>
      </w:r>
      <w:r w:rsidR="00BF059B">
        <w:t xml:space="preserve"> </w:t>
      </w:r>
      <w:r>
        <w:t>design</w:t>
      </w:r>
      <w:r w:rsidR="00BF059B">
        <w:t xml:space="preserve"> </w:t>
      </w:r>
      <w:r>
        <w:t>audit</w:t>
      </w:r>
      <w:r w:rsidR="00BF059B">
        <w:t xml:space="preserve"> </w:t>
      </w:r>
      <w:r>
        <w:t>procedures</w:t>
      </w:r>
      <w:r w:rsidR="00BF059B">
        <w:t xml:space="preserve"> </w:t>
      </w:r>
      <w:r>
        <w:t>that</w:t>
      </w:r>
      <w:r w:rsidR="00BF059B">
        <w:t xml:space="preserve"> </w:t>
      </w:r>
      <w:r>
        <w:t>are</w:t>
      </w:r>
      <w:r w:rsidR="00BF059B">
        <w:t xml:space="preserve"> </w:t>
      </w:r>
      <w:r>
        <w:t>appropriate</w:t>
      </w:r>
      <w:r w:rsidR="00BF059B">
        <w:t xml:space="preserve"> </w:t>
      </w:r>
      <w:r>
        <w:t>in</w:t>
      </w:r>
      <w:r w:rsidR="00BF059B">
        <w:t xml:space="preserve"> </w:t>
      </w:r>
      <w:r>
        <w:t>the</w:t>
      </w:r>
      <w:r w:rsidR="00BF059B">
        <w:t xml:space="preserve"> </w:t>
      </w:r>
      <w:r>
        <w:t>circumstances,</w:t>
      </w:r>
      <w:r w:rsidR="00BF059B">
        <w:t xml:space="preserve"> </w:t>
      </w:r>
      <w:r>
        <w:t>but</w:t>
      </w:r>
      <w:r w:rsidR="00BF059B">
        <w:t xml:space="preserve"> </w:t>
      </w:r>
      <w:r>
        <w:t>not</w:t>
      </w:r>
      <w:r w:rsidR="00BF059B">
        <w:t xml:space="preserve"> </w:t>
      </w:r>
      <w:r>
        <w:t>for</w:t>
      </w:r>
      <w:r w:rsidR="00BF059B">
        <w:t xml:space="preserve"> </w:t>
      </w:r>
      <w:r>
        <w:t>the</w:t>
      </w:r>
      <w:r w:rsidR="00BF059B">
        <w:t xml:space="preserve"> </w:t>
      </w:r>
      <w:r>
        <w:t>purposes</w:t>
      </w:r>
      <w:r w:rsidR="00BF059B">
        <w:t xml:space="preserve"> </w:t>
      </w:r>
      <w:r>
        <w:lastRenderedPageBreak/>
        <w:t>of</w:t>
      </w:r>
      <w:r w:rsidR="00BF059B">
        <w:t xml:space="preserve"> </w:t>
      </w:r>
      <w:r>
        <w:t>expressing</w:t>
      </w:r>
      <w:r w:rsidR="00BF059B">
        <w:t xml:space="preserve"> </w:t>
      </w:r>
      <w:r>
        <w:t>an</w:t>
      </w:r>
      <w:r w:rsidR="00BF059B">
        <w:t xml:space="preserve"> </w:t>
      </w:r>
      <w:r>
        <w:t>opinion</w:t>
      </w:r>
      <w:r w:rsidR="00BF059B">
        <w:t xml:space="preserve"> </w:t>
      </w:r>
      <w:r>
        <w:t>on</w:t>
      </w:r>
      <w:r w:rsidR="00BF059B">
        <w:t xml:space="preserve"> </w:t>
      </w:r>
      <w:r>
        <w:t>the</w:t>
      </w:r>
      <w:r w:rsidR="00BF059B">
        <w:t xml:space="preserve"> </w:t>
      </w:r>
      <w:r>
        <w:t>effectiveness</w:t>
      </w:r>
      <w:r w:rsidR="00BF059B">
        <w:t xml:space="preserve"> </w:t>
      </w:r>
      <w:r>
        <w:t>of</w:t>
      </w:r>
      <w:r w:rsidR="00BF059B">
        <w:t xml:space="preserve"> </w:t>
      </w:r>
      <w:r>
        <w:t>the</w:t>
      </w:r>
      <w:r w:rsidR="00BF059B">
        <w:t xml:space="preserve"> </w:t>
      </w:r>
      <w:r>
        <w:t>group</w:t>
      </w:r>
      <w:r w:rsidR="00BF059B">
        <w:t xml:space="preserve"> </w:t>
      </w:r>
      <w:r>
        <w:t>and</w:t>
      </w:r>
      <w:r w:rsidR="00BF059B">
        <w:t xml:space="preserve"> </w:t>
      </w:r>
      <w:r>
        <w:t>parent</w:t>
      </w:r>
      <w:r w:rsidR="00BF059B">
        <w:t xml:space="preserve"> </w:t>
      </w:r>
      <w:r>
        <w:t>charitable</w:t>
      </w:r>
      <w:r w:rsidR="00BF059B">
        <w:t xml:space="preserve"> </w:t>
      </w:r>
      <w:r>
        <w:t>company’s</w:t>
      </w:r>
      <w:r w:rsidR="00BF059B">
        <w:t xml:space="preserve"> </w:t>
      </w:r>
      <w:r>
        <w:t>internal</w:t>
      </w:r>
      <w:r w:rsidR="00BF059B">
        <w:t xml:space="preserve"> </w:t>
      </w:r>
      <w:r>
        <w:t>control.</w:t>
      </w:r>
      <w:r w:rsidR="00BF059B">
        <w:t xml:space="preserve"> </w:t>
      </w:r>
    </w:p>
    <w:p w14:paraId="1975E9D4" w14:textId="217F7E68" w:rsidR="00BE13A8" w:rsidRDefault="00D70530" w:rsidP="00DE30D3">
      <w:pPr>
        <w:numPr>
          <w:ilvl w:val="0"/>
          <w:numId w:val="2"/>
        </w:numPr>
      </w:pPr>
      <w:r>
        <w:t>Evaluate</w:t>
      </w:r>
      <w:r w:rsidR="00BF059B">
        <w:t xml:space="preserve"> </w:t>
      </w:r>
      <w:r>
        <w:t>the</w:t>
      </w:r>
      <w:r w:rsidR="00BF059B">
        <w:t xml:space="preserve"> </w:t>
      </w:r>
      <w:r>
        <w:t>appropriateness</w:t>
      </w:r>
      <w:r w:rsidR="00BF059B">
        <w:t xml:space="preserve"> </w:t>
      </w:r>
      <w:r>
        <w:t>of</w:t>
      </w:r>
      <w:r w:rsidR="00BF059B">
        <w:t xml:space="preserve"> </w:t>
      </w:r>
      <w:r>
        <w:t>accounting</w:t>
      </w:r>
      <w:r w:rsidR="00BF059B">
        <w:t xml:space="preserve"> </w:t>
      </w:r>
      <w:r>
        <w:t>policies</w:t>
      </w:r>
      <w:r w:rsidR="00BF059B">
        <w:t xml:space="preserve"> </w:t>
      </w:r>
      <w:r>
        <w:t>used</w:t>
      </w:r>
      <w:r w:rsidR="00BF059B">
        <w:t xml:space="preserve"> </w:t>
      </w:r>
      <w:r>
        <w:t>and</w:t>
      </w:r>
      <w:r w:rsidR="00BF059B">
        <w:t xml:space="preserve"> </w:t>
      </w:r>
      <w:r>
        <w:t>the</w:t>
      </w:r>
      <w:r w:rsidR="00BF059B">
        <w:t xml:space="preserve"> </w:t>
      </w:r>
      <w:r>
        <w:t>reasonableness</w:t>
      </w:r>
      <w:r w:rsidR="00BF059B">
        <w:t xml:space="preserve"> </w:t>
      </w:r>
      <w:r>
        <w:t>of</w:t>
      </w:r>
      <w:r w:rsidR="00BF059B">
        <w:t xml:space="preserve"> </w:t>
      </w:r>
      <w:r>
        <w:t>accounting</w:t>
      </w:r>
      <w:r w:rsidR="00BF059B">
        <w:t xml:space="preserve"> </w:t>
      </w:r>
      <w:r>
        <w:t>estimates</w:t>
      </w:r>
      <w:r w:rsidR="00BF059B">
        <w:t xml:space="preserve"> </w:t>
      </w:r>
      <w:r>
        <w:t>and</w:t>
      </w:r>
      <w:r w:rsidR="00BF059B">
        <w:t xml:space="preserve"> </w:t>
      </w:r>
      <w:r>
        <w:t>related</w:t>
      </w:r>
      <w:r w:rsidR="00BF059B">
        <w:t xml:space="preserve"> </w:t>
      </w:r>
      <w:r>
        <w:t>disclosures</w:t>
      </w:r>
      <w:r w:rsidR="00BF059B">
        <w:t xml:space="preserve"> </w:t>
      </w:r>
      <w:r>
        <w:t>made</w:t>
      </w:r>
      <w:r w:rsidR="00BF059B">
        <w:t xml:space="preserve"> </w:t>
      </w:r>
      <w:r>
        <w:t>by</w:t>
      </w:r>
      <w:r w:rsidR="00BF059B">
        <w:t xml:space="preserve"> </w:t>
      </w:r>
      <w:r>
        <w:t>the</w:t>
      </w:r>
      <w:r w:rsidR="00BF059B">
        <w:t xml:space="preserve"> </w:t>
      </w:r>
      <w:r>
        <w:t>Trustees.</w:t>
      </w:r>
      <w:r w:rsidR="00BF059B">
        <w:t xml:space="preserve"> </w:t>
      </w:r>
    </w:p>
    <w:p w14:paraId="5B98311F" w14:textId="6A8663EA" w:rsidR="00BE13A8" w:rsidRDefault="00D70530" w:rsidP="00DE30D3">
      <w:pPr>
        <w:numPr>
          <w:ilvl w:val="0"/>
          <w:numId w:val="2"/>
        </w:numPr>
      </w:pPr>
      <w:r>
        <w:t>Conclude</w:t>
      </w:r>
      <w:r w:rsidR="00BF059B">
        <w:t xml:space="preserve"> </w:t>
      </w:r>
      <w:r>
        <w:t>on</w:t>
      </w:r>
      <w:r w:rsidR="00BF059B">
        <w:t xml:space="preserve"> </w:t>
      </w:r>
      <w:r>
        <w:t>the</w:t>
      </w:r>
      <w:r w:rsidR="00BF059B">
        <w:t xml:space="preserve"> </w:t>
      </w:r>
      <w:r>
        <w:t>appropriateness</w:t>
      </w:r>
      <w:r w:rsidR="00BF059B">
        <w:t xml:space="preserve"> </w:t>
      </w:r>
      <w:r>
        <w:t>of</w:t>
      </w:r>
      <w:r w:rsidR="00BF059B">
        <w:t xml:space="preserve"> </w:t>
      </w:r>
      <w:r>
        <w:t>the</w:t>
      </w:r>
      <w:r w:rsidR="00BF059B">
        <w:t xml:space="preserve"> </w:t>
      </w:r>
      <w:r>
        <w:t>Trustees’</w:t>
      </w:r>
      <w:r w:rsidR="00BF059B">
        <w:t xml:space="preserve"> </w:t>
      </w:r>
      <w:r>
        <w:t>use</w:t>
      </w:r>
      <w:r w:rsidR="00BF059B">
        <w:t xml:space="preserve"> </w:t>
      </w:r>
      <w:r>
        <w:t>of</w:t>
      </w:r>
      <w:r w:rsidR="00BF059B">
        <w:t xml:space="preserve"> </w:t>
      </w:r>
      <w:r>
        <w:t>the</w:t>
      </w:r>
      <w:r w:rsidR="00BF059B">
        <w:t xml:space="preserve"> </w:t>
      </w:r>
      <w:r>
        <w:t>going</w:t>
      </w:r>
      <w:r w:rsidR="00BF059B">
        <w:t xml:space="preserve"> </w:t>
      </w:r>
      <w:r>
        <w:t>concern</w:t>
      </w:r>
      <w:r w:rsidR="00BF059B">
        <w:t xml:space="preserve"> </w:t>
      </w:r>
      <w:r>
        <w:t>basis</w:t>
      </w:r>
      <w:r w:rsidR="00BF059B">
        <w:t xml:space="preserve"> </w:t>
      </w:r>
      <w:r>
        <w:t>of</w:t>
      </w:r>
      <w:r w:rsidR="00BF059B">
        <w:t xml:space="preserve"> </w:t>
      </w:r>
      <w:r>
        <w:t>accounting</w:t>
      </w:r>
      <w:r w:rsidR="00BF059B">
        <w:t xml:space="preserve"> </w:t>
      </w:r>
      <w:r>
        <w:t>and,</w:t>
      </w:r>
      <w:r w:rsidR="00BF059B">
        <w:t xml:space="preserve"> </w:t>
      </w:r>
      <w:r>
        <w:t>based</w:t>
      </w:r>
      <w:r w:rsidR="00BF059B">
        <w:t xml:space="preserve"> </w:t>
      </w:r>
      <w:r>
        <w:t>on</w:t>
      </w:r>
      <w:r w:rsidR="00BF059B">
        <w:t xml:space="preserve"> </w:t>
      </w:r>
      <w:r>
        <w:t>the</w:t>
      </w:r>
      <w:r w:rsidR="00BF059B">
        <w:t xml:space="preserve"> </w:t>
      </w:r>
      <w:r>
        <w:t>audit</w:t>
      </w:r>
      <w:r w:rsidR="00BF059B">
        <w:t xml:space="preserve"> </w:t>
      </w:r>
      <w:r>
        <w:t>evidence</w:t>
      </w:r>
      <w:r w:rsidR="00BF059B">
        <w:t xml:space="preserve"> </w:t>
      </w:r>
      <w:r>
        <w:t>obtained,</w:t>
      </w:r>
      <w:r w:rsidR="00BF059B">
        <w:t xml:space="preserve"> </w:t>
      </w:r>
      <w:r>
        <w:t>whether</w:t>
      </w:r>
      <w:r w:rsidR="00BF059B">
        <w:t xml:space="preserve"> </w:t>
      </w:r>
      <w:r>
        <w:t>a</w:t>
      </w:r>
      <w:r w:rsidR="00BF059B">
        <w:t xml:space="preserve"> </w:t>
      </w:r>
      <w:r>
        <w:t>material</w:t>
      </w:r>
      <w:r w:rsidR="00BF059B">
        <w:t xml:space="preserve"> </w:t>
      </w:r>
      <w:r>
        <w:t>uncertainty</w:t>
      </w:r>
      <w:r w:rsidR="00BF059B">
        <w:t xml:space="preserve"> </w:t>
      </w:r>
      <w:r>
        <w:t>exists</w:t>
      </w:r>
      <w:r w:rsidR="00BF059B">
        <w:t xml:space="preserve"> </w:t>
      </w:r>
      <w:r>
        <w:t>related</w:t>
      </w:r>
      <w:r w:rsidR="00BF059B">
        <w:t xml:space="preserve"> </w:t>
      </w:r>
      <w:r>
        <w:t>to</w:t>
      </w:r>
      <w:r w:rsidR="00BF059B">
        <w:t xml:space="preserve"> </w:t>
      </w:r>
      <w:r>
        <w:t>events</w:t>
      </w:r>
      <w:r w:rsidR="00BF059B">
        <w:t xml:space="preserve"> </w:t>
      </w:r>
      <w:r>
        <w:t>or</w:t>
      </w:r>
      <w:r w:rsidR="00BF059B">
        <w:t xml:space="preserve"> </w:t>
      </w:r>
      <w:r>
        <w:t>conditions</w:t>
      </w:r>
      <w:r w:rsidR="00BF059B">
        <w:t xml:space="preserve"> </w:t>
      </w:r>
      <w:r>
        <w:t>that</w:t>
      </w:r>
      <w:r w:rsidR="00BF059B">
        <w:t xml:space="preserve"> </w:t>
      </w:r>
      <w:r>
        <w:t>may</w:t>
      </w:r>
      <w:r w:rsidR="00BF059B">
        <w:t xml:space="preserve"> </w:t>
      </w:r>
      <w:r>
        <w:t>cast</w:t>
      </w:r>
      <w:r w:rsidR="00BF059B">
        <w:t xml:space="preserve"> </w:t>
      </w:r>
      <w:r>
        <w:t>significant</w:t>
      </w:r>
      <w:r w:rsidR="00BF059B">
        <w:t xml:space="preserve"> </w:t>
      </w:r>
      <w:r>
        <w:t>doubt</w:t>
      </w:r>
      <w:r w:rsidR="00BF059B">
        <w:t xml:space="preserve"> </w:t>
      </w:r>
      <w:r>
        <w:t>on</w:t>
      </w:r>
      <w:r w:rsidR="00BF059B">
        <w:t xml:space="preserve"> </w:t>
      </w:r>
      <w:r>
        <w:t>the</w:t>
      </w:r>
      <w:r w:rsidR="00BF059B">
        <w:t xml:space="preserve"> </w:t>
      </w:r>
      <w:r>
        <w:t>group</w:t>
      </w:r>
      <w:r w:rsidR="00BF059B">
        <w:t xml:space="preserve"> </w:t>
      </w:r>
      <w:r>
        <w:t>and</w:t>
      </w:r>
      <w:r w:rsidR="00BF059B">
        <w:t xml:space="preserve"> </w:t>
      </w:r>
      <w:r>
        <w:t>parent</w:t>
      </w:r>
      <w:r w:rsidR="00BF059B">
        <w:t xml:space="preserve"> </w:t>
      </w:r>
      <w:r>
        <w:t>charitable</w:t>
      </w:r>
      <w:r w:rsidR="00BF059B">
        <w:t xml:space="preserve"> </w:t>
      </w:r>
      <w:r>
        <w:t>company’s</w:t>
      </w:r>
      <w:r w:rsidR="00BF059B">
        <w:t xml:space="preserve"> </w:t>
      </w:r>
      <w:r>
        <w:t>ability</w:t>
      </w:r>
      <w:r w:rsidR="00BF059B">
        <w:t xml:space="preserve"> </w:t>
      </w:r>
      <w:r>
        <w:t>to</w:t>
      </w:r>
      <w:r w:rsidR="00BF059B">
        <w:t xml:space="preserve"> </w:t>
      </w:r>
      <w:r>
        <w:t>continue</w:t>
      </w:r>
      <w:r w:rsidR="00BF059B">
        <w:t xml:space="preserve"> </w:t>
      </w:r>
      <w:r>
        <w:t>as</w:t>
      </w:r>
      <w:r w:rsidR="00BF059B">
        <w:t xml:space="preserve"> </w:t>
      </w:r>
      <w:r>
        <w:t>a</w:t>
      </w:r>
      <w:r w:rsidR="00BF059B">
        <w:t xml:space="preserve"> </w:t>
      </w:r>
      <w:r>
        <w:t>going</w:t>
      </w:r>
      <w:r w:rsidR="00BF059B">
        <w:t xml:space="preserve"> </w:t>
      </w:r>
      <w:r>
        <w:t>concern.</w:t>
      </w:r>
      <w:r w:rsidR="00BF059B">
        <w:t xml:space="preserve"> </w:t>
      </w:r>
      <w:r>
        <w:t>If</w:t>
      </w:r>
      <w:r w:rsidR="00BF059B">
        <w:t xml:space="preserve"> </w:t>
      </w:r>
      <w:r>
        <w:t>we</w:t>
      </w:r>
      <w:r w:rsidR="00BF059B">
        <w:t xml:space="preserve"> </w:t>
      </w:r>
      <w:r>
        <w:t>conclude</w:t>
      </w:r>
      <w:r w:rsidR="00BF059B">
        <w:t xml:space="preserve"> </w:t>
      </w:r>
      <w:r>
        <w:t>that</w:t>
      </w:r>
      <w:r w:rsidR="00BF059B">
        <w:t xml:space="preserve"> </w:t>
      </w:r>
      <w:r>
        <w:t>a</w:t>
      </w:r>
      <w:r w:rsidR="00BF059B">
        <w:t xml:space="preserve"> </w:t>
      </w:r>
      <w:r>
        <w:t>material</w:t>
      </w:r>
      <w:r w:rsidR="00BF059B">
        <w:t xml:space="preserve"> </w:t>
      </w:r>
      <w:r>
        <w:t>uncertainty</w:t>
      </w:r>
      <w:r w:rsidR="00BF059B">
        <w:t xml:space="preserve"> </w:t>
      </w:r>
      <w:r>
        <w:t>exists,</w:t>
      </w:r>
      <w:r w:rsidR="00BF059B">
        <w:t xml:space="preserve"> </w:t>
      </w:r>
      <w:r>
        <w:t>we</w:t>
      </w:r>
      <w:r w:rsidR="00BF059B">
        <w:t xml:space="preserve"> </w:t>
      </w:r>
      <w:r>
        <w:t>are</w:t>
      </w:r>
      <w:r w:rsidR="00BF059B">
        <w:t xml:space="preserve"> </w:t>
      </w:r>
      <w:r>
        <w:t>required</w:t>
      </w:r>
      <w:r w:rsidR="00BF059B">
        <w:t xml:space="preserve"> </w:t>
      </w:r>
      <w:r>
        <w:t>to</w:t>
      </w:r>
      <w:r w:rsidR="00BF059B">
        <w:t xml:space="preserve"> </w:t>
      </w:r>
      <w:r>
        <w:t>draw</w:t>
      </w:r>
      <w:r w:rsidR="00BF059B">
        <w:t xml:space="preserve"> </w:t>
      </w:r>
      <w:r>
        <w:t>attention</w:t>
      </w:r>
      <w:r w:rsidR="00BF059B">
        <w:t xml:space="preserve"> </w:t>
      </w:r>
      <w:r>
        <w:t>in</w:t>
      </w:r>
      <w:r w:rsidR="00BF059B">
        <w:t xml:space="preserve"> </w:t>
      </w:r>
      <w:r>
        <w:t>our</w:t>
      </w:r>
      <w:r w:rsidR="00BF059B">
        <w:t xml:space="preserve"> </w:t>
      </w:r>
      <w:r>
        <w:t>auditor’s</w:t>
      </w:r>
      <w:r w:rsidR="00BF059B">
        <w:t xml:space="preserve"> </w:t>
      </w:r>
      <w:r>
        <w:t>report</w:t>
      </w:r>
      <w:r w:rsidR="00BF059B">
        <w:t xml:space="preserve"> </w:t>
      </w:r>
      <w:r>
        <w:t>to</w:t>
      </w:r>
      <w:r w:rsidR="00BF059B">
        <w:t xml:space="preserve"> </w:t>
      </w:r>
      <w:r>
        <w:t>the</w:t>
      </w:r>
      <w:r w:rsidR="00BF059B">
        <w:t xml:space="preserve"> </w:t>
      </w:r>
      <w:r>
        <w:t>related</w:t>
      </w:r>
      <w:r w:rsidR="00BF059B">
        <w:t xml:space="preserve"> </w:t>
      </w:r>
      <w:r>
        <w:t>disclosures</w:t>
      </w:r>
      <w:r w:rsidR="00BF059B">
        <w:t xml:space="preserve"> </w:t>
      </w:r>
      <w:r>
        <w:t>in</w:t>
      </w:r>
      <w:r w:rsidR="00BF059B">
        <w:t xml:space="preserve"> </w:t>
      </w:r>
      <w:r>
        <w:t>the</w:t>
      </w:r>
      <w:r w:rsidR="00BF059B">
        <w:t xml:space="preserve"> </w:t>
      </w:r>
      <w:r>
        <w:t>financial</w:t>
      </w:r>
      <w:r w:rsidR="00BF059B">
        <w:t xml:space="preserve"> </w:t>
      </w:r>
      <w:r>
        <w:t>statements</w:t>
      </w:r>
      <w:r w:rsidR="00BF059B">
        <w:t xml:space="preserve"> </w:t>
      </w:r>
      <w:r>
        <w:t>or,</w:t>
      </w:r>
      <w:r w:rsidR="00BF059B">
        <w:t xml:space="preserve"> </w:t>
      </w:r>
      <w:r>
        <w:t>if</w:t>
      </w:r>
      <w:r w:rsidR="00BF059B">
        <w:t xml:space="preserve"> </w:t>
      </w:r>
      <w:r>
        <w:t>such</w:t>
      </w:r>
      <w:r w:rsidR="00BF059B">
        <w:t xml:space="preserve"> </w:t>
      </w:r>
      <w:r>
        <w:t>disclosures</w:t>
      </w:r>
      <w:r w:rsidR="00BF059B">
        <w:t xml:space="preserve"> </w:t>
      </w:r>
      <w:r>
        <w:t>are</w:t>
      </w:r>
      <w:r w:rsidR="00BF059B">
        <w:t xml:space="preserve"> </w:t>
      </w:r>
      <w:r>
        <w:t>inadequate,</w:t>
      </w:r>
      <w:r w:rsidR="00BF059B">
        <w:t xml:space="preserve"> </w:t>
      </w:r>
      <w:r>
        <w:t>to</w:t>
      </w:r>
      <w:r w:rsidR="00BF059B">
        <w:t xml:space="preserve"> </w:t>
      </w:r>
      <w:r>
        <w:t>modify</w:t>
      </w:r>
      <w:r w:rsidR="00BF059B">
        <w:t xml:space="preserve"> </w:t>
      </w:r>
      <w:r>
        <w:t>our</w:t>
      </w:r>
      <w:r w:rsidR="00BF059B">
        <w:t xml:space="preserve"> </w:t>
      </w:r>
      <w:r>
        <w:t>opinion.</w:t>
      </w:r>
      <w:r w:rsidR="00BF059B">
        <w:t xml:space="preserve"> </w:t>
      </w:r>
      <w:r>
        <w:t>Our</w:t>
      </w:r>
      <w:r w:rsidR="00BF059B">
        <w:t xml:space="preserve"> </w:t>
      </w:r>
      <w:r>
        <w:t>conclusions</w:t>
      </w:r>
      <w:r w:rsidR="00BF059B">
        <w:t xml:space="preserve"> </w:t>
      </w:r>
      <w:r>
        <w:t>are</w:t>
      </w:r>
      <w:r w:rsidR="00BF059B">
        <w:t xml:space="preserve"> </w:t>
      </w:r>
      <w:r>
        <w:t>based</w:t>
      </w:r>
      <w:r w:rsidR="00BF059B">
        <w:t xml:space="preserve"> </w:t>
      </w:r>
      <w:r>
        <w:t>on</w:t>
      </w:r>
      <w:r w:rsidR="00BF059B">
        <w:t xml:space="preserve"> </w:t>
      </w:r>
      <w:r>
        <w:t>the</w:t>
      </w:r>
      <w:r w:rsidR="00BF059B">
        <w:t xml:space="preserve"> </w:t>
      </w:r>
      <w:r>
        <w:t>audit</w:t>
      </w:r>
      <w:r w:rsidR="00BF059B">
        <w:t xml:space="preserve"> </w:t>
      </w:r>
      <w:r>
        <w:t>evidence</w:t>
      </w:r>
      <w:r w:rsidR="00BF059B">
        <w:t xml:space="preserve"> </w:t>
      </w:r>
      <w:r>
        <w:t>obtained</w:t>
      </w:r>
      <w:r w:rsidR="00BF059B">
        <w:t xml:space="preserve"> </w:t>
      </w:r>
      <w:r>
        <w:t>up</w:t>
      </w:r>
      <w:r w:rsidR="00BF059B">
        <w:t xml:space="preserve"> </w:t>
      </w:r>
      <w:r>
        <w:t>to</w:t>
      </w:r>
      <w:r w:rsidR="00BF059B">
        <w:t xml:space="preserve"> </w:t>
      </w:r>
      <w:r>
        <w:t>the</w:t>
      </w:r>
      <w:r w:rsidR="00BF059B">
        <w:t xml:space="preserve"> </w:t>
      </w:r>
      <w:r>
        <w:t>date</w:t>
      </w:r>
      <w:r w:rsidR="00BF059B">
        <w:t xml:space="preserve"> </w:t>
      </w:r>
      <w:r>
        <w:t>of</w:t>
      </w:r>
      <w:r w:rsidR="00BF059B">
        <w:t xml:space="preserve"> </w:t>
      </w:r>
      <w:r>
        <w:t>our</w:t>
      </w:r>
      <w:r w:rsidR="00BF059B">
        <w:t xml:space="preserve"> </w:t>
      </w:r>
      <w:r>
        <w:t>auditor’s</w:t>
      </w:r>
      <w:r w:rsidR="00BF059B">
        <w:t xml:space="preserve"> </w:t>
      </w:r>
      <w:r>
        <w:t>report.</w:t>
      </w:r>
      <w:r w:rsidR="00BF059B">
        <w:t xml:space="preserve"> </w:t>
      </w:r>
      <w:r>
        <w:t>However,</w:t>
      </w:r>
      <w:r w:rsidR="00BF059B">
        <w:t xml:space="preserve"> </w:t>
      </w:r>
      <w:r>
        <w:t>future</w:t>
      </w:r>
      <w:r w:rsidR="00BF059B">
        <w:t xml:space="preserve"> </w:t>
      </w:r>
      <w:r>
        <w:t>events</w:t>
      </w:r>
      <w:r w:rsidR="00BF059B">
        <w:t xml:space="preserve"> </w:t>
      </w:r>
      <w:r>
        <w:t>or</w:t>
      </w:r>
      <w:r w:rsidR="00BF059B">
        <w:t xml:space="preserve"> </w:t>
      </w:r>
      <w:r>
        <w:t>conditions</w:t>
      </w:r>
      <w:r w:rsidR="00BF059B">
        <w:t xml:space="preserve"> </w:t>
      </w:r>
      <w:r>
        <w:t>may</w:t>
      </w:r>
      <w:r w:rsidR="00BF059B">
        <w:t xml:space="preserve"> </w:t>
      </w:r>
      <w:r>
        <w:t>cause</w:t>
      </w:r>
      <w:r w:rsidR="00BF059B">
        <w:t xml:space="preserve"> </w:t>
      </w:r>
      <w:r>
        <w:t>the</w:t>
      </w:r>
      <w:r w:rsidR="00BF059B">
        <w:t xml:space="preserve"> </w:t>
      </w:r>
      <w:r>
        <w:t>group</w:t>
      </w:r>
      <w:r w:rsidR="00BF059B">
        <w:t xml:space="preserve"> </w:t>
      </w:r>
      <w:r>
        <w:t>or</w:t>
      </w:r>
      <w:r w:rsidR="00BF059B">
        <w:t xml:space="preserve"> </w:t>
      </w:r>
      <w:r>
        <w:t>parent</w:t>
      </w:r>
      <w:r w:rsidR="00BF059B">
        <w:t xml:space="preserve"> </w:t>
      </w:r>
      <w:r>
        <w:t>charitable</w:t>
      </w:r>
      <w:r w:rsidR="00BF059B">
        <w:t xml:space="preserve"> </w:t>
      </w:r>
      <w:r>
        <w:t>company</w:t>
      </w:r>
      <w:r w:rsidR="00BF059B">
        <w:t xml:space="preserve"> </w:t>
      </w:r>
      <w:r>
        <w:t>to</w:t>
      </w:r>
      <w:r w:rsidR="00BF059B">
        <w:t xml:space="preserve"> </w:t>
      </w:r>
      <w:r>
        <w:t>cease</w:t>
      </w:r>
      <w:r w:rsidR="00BF059B">
        <w:t xml:space="preserve"> </w:t>
      </w:r>
      <w:r>
        <w:t>to</w:t>
      </w:r>
      <w:r w:rsidR="00BF059B">
        <w:t xml:space="preserve"> </w:t>
      </w:r>
      <w:r>
        <w:t>continue</w:t>
      </w:r>
      <w:r w:rsidR="00BF059B">
        <w:t xml:space="preserve"> </w:t>
      </w:r>
      <w:r>
        <w:t>as</w:t>
      </w:r>
      <w:r w:rsidR="00BF059B">
        <w:t xml:space="preserve"> </w:t>
      </w:r>
      <w:r>
        <w:t>a</w:t>
      </w:r>
      <w:r w:rsidR="00BF059B">
        <w:t xml:space="preserve"> </w:t>
      </w:r>
      <w:r>
        <w:t>going</w:t>
      </w:r>
      <w:r w:rsidR="00BF059B">
        <w:t xml:space="preserve"> </w:t>
      </w:r>
      <w:r>
        <w:t>concern.</w:t>
      </w:r>
    </w:p>
    <w:p w14:paraId="78A15A8F" w14:textId="5F808120" w:rsidR="00BE13A8" w:rsidRDefault="00D70530" w:rsidP="00DE30D3">
      <w:pPr>
        <w:numPr>
          <w:ilvl w:val="0"/>
          <w:numId w:val="2"/>
        </w:numPr>
      </w:pPr>
      <w:r>
        <w:t>Evaluate</w:t>
      </w:r>
      <w:r w:rsidR="00BF059B">
        <w:t xml:space="preserve"> </w:t>
      </w:r>
      <w:r>
        <w:t>the</w:t>
      </w:r>
      <w:r w:rsidR="00BF059B">
        <w:t xml:space="preserve"> </w:t>
      </w:r>
      <w:r>
        <w:t>overall</w:t>
      </w:r>
      <w:r w:rsidR="00BF059B">
        <w:t xml:space="preserve"> </w:t>
      </w:r>
      <w:r>
        <w:t>presentation,</w:t>
      </w:r>
      <w:r w:rsidR="00BF059B">
        <w:t xml:space="preserve"> </w:t>
      </w:r>
      <w:r>
        <w:t>structure</w:t>
      </w:r>
      <w:r w:rsidR="00BF059B">
        <w:t xml:space="preserve"> </w:t>
      </w:r>
      <w:r>
        <w:t>and</w:t>
      </w:r>
      <w:r w:rsidR="00BF059B">
        <w:t xml:space="preserve"> </w:t>
      </w:r>
      <w:r>
        <w:t>content</w:t>
      </w:r>
      <w:r w:rsidR="00BF059B">
        <w:t xml:space="preserve"> </w:t>
      </w:r>
      <w:r>
        <w:t>of</w:t>
      </w:r>
      <w:r w:rsidR="00BF059B">
        <w:t xml:space="preserve"> </w:t>
      </w:r>
      <w:r>
        <w:t>the</w:t>
      </w:r>
      <w:r w:rsidR="00BF059B">
        <w:t xml:space="preserve"> </w:t>
      </w:r>
      <w:r>
        <w:t>financial</w:t>
      </w:r>
      <w:r w:rsidR="00BF059B">
        <w:t xml:space="preserve"> </w:t>
      </w:r>
      <w:r>
        <w:t>statements,</w:t>
      </w:r>
      <w:r w:rsidR="00BF059B">
        <w:t xml:space="preserve"> </w:t>
      </w:r>
      <w:r>
        <w:t>including</w:t>
      </w:r>
      <w:r w:rsidR="00BF059B">
        <w:t xml:space="preserve"> </w:t>
      </w:r>
      <w:r>
        <w:t>the</w:t>
      </w:r>
      <w:r w:rsidR="00BF059B">
        <w:t xml:space="preserve"> </w:t>
      </w:r>
      <w:r>
        <w:t>disclosures,</w:t>
      </w:r>
      <w:r w:rsidR="00BF059B">
        <w:t xml:space="preserve"> </w:t>
      </w:r>
      <w:r>
        <w:t>and</w:t>
      </w:r>
      <w:r w:rsidR="00BF059B">
        <w:t xml:space="preserve"> </w:t>
      </w:r>
      <w:r>
        <w:t>whether</w:t>
      </w:r>
      <w:r w:rsidR="00BF059B">
        <w:t xml:space="preserve"> </w:t>
      </w:r>
      <w:r>
        <w:t>the</w:t>
      </w:r>
      <w:r w:rsidR="00BF059B">
        <w:t xml:space="preserve"> </w:t>
      </w:r>
      <w:r>
        <w:t>financial</w:t>
      </w:r>
      <w:r w:rsidR="00BF059B">
        <w:t xml:space="preserve"> </w:t>
      </w:r>
      <w:r>
        <w:t>statements</w:t>
      </w:r>
      <w:r w:rsidR="00BF059B">
        <w:t xml:space="preserve"> </w:t>
      </w:r>
      <w:r>
        <w:t>represent</w:t>
      </w:r>
      <w:r w:rsidR="00BF059B">
        <w:t xml:space="preserve"> </w:t>
      </w:r>
      <w:r>
        <w:t>the</w:t>
      </w:r>
      <w:r w:rsidR="00BF059B">
        <w:t xml:space="preserve"> </w:t>
      </w:r>
      <w:r>
        <w:t>underlying</w:t>
      </w:r>
      <w:r w:rsidR="00BF059B">
        <w:t xml:space="preserve"> </w:t>
      </w:r>
      <w:r>
        <w:t>transactions</w:t>
      </w:r>
      <w:r w:rsidR="00BF059B">
        <w:t xml:space="preserve"> </w:t>
      </w:r>
      <w:r>
        <w:t>and</w:t>
      </w:r>
      <w:r w:rsidR="00BF059B">
        <w:t xml:space="preserve"> </w:t>
      </w:r>
      <w:r>
        <w:t>events</w:t>
      </w:r>
      <w:r w:rsidR="00BF059B">
        <w:t xml:space="preserve"> </w:t>
      </w:r>
      <w:r>
        <w:t>in</w:t>
      </w:r>
      <w:r w:rsidR="00BF059B">
        <w:t xml:space="preserve"> </w:t>
      </w:r>
      <w:r>
        <w:t>a</w:t>
      </w:r>
      <w:r w:rsidR="00BF059B">
        <w:t xml:space="preserve"> </w:t>
      </w:r>
      <w:r>
        <w:t>manner</w:t>
      </w:r>
      <w:r w:rsidR="00BF059B">
        <w:t xml:space="preserve"> </w:t>
      </w:r>
      <w:r>
        <w:t>that</w:t>
      </w:r>
      <w:r w:rsidR="00BF059B">
        <w:t xml:space="preserve"> </w:t>
      </w:r>
      <w:r>
        <w:t>achieves</w:t>
      </w:r>
      <w:r w:rsidR="00BF059B">
        <w:t xml:space="preserve"> </w:t>
      </w:r>
      <w:r>
        <w:t>fair</w:t>
      </w:r>
      <w:r w:rsidR="00BF059B">
        <w:t xml:space="preserve"> </w:t>
      </w:r>
      <w:r>
        <w:t>presentation.</w:t>
      </w:r>
      <w:r w:rsidR="00BF059B">
        <w:t xml:space="preserve"> </w:t>
      </w:r>
    </w:p>
    <w:p w14:paraId="611C1A28" w14:textId="691EBAE3" w:rsidR="00BE13A8" w:rsidRDefault="00D70530" w:rsidP="00DE30D3">
      <w:pPr>
        <w:numPr>
          <w:ilvl w:val="0"/>
          <w:numId w:val="2"/>
        </w:numPr>
      </w:pPr>
      <w:r>
        <w:t>Obtain</w:t>
      </w:r>
      <w:r w:rsidR="00BF059B">
        <w:t xml:space="preserve"> </w:t>
      </w:r>
      <w:r>
        <w:t>sufficient</w:t>
      </w:r>
      <w:r w:rsidR="00BF059B">
        <w:t xml:space="preserve"> </w:t>
      </w:r>
      <w:r>
        <w:t>appropriate</w:t>
      </w:r>
      <w:r w:rsidR="00BF059B">
        <w:t xml:space="preserve"> </w:t>
      </w:r>
      <w:r>
        <w:t>audit</w:t>
      </w:r>
      <w:r w:rsidR="00BF059B">
        <w:t xml:space="preserve"> </w:t>
      </w:r>
      <w:r>
        <w:t>evidence</w:t>
      </w:r>
      <w:r w:rsidR="00BF059B">
        <w:t xml:space="preserve"> </w:t>
      </w:r>
      <w:r>
        <w:t>regarding</w:t>
      </w:r>
      <w:r w:rsidR="00BF059B">
        <w:t xml:space="preserve"> </w:t>
      </w:r>
      <w:r>
        <w:t>the</w:t>
      </w:r>
      <w:r w:rsidR="00BF059B">
        <w:t xml:space="preserve"> </w:t>
      </w:r>
      <w:r>
        <w:t>financial</w:t>
      </w:r>
      <w:r w:rsidR="00BF059B">
        <w:t xml:space="preserve"> </w:t>
      </w:r>
      <w:r>
        <w:t>information</w:t>
      </w:r>
      <w:r w:rsidR="00BF059B">
        <w:t xml:space="preserve"> </w:t>
      </w:r>
      <w:r>
        <w:t>of</w:t>
      </w:r>
      <w:r w:rsidR="00BF059B">
        <w:t xml:space="preserve"> </w:t>
      </w:r>
      <w:r>
        <w:t>the</w:t>
      </w:r>
      <w:r w:rsidR="00BF059B">
        <w:t xml:space="preserve"> </w:t>
      </w:r>
      <w:r>
        <w:t>entities</w:t>
      </w:r>
      <w:r w:rsidR="00BF059B">
        <w:t xml:space="preserve"> </w:t>
      </w:r>
      <w:r>
        <w:t>or</w:t>
      </w:r>
      <w:r w:rsidR="00BF059B">
        <w:t xml:space="preserve"> </w:t>
      </w:r>
      <w:r>
        <w:t>business</w:t>
      </w:r>
      <w:r w:rsidR="00BF059B">
        <w:t xml:space="preserve"> </w:t>
      </w:r>
      <w:r>
        <w:t>activities</w:t>
      </w:r>
      <w:r w:rsidR="00BF059B">
        <w:t xml:space="preserve"> </w:t>
      </w:r>
      <w:r>
        <w:t>within</w:t>
      </w:r>
      <w:r w:rsidR="00BF059B">
        <w:t xml:space="preserve"> </w:t>
      </w:r>
      <w:r>
        <w:t>the</w:t>
      </w:r>
      <w:r w:rsidR="00BF059B">
        <w:t xml:space="preserve"> </w:t>
      </w:r>
      <w:r>
        <w:t>group</w:t>
      </w:r>
      <w:r w:rsidR="00BF059B">
        <w:t xml:space="preserve"> </w:t>
      </w:r>
      <w:r>
        <w:t>to</w:t>
      </w:r>
      <w:r w:rsidR="00BF059B">
        <w:t xml:space="preserve"> </w:t>
      </w:r>
      <w:r>
        <w:t>express</w:t>
      </w:r>
      <w:r w:rsidR="00BF059B">
        <w:t xml:space="preserve"> </w:t>
      </w:r>
      <w:r>
        <w:t>an</w:t>
      </w:r>
      <w:r w:rsidR="00BF059B">
        <w:t xml:space="preserve"> </w:t>
      </w:r>
      <w:r>
        <w:t>opinion</w:t>
      </w:r>
      <w:r w:rsidR="00BF059B">
        <w:t xml:space="preserve"> </w:t>
      </w:r>
      <w:r>
        <w:t>on</w:t>
      </w:r>
      <w:r w:rsidR="00BF059B">
        <w:t xml:space="preserve"> </w:t>
      </w:r>
      <w:r>
        <w:t>the</w:t>
      </w:r>
      <w:r w:rsidR="00BF059B">
        <w:t xml:space="preserve"> </w:t>
      </w:r>
      <w:r>
        <w:t>consolidated</w:t>
      </w:r>
      <w:r w:rsidR="00BF059B">
        <w:t xml:space="preserve"> </w:t>
      </w:r>
      <w:r>
        <w:t>financial</w:t>
      </w:r>
      <w:r w:rsidR="00BF059B">
        <w:t xml:space="preserve"> </w:t>
      </w:r>
      <w:r>
        <w:t>statements.</w:t>
      </w:r>
      <w:r w:rsidR="00BF059B">
        <w:t xml:space="preserve"> </w:t>
      </w:r>
      <w:r>
        <w:t>We</w:t>
      </w:r>
      <w:r w:rsidR="00BF059B">
        <w:t xml:space="preserve"> </w:t>
      </w:r>
      <w:r>
        <w:t>are</w:t>
      </w:r>
      <w:r w:rsidR="00BF059B">
        <w:t xml:space="preserve"> </w:t>
      </w:r>
      <w:r>
        <w:t>responsible</w:t>
      </w:r>
      <w:r w:rsidR="00BF059B">
        <w:t xml:space="preserve"> </w:t>
      </w:r>
      <w:r>
        <w:t>for</w:t>
      </w:r>
      <w:r w:rsidR="00BF059B">
        <w:t xml:space="preserve"> </w:t>
      </w:r>
      <w:r>
        <w:t>the</w:t>
      </w:r>
      <w:r w:rsidR="00BF059B">
        <w:t xml:space="preserve"> </w:t>
      </w:r>
      <w:r>
        <w:t>direction,</w:t>
      </w:r>
      <w:r w:rsidR="00BF059B">
        <w:t xml:space="preserve"> </w:t>
      </w:r>
      <w:r>
        <w:t>supervision</w:t>
      </w:r>
      <w:r w:rsidR="00BF059B">
        <w:t xml:space="preserve"> </w:t>
      </w:r>
      <w:r>
        <w:t>and</w:t>
      </w:r>
      <w:r w:rsidR="00BF059B">
        <w:t xml:space="preserve"> </w:t>
      </w:r>
      <w:r>
        <w:t>performance</w:t>
      </w:r>
      <w:r w:rsidR="00BF059B">
        <w:t xml:space="preserve"> </w:t>
      </w:r>
      <w:r>
        <w:t>of</w:t>
      </w:r>
      <w:r w:rsidR="00BF059B">
        <w:t xml:space="preserve"> </w:t>
      </w:r>
      <w:r>
        <w:t>the</w:t>
      </w:r>
      <w:r w:rsidR="00BF059B">
        <w:t xml:space="preserve"> </w:t>
      </w:r>
      <w:r>
        <w:t>group</w:t>
      </w:r>
      <w:r w:rsidR="00BF059B">
        <w:t xml:space="preserve"> </w:t>
      </w:r>
      <w:r>
        <w:t>audit.</w:t>
      </w:r>
      <w:r w:rsidR="00BF059B">
        <w:t xml:space="preserve"> </w:t>
      </w:r>
      <w:r>
        <w:t>We</w:t>
      </w:r>
      <w:r w:rsidR="00BF059B">
        <w:t xml:space="preserve"> </w:t>
      </w:r>
      <w:r>
        <w:t>remain</w:t>
      </w:r>
      <w:r w:rsidR="00BF059B">
        <w:t xml:space="preserve"> </w:t>
      </w:r>
      <w:r>
        <w:t>solely</w:t>
      </w:r>
      <w:r w:rsidR="00BF059B">
        <w:t xml:space="preserve"> </w:t>
      </w:r>
      <w:r>
        <w:t>responsible</w:t>
      </w:r>
      <w:r w:rsidR="00BF059B">
        <w:t xml:space="preserve"> </w:t>
      </w:r>
      <w:r>
        <w:t>for</w:t>
      </w:r>
      <w:r w:rsidR="00BF059B">
        <w:t xml:space="preserve"> </w:t>
      </w:r>
      <w:r>
        <w:t>our</w:t>
      </w:r>
      <w:r w:rsidR="00BF059B">
        <w:t xml:space="preserve"> </w:t>
      </w:r>
      <w:r>
        <w:t>audit</w:t>
      </w:r>
      <w:r w:rsidR="00BF059B">
        <w:t xml:space="preserve"> </w:t>
      </w:r>
      <w:r>
        <w:t>report.</w:t>
      </w:r>
      <w:r w:rsidR="00BF059B">
        <w:t xml:space="preserve"> </w:t>
      </w:r>
    </w:p>
    <w:p w14:paraId="0E245444" w14:textId="77777777" w:rsidR="00BE13A8" w:rsidRDefault="00BE13A8" w:rsidP="00DE30D3">
      <w:pPr>
        <w:pBdr>
          <w:top w:val="nil"/>
          <w:left w:val="nil"/>
          <w:bottom w:val="nil"/>
          <w:right w:val="nil"/>
          <w:between w:val="nil"/>
        </w:pBdr>
        <w:ind w:left="720"/>
        <w:rPr>
          <w:color w:val="000000"/>
        </w:rPr>
      </w:pPr>
    </w:p>
    <w:p w14:paraId="22C15F1D" w14:textId="6A020FEA" w:rsidR="00BE13A8" w:rsidRDefault="00D70530" w:rsidP="00DE30D3">
      <w:r>
        <w:t>We</w:t>
      </w:r>
      <w:r w:rsidR="00BF059B">
        <w:t xml:space="preserve"> </w:t>
      </w:r>
      <w:r>
        <w:t>communicate</w:t>
      </w:r>
      <w:r w:rsidR="00BF059B">
        <w:t xml:space="preserve"> </w:t>
      </w:r>
      <w:r>
        <w:t>with</w:t>
      </w:r>
      <w:r w:rsidR="00BF059B">
        <w:t xml:space="preserve"> </w:t>
      </w:r>
      <w:r>
        <w:t>those</w:t>
      </w:r>
      <w:r w:rsidR="00BF059B">
        <w:t xml:space="preserve"> </w:t>
      </w:r>
      <w:r>
        <w:t>charged</w:t>
      </w:r>
      <w:r w:rsidR="00BF059B">
        <w:t xml:space="preserve"> </w:t>
      </w:r>
      <w:r>
        <w:t>with</w:t>
      </w:r>
      <w:r w:rsidR="00BF059B">
        <w:t xml:space="preserve"> </w:t>
      </w:r>
      <w:r>
        <w:t>governance</w:t>
      </w:r>
      <w:r w:rsidR="00BF059B">
        <w:t xml:space="preserve"> </w:t>
      </w:r>
      <w:r>
        <w:t>regarding,</w:t>
      </w:r>
      <w:r w:rsidR="00BF059B">
        <w:t xml:space="preserve"> </w:t>
      </w:r>
      <w:r>
        <w:t>among</w:t>
      </w:r>
      <w:r w:rsidR="00BF059B">
        <w:t xml:space="preserve"> </w:t>
      </w:r>
      <w:r>
        <w:t>other</w:t>
      </w:r>
      <w:r w:rsidR="00BF059B">
        <w:t xml:space="preserve"> </w:t>
      </w:r>
      <w:r>
        <w:t>matters,</w:t>
      </w:r>
      <w:r w:rsidR="00BF059B">
        <w:t xml:space="preserve"> </w:t>
      </w:r>
      <w:r>
        <w:t>the</w:t>
      </w:r>
      <w:r w:rsidR="00BF059B">
        <w:t xml:space="preserve"> </w:t>
      </w:r>
      <w:r>
        <w:t>planned</w:t>
      </w:r>
      <w:r w:rsidR="00BF059B">
        <w:t xml:space="preserve"> </w:t>
      </w:r>
      <w:r>
        <w:t>scope</w:t>
      </w:r>
      <w:r w:rsidR="00BF059B">
        <w:t xml:space="preserve"> </w:t>
      </w:r>
      <w:r>
        <w:t>and</w:t>
      </w:r>
      <w:r w:rsidR="00BF059B">
        <w:t xml:space="preserve"> </w:t>
      </w:r>
      <w:r>
        <w:t>timing</w:t>
      </w:r>
      <w:r w:rsidR="00BF059B">
        <w:t xml:space="preserve"> </w:t>
      </w:r>
      <w:r>
        <w:t>of</w:t>
      </w:r>
      <w:r w:rsidR="00BF059B">
        <w:t xml:space="preserve"> </w:t>
      </w:r>
      <w:r>
        <w:t>the</w:t>
      </w:r>
      <w:r w:rsidR="00BF059B">
        <w:t xml:space="preserve"> </w:t>
      </w:r>
      <w:r>
        <w:t>audit</w:t>
      </w:r>
      <w:r w:rsidR="00BF059B">
        <w:t xml:space="preserve"> </w:t>
      </w:r>
      <w:r>
        <w:t>and</w:t>
      </w:r>
      <w:r w:rsidR="00BF059B">
        <w:t xml:space="preserve"> </w:t>
      </w:r>
      <w:r>
        <w:t>significant</w:t>
      </w:r>
      <w:r w:rsidR="00BF059B">
        <w:t xml:space="preserve"> </w:t>
      </w:r>
      <w:r>
        <w:t>audit</w:t>
      </w:r>
      <w:r w:rsidR="00BF059B">
        <w:t xml:space="preserve"> </w:t>
      </w:r>
      <w:r>
        <w:t>findings,</w:t>
      </w:r>
      <w:r w:rsidR="00BF059B">
        <w:t xml:space="preserve"> </w:t>
      </w:r>
      <w:r>
        <w:t>including</w:t>
      </w:r>
      <w:r w:rsidR="00BF059B">
        <w:t xml:space="preserve"> </w:t>
      </w:r>
      <w:r>
        <w:t>any</w:t>
      </w:r>
      <w:r w:rsidR="00BF059B">
        <w:t xml:space="preserve"> </w:t>
      </w:r>
      <w:r>
        <w:t>significant</w:t>
      </w:r>
      <w:r w:rsidR="00BF059B">
        <w:t xml:space="preserve"> </w:t>
      </w:r>
      <w:r>
        <w:t>deficiencies</w:t>
      </w:r>
      <w:r w:rsidR="00BF059B">
        <w:t xml:space="preserve"> </w:t>
      </w:r>
      <w:r>
        <w:t>in</w:t>
      </w:r>
      <w:r w:rsidR="00BF059B">
        <w:t xml:space="preserve"> </w:t>
      </w:r>
      <w:r>
        <w:t>internal</w:t>
      </w:r>
      <w:r w:rsidR="00BF059B">
        <w:t xml:space="preserve"> </w:t>
      </w:r>
      <w:r>
        <w:t>control</w:t>
      </w:r>
      <w:r w:rsidR="00BF059B">
        <w:t xml:space="preserve"> </w:t>
      </w:r>
      <w:r>
        <w:t>that</w:t>
      </w:r>
      <w:r w:rsidR="00BF059B">
        <w:t xml:space="preserve"> </w:t>
      </w:r>
      <w:r>
        <w:t>we</w:t>
      </w:r>
      <w:r w:rsidR="00BF059B">
        <w:t xml:space="preserve"> </w:t>
      </w:r>
      <w:r>
        <w:t>identify</w:t>
      </w:r>
      <w:r w:rsidR="00BF059B">
        <w:t xml:space="preserve"> </w:t>
      </w:r>
      <w:r>
        <w:t>during</w:t>
      </w:r>
      <w:r w:rsidR="00BF059B">
        <w:t xml:space="preserve"> </w:t>
      </w:r>
      <w:r>
        <w:t>our</w:t>
      </w:r>
      <w:r w:rsidR="00BF059B">
        <w:t xml:space="preserve"> </w:t>
      </w:r>
      <w:r>
        <w:t>audit.</w:t>
      </w:r>
      <w:r w:rsidR="00BF059B">
        <w:t xml:space="preserve"> </w:t>
      </w:r>
    </w:p>
    <w:p w14:paraId="6F6AAE07" w14:textId="77777777" w:rsidR="00BE13A8" w:rsidRDefault="00BE13A8" w:rsidP="00DE30D3"/>
    <w:p w14:paraId="6AA34238" w14:textId="7C6645CA" w:rsidR="00BE13A8" w:rsidRDefault="00D70530" w:rsidP="00DE30D3">
      <w:pPr>
        <w:pStyle w:val="Heading3"/>
      </w:pPr>
      <w:r>
        <w:t>Explanation</w:t>
      </w:r>
      <w:r w:rsidR="00BF059B">
        <w:t xml:space="preserve"> </w:t>
      </w:r>
      <w:r>
        <w:t>as</w:t>
      </w:r>
      <w:r w:rsidR="00BF059B">
        <w:t xml:space="preserve"> </w:t>
      </w:r>
      <w:r>
        <w:t>to</w:t>
      </w:r>
      <w:r w:rsidR="00BF059B">
        <w:t xml:space="preserve"> </w:t>
      </w:r>
      <w:r>
        <w:t>what</w:t>
      </w:r>
      <w:r w:rsidR="00BF059B">
        <w:t xml:space="preserve"> </w:t>
      </w:r>
      <w:r>
        <w:t>extent</w:t>
      </w:r>
      <w:r w:rsidR="00BF059B">
        <w:t xml:space="preserve"> </w:t>
      </w:r>
      <w:r>
        <w:t>the</w:t>
      </w:r>
      <w:r w:rsidR="00BF059B">
        <w:t xml:space="preserve"> </w:t>
      </w:r>
      <w:r>
        <w:t>audit</w:t>
      </w:r>
      <w:r w:rsidR="00BF059B">
        <w:t xml:space="preserve"> </w:t>
      </w:r>
      <w:r>
        <w:t>was</w:t>
      </w:r>
      <w:r w:rsidR="00BF059B">
        <w:t xml:space="preserve"> </w:t>
      </w:r>
      <w:r>
        <w:t>considered</w:t>
      </w:r>
      <w:r w:rsidR="00BF059B">
        <w:t xml:space="preserve"> </w:t>
      </w:r>
      <w:r>
        <w:t>capable</w:t>
      </w:r>
      <w:r w:rsidR="00BF059B">
        <w:t xml:space="preserve"> </w:t>
      </w:r>
      <w:r>
        <w:t>of</w:t>
      </w:r>
      <w:r w:rsidR="00BF059B">
        <w:t xml:space="preserve"> </w:t>
      </w:r>
      <w:r>
        <w:t>detecting</w:t>
      </w:r>
      <w:r w:rsidR="00BF059B">
        <w:t xml:space="preserve"> </w:t>
      </w:r>
      <w:r>
        <w:t>irregularities,</w:t>
      </w:r>
      <w:r w:rsidR="00BF059B">
        <w:t xml:space="preserve"> </w:t>
      </w:r>
      <w:r>
        <w:t>including</w:t>
      </w:r>
      <w:r w:rsidR="00BF059B">
        <w:t xml:space="preserve"> </w:t>
      </w:r>
      <w:r>
        <w:t>fraud</w:t>
      </w:r>
    </w:p>
    <w:p w14:paraId="14304BF8" w14:textId="77777777" w:rsidR="00BE13A8" w:rsidRDefault="00BE13A8" w:rsidP="00DE30D3">
      <w:pPr>
        <w:rPr>
          <w:b/>
        </w:rPr>
      </w:pPr>
    </w:p>
    <w:p w14:paraId="1BDF129B" w14:textId="1DB6C5C0" w:rsidR="00BE13A8" w:rsidRDefault="00D70530" w:rsidP="00DE30D3">
      <w:r>
        <w:t>Irregularities,</w:t>
      </w:r>
      <w:r w:rsidR="00BF059B">
        <w:t xml:space="preserve"> </w:t>
      </w:r>
      <w:r>
        <w:t>including</w:t>
      </w:r>
      <w:r w:rsidR="00BF059B">
        <w:t xml:space="preserve"> </w:t>
      </w:r>
      <w:r>
        <w:t>fraud,</w:t>
      </w:r>
      <w:r w:rsidR="00BF059B">
        <w:t xml:space="preserve"> </w:t>
      </w:r>
      <w:r>
        <w:t>are</w:t>
      </w:r>
      <w:r w:rsidR="00BF059B">
        <w:t xml:space="preserve"> </w:t>
      </w:r>
      <w:r>
        <w:t>instances</w:t>
      </w:r>
      <w:r w:rsidR="00BF059B">
        <w:t xml:space="preserve"> </w:t>
      </w:r>
      <w:r>
        <w:t>of</w:t>
      </w:r>
      <w:r w:rsidR="00BF059B">
        <w:t xml:space="preserve"> </w:t>
      </w:r>
      <w:r>
        <w:t>non-compliance</w:t>
      </w:r>
      <w:r w:rsidR="00BF059B">
        <w:t xml:space="preserve"> </w:t>
      </w:r>
      <w:r>
        <w:t>with</w:t>
      </w:r>
      <w:r w:rsidR="00BF059B">
        <w:t xml:space="preserve"> </w:t>
      </w:r>
      <w:r>
        <w:t>laws</w:t>
      </w:r>
      <w:r w:rsidR="00BF059B">
        <w:t xml:space="preserve"> </w:t>
      </w:r>
      <w:r>
        <w:t>and</w:t>
      </w:r>
      <w:r w:rsidR="00BF059B">
        <w:t xml:space="preserve"> </w:t>
      </w:r>
      <w:r>
        <w:t>regulations.</w:t>
      </w:r>
      <w:r w:rsidR="00BF059B">
        <w:t xml:space="preserve"> </w:t>
      </w:r>
      <w:r>
        <w:t>We</w:t>
      </w:r>
      <w:r w:rsidR="00BF059B">
        <w:t xml:space="preserve"> </w:t>
      </w:r>
      <w:r>
        <w:t>design</w:t>
      </w:r>
      <w:r w:rsidR="00BF059B">
        <w:t xml:space="preserve"> </w:t>
      </w:r>
      <w:r>
        <w:t>procedures</w:t>
      </w:r>
      <w:r w:rsidR="00BF059B">
        <w:t xml:space="preserve"> </w:t>
      </w:r>
      <w:r>
        <w:t>in</w:t>
      </w:r>
      <w:r w:rsidR="00BF059B">
        <w:t xml:space="preserve"> </w:t>
      </w:r>
      <w:r>
        <w:t>line</w:t>
      </w:r>
      <w:r w:rsidR="00BF059B">
        <w:t xml:space="preserve"> </w:t>
      </w:r>
      <w:r>
        <w:t>with</w:t>
      </w:r>
      <w:r w:rsidR="00BF059B">
        <w:t xml:space="preserve"> </w:t>
      </w:r>
      <w:r>
        <w:t>our</w:t>
      </w:r>
      <w:r w:rsidR="00BF059B">
        <w:t xml:space="preserve"> </w:t>
      </w:r>
      <w:r>
        <w:t>responsibilities,</w:t>
      </w:r>
      <w:r w:rsidR="00BF059B">
        <w:t xml:space="preserve"> </w:t>
      </w:r>
      <w:r>
        <w:t>outlined</w:t>
      </w:r>
      <w:r w:rsidR="00BF059B">
        <w:t xml:space="preserve"> </w:t>
      </w:r>
      <w:r>
        <w:t>above,</w:t>
      </w:r>
      <w:r w:rsidR="00BF059B">
        <w:t xml:space="preserve"> </w:t>
      </w:r>
      <w:r>
        <w:t>to</w:t>
      </w:r>
      <w:r w:rsidR="00BF059B">
        <w:t xml:space="preserve"> </w:t>
      </w:r>
      <w:r>
        <w:t>detect</w:t>
      </w:r>
      <w:r w:rsidR="00BF059B">
        <w:t xml:space="preserve"> </w:t>
      </w:r>
      <w:r>
        <w:t>material</w:t>
      </w:r>
      <w:r w:rsidR="00BF059B">
        <w:t xml:space="preserve"> </w:t>
      </w:r>
      <w:r>
        <w:t>misstatements</w:t>
      </w:r>
      <w:r w:rsidR="00BF059B">
        <w:t xml:space="preserve"> </w:t>
      </w:r>
      <w:r>
        <w:t>in</w:t>
      </w:r>
      <w:r w:rsidR="00BF059B">
        <w:t xml:space="preserve"> </w:t>
      </w:r>
      <w:r>
        <w:t>respect</w:t>
      </w:r>
      <w:r w:rsidR="00BF059B">
        <w:t xml:space="preserve"> </w:t>
      </w:r>
      <w:r>
        <w:t>of</w:t>
      </w:r>
      <w:r w:rsidR="00BF059B">
        <w:t xml:space="preserve"> </w:t>
      </w:r>
      <w:r>
        <w:t>irregularities,</w:t>
      </w:r>
      <w:r w:rsidR="00BF059B">
        <w:t xml:space="preserve"> </w:t>
      </w:r>
      <w:r>
        <w:t>including</w:t>
      </w:r>
      <w:r w:rsidR="00BF059B">
        <w:t xml:space="preserve"> </w:t>
      </w:r>
      <w:r>
        <w:t>fraud.</w:t>
      </w:r>
      <w:r w:rsidR="00BF059B">
        <w:t xml:space="preserve"> </w:t>
      </w:r>
      <w:r>
        <w:t>The</w:t>
      </w:r>
      <w:r w:rsidR="00BF059B">
        <w:t xml:space="preserve"> </w:t>
      </w:r>
      <w:r>
        <w:t>extent</w:t>
      </w:r>
      <w:r w:rsidR="00BF059B">
        <w:t xml:space="preserve"> </w:t>
      </w:r>
      <w:r>
        <w:t>to</w:t>
      </w:r>
      <w:r w:rsidR="00BF059B">
        <w:t xml:space="preserve"> </w:t>
      </w:r>
      <w:r>
        <w:t>which</w:t>
      </w:r>
      <w:r w:rsidR="00BF059B">
        <w:t xml:space="preserve"> </w:t>
      </w:r>
      <w:r>
        <w:t>our</w:t>
      </w:r>
      <w:r w:rsidR="00BF059B">
        <w:t xml:space="preserve"> </w:t>
      </w:r>
      <w:r>
        <w:t>procedures</w:t>
      </w:r>
      <w:r w:rsidR="00BF059B">
        <w:t xml:space="preserve"> </w:t>
      </w:r>
      <w:r>
        <w:t>are</w:t>
      </w:r>
      <w:r w:rsidR="00BF059B">
        <w:t xml:space="preserve"> </w:t>
      </w:r>
      <w:r>
        <w:t>capable</w:t>
      </w:r>
      <w:r w:rsidR="00BF059B">
        <w:t xml:space="preserve"> </w:t>
      </w:r>
      <w:r>
        <w:t>of</w:t>
      </w:r>
      <w:r w:rsidR="00BF059B">
        <w:t xml:space="preserve"> </w:t>
      </w:r>
      <w:r>
        <w:t>detecting</w:t>
      </w:r>
      <w:r w:rsidR="00BF059B">
        <w:t xml:space="preserve"> </w:t>
      </w:r>
      <w:r>
        <w:t>irregularities,</w:t>
      </w:r>
      <w:r w:rsidR="00BF059B">
        <w:t xml:space="preserve"> </w:t>
      </w:r>
      <w:r>
        <w:t>including</w:t>
      </w:r>
      <w:r w:rsidR="00BF059B">
        <w:t xml:space="preserve"> </w:t>
      </w:r>
      <w:r>
        <w:t>fraud</w:t>
      </w:r>
      <w:r w:rsidR="00BF059B">
        <w:t xml:space="preserve"> </w:t>
      </w:r>
      <w:r>
        <w:t>is</w:t>
      </w:r>
      <w:r w:rsidR="00BF059B">
        <w:t xml:space="preserve"> </w:t>
      </w:r>
      <w:r>
        <w:t>detailed</w:t>
      </w:r>
      <w:r w:rsidR="00BF059B">
        <w:t xml:space="preserve"> </w:t>
      </w:r>
      <w:r>
        <w:t>below.</w:t>
      </w:r>
    </w:p>
    <w:p w14:paraId="57D98FE9" w14:textId="77777777" w:rsidR="00BE13A8" w:rsidRDefault="00BE13A8" w:rsidP="00DE30D3">
      <w:pPr>
        <w:rPr>
          <w:highlight w:val="yellow"/>
        </w:rPr>
      </w:pPr>
    </w:p>
    <w:p w14:paraId="5072C20C" w14:textId="2285EA96" w:rsidR="00BE13A8" w:rsidRDefault="00D70530" w:rsidP="00DE30D3">
      <w:r>
        <w:t>The</w:t>
      </w:r>
      <w:r w:rsidR="00BF059B">
        <w:t xml:space="preserve"> </w:t>
      </w:r>
      <w:r>
        <w:t>objectives</w:t>
      </w:r>
      <w:r w:rsidR="00BF059B">
        <w:t xml:space="preserve"> </w:t>
      </w:r>
      <w:r>
        <w:t>of</w:t>
      </w:r>
      <w:r w:rsidR="00BF059B">
        <w:t xml:space="preserve"> </w:t>
      </w:r>
      <w:r>
        <w:t>our</w:t>
      </w:r>
      <w:r w:rsidR="00BF059B">
        <w:t xml:space="preserve"> </w:t>
      </w:r>
      <w:r>
        <w:t>audit</w:t>
      </w:r>
      <w:r w:rsidR="00BF059B">
        <w:t xml:space="preserve"> </w:t>
      </w:r>
      <w:r>
        <w:t>in</w:t>
      </w:r>
      <w:r w:rsidR="00BF059B">
        <w:t xml:space="preserve"> </w:t>
      </w:r>
      <w:r>
        <w:t>respect</w:t>
      </w:r>
      <w:r w:rsidR="00BF059B">
        <w:t xml:space="preserve"> </w:t>
      </w:r>
      <w:r>
        <w:t>of</w:t>
      </w:r>
      <w:r w:rsidR="00BF059B">
        <w:t xml:space="preserve"> </w:t>
      </w:r>
      <w:r>
        <w:t>fraud,</w:t>
      </w:r>
      <w:r w:rsidR="00BF059B">
        <w:t xml:space="preserve"> </w:t>
      </w:r>
      <w:r>
        <w:t>are;</w:t>
      </w:r>
      <w:r w:rsidR="00BF059B">
        <w:t xml:space="preserve"> </w:t>
      </w:r>
      <w:r>
        <w:t>to</w:t>
      </w:r>
      <w:r w:rsidR="00BF059B">
        <w:t xml:space="preserve"> </w:t>
      </w:r>
      <w:r>
        <w:t>identify</w:t>
      </w:r>
      <w:r w:rsidR="00BF059B">
        <w:t xml:space="preserve"> </w:t>
      </w:r>
      <w:r>
        <w:t>and</w:t>
      </w:r>
      <w:r w:rsidR="00BF059B">
        <w:t xml:space="preserve"> </w:t>
      </w:r>
      <w:r>
        <w:t>assess</w:t>
      </w:r>
      <w:r w:rsidR="00BF059B">
        <w:t xml:space="preserve"> </w:t>
      </w:r>
      <w:r>
        <w:t>the</w:t>
      </w:r>
      <w:r w:rsidR="00BF059B">
        <w:t xml:space="preserve"> </w:t>
      </w:r>
      <w:r>
        <w:t>risks</w:t>
      </w:r>
      <w:r w:rsidR="00BF059B">
        <w:t xml:space="preserve"> </w:t>
      </w:r>
      <w:r>
        <w:t>of</w:t>
      </w:r>
      <w:r w:rsidR="00BF059B">
        <w:t xml:space="preserve"> </w:t>
      </w:r>
      <w:r>
        <w:t>material</w:t>
      </w:r>
      <w:r w:rsidR="00BF059B">
        <w:t xml:space="preserve"> </w:t>
      </w:r>
      <w:r>
        <w:t>misstatement</w:t>
      </w:r>
      <w:r w:rsidR="00BF059B">
        <w:t xml:space="preserve"> </w:t>
      </w:r>
      <w:r>
        <w:t>of</w:t>
      </w:r>
      <w:r w:rsidR="00BF059B">
        <w:t xml:space="preserve"> </w:t>
      </w:r>
      <w:r>
        <w:t>the</w:t>
      </w:r>
      <w:r w:rsidR="00BF059B">
        <w:t xml:space="preserve"> </w:t>
      </w:r>
      <w:r>
        <w:t>financial</w:t>
      </w:r>
      <w:r w:rsidR="00BF059B">
        <w:t xml:space="preserve"> </w:t>
      </w:r>
      <w:r>
        <w:t>statements</w:t>
      </w:r>
      <w:r w:rsidR="00BF059B">
        <w:t xml:space="preserve"> </w:t>
      </w:r>
      <w:r>
        <w:t>due</w:t>
      </w:r>
      <w:r w:rsidR="00BF059B">
        <w:t xml:space="preserve"> </w:t>
      </w:r>
      <w:r>
        <w:t>to</w:t>
      </w:r>
      <w:r w:rsidR="00BF059B">
        <w:t xml:space="preserve"> </w:t>
      </w:r>
      <w:r>
        <w:t>fraud;</w:t>
      </w:r>
      <w:r w:rsidR="00BF059B">
        <w:t xml:space="preserve"> </w:t>
      </w:r>
      <w:r>
        <w:t>to</w:t>
      </w:r>
      <w:r w:rsidR="00BF059B">
        <w:t xml:space="preserve"> </w:t>
      </w:r>
      <w:r>
        <w:t>obtain</w:t>
      </w:r>
      <w:r w:rsidR="00BF059B">
        <w:t xml:space="preserve"> </w:t>
      </w:r>
      <w:r>
        <w:t>sufficient</w:t>
      </w:r>
      <w:r w:rsidR="00BF059B">
        <w:t xml:space="preserve"> </w:t>
      </w:r>
      <w:r>
        <w:t>appropriate</w:t>
      </w:r>
      <w:r w:rsidR="00BF059B">
        <w:t xml:space="preserve"> </w:t>
      </w:r>
      <w:r>
        <w:t>audit</w:t>
      </w:r>
      <w:r w:rsidR="00BF059B">
        <w:t xml:space="preserve"> </w:t>
      </w:r>
      <w:r>
        <w:t>evidence</w:t>
      </w:r>
      <w:r w:rsidR="00BF059B">
        <w:t xml:space="preserve"> </w:t>
      </w:r>
      <w:r>
        <w:t>regarding</w:t>
      </w:r>
      <w:r w:rsidR="00BF059B">
        <w:t xml:space="preserve"> </w:t>
      </w:r>
      <w:r>
        <w:t>the</w:t>
      </w:r>
      <w:r w:rsidR="00BF059B">
        <w:t xml:space="preserve"> </w:t>
      </w:r>
      <w:r>
        <w:t>assessed</w:t>
      </w:r>
      <w:r w:rsidR="00BF059B">
        <w:t xml:space="preserve"> </w:t>
      </w:r>
      <w:r>
        <w:t>risks</w:t>
      </w:r>
      <w:r w:rsidR="00BF059B">
        <w:t xml:space="preserve"> </w:t>
      </w:r>
      <w:r>
        <w:t>of</w:t>
      </w:r>
      <w:r w:rsidR="00BF059B">
        <w:t xml:space="preserve"> </w:t>
      </w:r>
      <w:r>
        <w:t>material</w:t>
      </w:r>
      <w:r w:rsidR="00BF059B">
        <w:t xml:space="preserve"> </w:t>
      </w:r>
      <w:r>
        <w:t>misstatement</w:t>
      </w:r>
      <w:r w:rsidR="00BF059B">
        <w:t xml:space="preserve"> </w:t>
      </w:r>
      <w:r>
        <w:t>due</w:t>
      </w:r>
      <w:r w:rsidR="00BF059B">
        <w:t xml:space="preserve"> </w:t>
      </w:r>
      <w:r>
        <w:t>to</w:t>
      </w:r>
      <w:r w:rsidR="00BF059B">
        <w:t xml:space="preserve"> </w:t>
      </w:r>
      <w:r>
        <w:t>fraud,</w:t>
      </w:r>
      <w:r w:rsidR="00BF059B">
        <w:t xml:space="preserve"> </w:t>
      </w:r>
      <w:r>
        <w:t>through</w:t>
      </w:r>
      <w:r w:rsidR="00BF059B">
        <w:t xml:space="preserve"> </w:t>
      </w:r>
      <w:r>
        <w:t>designing</w:t>
      </w:r>
      <w:r w:rsidR="00BF059B">
        <w:t xml:space="preserve"> </w:t>
      </w:r>
      <w:r>
        <w:t>and</w:t>
      </w:r>
      <w:r w:rsidR="00BF059B">
        <w:t xml:space="preserve"> </w:t>
      </w:r>
      <w:r>
        <w:t>implementing</w:t>
      </w:r>
      <w:r w:rsidR="00BF059B">
        <w:t xml:space="preserve"> </w:t>
      </w:r>
      <w:r>
        <w:t>appropriate</w:t>
      </w:r>
      <w:r w:rsidR="00BF059B">
        <w:t xml:space="preserve"> </w:t>
      </w:r>
      <w:r>
        <w:t>responses</w:t>
      </w:r>
      <w:r w:rsidR="00BF059B">
        <w:t xml:space="preserve"> </w:t>
      </w:r>
      <w:r>
        <w:t>to</w:t>
      </w:r>
      <w:r w:rsidR="00BF059B">
        <w:t xml:space="preserve"> </w:t>
      </w:r>
      <w:r>
        <w:t>those</w:t>
      </w:r>
      <w:r w:rsidR="00BF059B">
        <w:t xml:space="preserve"> </w:t>
      </w:r>
      <w:r>
        <w:t>assessed</w:t>
      </w:r>
      <w:r w:rsidR="00BF059B">
        <w:t xml:space="preserve"> </w:t>
      </w:r>
      <w:r>
        <w:t>risks;</w:t>
      </w:r>
      <w:r w:rsidR="00BF059B">
        <w:t xml:space="preserve"> </w:t>
      </w:r>
      <w:r>
        <w:t>and</w:t>
      </w:r>
      <w:r w:rsidR="00BF059B">
        <w:t xml:space="preserve"> </w:t>
      </w:r>
      <w:r>
        <w:t>to</w:t>
      </w:r>
      <w:r w:rsidR="00BF059B">
        <w:t xml:space="preserve"> </w:t>
      </w:r>
      <w:r>
        <w:t>respond</w:t>
      </w:r>
      <w:r w:rsidR="00BF059B">
        <w:t xml:space="preserve"> </w:t>
      </w:r>
      <w:r>
        <w:t>appropriately</w:t>
      </w:r>
      <w:r w:rsidR="00BF059B">
        <w:t xml:space="preserve"> </w:t>
      </w:r>
      <w:r>
        <w:t>to</w:t>
      </w:r>
      <w:r w:rsidR="00BF059B">
        <w:t xml:space="preserve"> </w:t>
      </w:r>
      <w:r>
        <w:t>instances</w:t>
      </w:r>
      <w:r w:rsidR="00BF059B">
        <w:t xml:space="preserve"> </w:t>
      </w:r>
      <w:r>
        <w:t>of</w:t>
      </w:r>
      <w:r w:rsidR="00BF059B">
        <w:t xml:space="preserve"> </w:t>
      </w:r>
      <w:r>
        <w:t>fraud</w:t>
      </w:r>
      <w:r w:rsidR="00BF059B">
        <w:t xml:space="preserve"> </w:t>
      </w:r>
      <w:r>
        <w:t>or</w:t>
      </w:r>
      <w:r w:rsidR="00BF059B">
        <w:t xml:space="preserve"> </w:t>
      </w:r>
      <w:r>
        <w:t>suspected</w:t>
      </w:r>
      <w:r w:rsidR="00BF059B">
        <w:t xml:space="preserve"> </w:t>
      </w:r>
      <w:r>
        <w:t>fraud</w:t>
      </w:r>
      <w:r w:rsidR="00BF059B">
        <w:t xml:space="preserve"> </w:t>
      </w:r>
      <w:r>
        <w:t>identified</w:t>
      </w:r>
      <w:r w:rsidR="00BF059B">
        <w:t xml:space="preserve"> </w:t>
      </w:r>
      <w:r>
        <w:t>during</w:t>
      </w:r>
      <w:r w:rsidR="00BF059B">
        <w:t xml:space="preserve"> </w:t>
      </w:r>
      <w:r>
        <w:t>the</w:t>
      </w:r>
      <w:r w:rsidR="00BF059B">
        <w:t xml:space="preserve"> </w:t>
      </w:r>
      <w:r>
        <w:t>audit.</w:t>
      </w:r>
      <w:r w:rsidR="00BF059B">
        <w:t xml:space="preserve"> </w:t>
      </w:r>
      <w:r>
        <w:t>However,</w:t>
      </w:r>
      <w:r w:rsidR="00BF059B">
        <w:t xml:space="preserve"> </w:t>
      </w:r>
      <w:r>
        <w:t>the</w:t>
      </w:r>
      <w:r w:rsidR="00BF059B">
        <w:t xml:space="preserve"> </w:t>
      </w:r>
      <w:r>
        <w:t>primary</w:t>
      </w:r>
      <w:r w:rsidR="00BF059B">
        <w:t xml:space="preserve"> </w:t>
      </w:r>
      <w:r>
        <w:t>responsibility</w:t>
      </w:r>
      <w:r w:rsidR="00BF059B">
        <w:t xml:space="preserve"> </w:t>
      </w:r>
      <w:r>
        <w:t>for</w:t>
      </w:r>
      <w:r w:rsidR="00BF059B">
        <w:t xml:space="preserve"> </w:t>
      </w:r>
      <w:r>
        <w:t>the</w:t>
      </w:r>
      <w:r w:rsidR="00BF059B">
        <w:t xml:space="preserve"> </w:t>
      </w:r>
      <w:r>
        <w:t>prevention</w:t>
      </w:r>
      <w:r w:rsidR="00BF059B">
        <w:t xml:space="preserve"> </w:t>
      </w:r>
      <w:r>
        <w:t>and</w:t>
      </w:r>
      <w:r w:rsidR="00BF059B">
        <w:t xml:space="preserve"> </w:t>
      </w:r>
      <w:r>
        <w:t>detection</w:t>
      </w:r>
      <w:r w:rsidR="00BF059B">
        <w:t xml:space="preserve"> </w:t>
      </w:r>
      <w:r>
        <w:t>of</w:t>
      </w:r>
      <w:r w:rsidR="00BF059B">
        <w:t xml:space="preserve"> </w:t>
      </w:r>
      <w:r>
        <w:t>fraud</w:t>
      </w:r>
      <w:r w:rsidR="00BF059B">
        <w:t xml:space="preserve"> </w:t>
      </w:r>
      <w:r>
        <w:t>rests</w:t>
      </w:r>
      <w:r w:rsidR="00BF059B">
        <w:t xml:space="preserve"> </w:t>
      </w:r>
      <w:r>
        <w:t>with</w:t>
      </w:r>
      <w:r w:rsidR="00BF059B">
        <w:t xml:space="preserve"> </w:t>
      </w:r>
      <w:r>
        <w:t>both</w:t>
      </w:r>
      <w:r w:rsidR="00BF059B">
        <w:t xml:space="preserve"> </w:t>
      </w:r>
      <w:r>
        <w:t>management</w:t>
      </w:r>
      <w:r w:rsidR="00BF059B">
        <w:t xml:space="preserve"> </w:t>
      </w:r>
      <w:r>
        <w:t>and</w:t>
      </w:r>
      <w:r w:rsidR="00BF059B">
        <w:t xml:space="preserve"> </w:t>
      </w:r>
      <w:r>
        <w:t>those</w:t>
      </w:r>
      <w:r w:rsidR="00BF059B">
        <w:t xml:space="preserve"> </w:t>
      </w:r>
      <w:r>
        <w:t>charged</w:t>
      </w:r>
      <w:r w:rsidR="00BF059B">
        <w:t xml:space="preserve"> </w:t>
      </w:r>
      <w:r>
        <w:t>with</w:t>
      </w:r>
      <w:r w:rsidR="00BF059B">
        <w:t xml:space="preserve"> </w:t>
      </w:r>
      <w:r>
        <w:t>governance</w:t>
      </w:r>
      <w:r w:rsidR="00BF059B">
        <w:t xml:space="preserve"> </w:t>
      </w:r>
      <w:r>
        <w:t>of</w:t>
      </w:r>
      <w:r w:rsidR="00BF059B">
        <w:t xml:space="preserve"> </w:t>
      </w:r>
      <w:r>
        <w:t>the</w:t>
      </w:r>
      <w:r w:rsidR="00BF059B">
        <w:t xml:space="preserve"> </w:t>
      </w:r>
      <w:r>
        <w:t>charitable</w:t>
      </w:r>
      <w:r w:rsidR="00BF059B">
        <w:t xml:space="preserve"> </w:t>
      </w:r>
      <w:r>
        <w:t>company.</w:t>
      </w:r>
    </w:p>
    <w:p w14:paraId="5D8B2F7B" w14:textId="77777777" w:rsidR="00BE13A8" w:rsidRDefault="00BE13A8" w:rsidP="00DE30D3"/>
    <w:p w14:paraId="3FA97BD1" w14:textId="631E0E9A" w:rsidR="00BE13A8" w:rsidRDefault="00D70530" w:rsidP="00DE30D3">
      <w:r>
        <w:t>Our</w:t>
      </w:r>
      <w:r w:rsidR="00BF059B">
        <w:t xml:space="preserve"> </w:t>
      </w:r>
      <w:r>
        <w:t>approach</w:t>
      </w:r>
      <w:r w:rsidR="00BF059B">
        <w:t xml:space="preserve"> </w:t>
      </w:r>
      <w:r>
        <w:t>was</w:t>
      </w:r>
      <w:r w:rsidR="00BF059B">
        <w:t xml:space="preserve"> </w:t>
      </w:r>
      <w:r>
        <w:t>as</w:t>
      </w:r>
      <w:r w:rsidR="00BF059B">
        <w:t xml:space="preserve"> </w:t>
      </w:r>
      <w:r>
        <w:t>follows:</w:t>
      </w:r>
    </w:p>
    <w:p w14:paraId="63FFDD9C" w14:textId="2618F45B" w:rsidR="00BE13A8" w:rsidRDefault="00D70530" w:rsidP="00DE30D3">
      <w:pPr>
        <w:numPr>
          <w:ilvl w:val="0"/>
          <w:numId w:val="5"/>
        </w:numPr>
      </w:pPr>
      <w:r>
        <w:t>We</w:t>
      </w:r>
      <w:r w:rsidR="00BF059B">
        <w:t xml:space="preserve"> </w:t>
      </w:r>
      <w:r>
        <w:t>obtained</w:t>
      </w:r>
      <w:r w:rsidR="00BF059B">
        <w:t xml:space="preserve"> </w:t>
      </w:r>
      <w:r>
        <w:t>an</w:t>
      </w:r>
      <w:r w:rsidR="00BF059B">
        <w:t xml:space="preserve"> </w:t>
      </w:r>
      <w:r>
        <w:t>understanding</w:t>
      </w:r>
      <w:r w:rsidR="00BF059B">
        <w:t xml:space="preserve"> </w:t>
      </w:r>
      <w:r>
        <w:t>of</w:t>
      </w:r>
      <w:r w:rsidR="00BF059B">
        <w:t xml:space="preserve"> </w:t>
      </w:r>
      <w:r>
        <w:t>the</w:t>
      </w:r>
      <w:r w:rsidR="00BF059B">
        <w:t xml:space="preserve"> </w:t>
      </w:r>
      <w:r>
        <w:t>legal</w:t>
      </w:r>
      <w:r w:rsidR="00BF059B">
        <w:t xml:space="preserve"> </w:t>
      </w:r>
      <w:r>
        <w:t>and</w:t>
      </w:r>
      <w:r w:rsidR="00BF059B">
        <w:t xml:space="preserve"> </w:t>
      </w:r>
      <w:r>
        <w:t>regulatory</w:t>
      </w:r>
      <w:r w:rsidR="00BF059B">
        <w:t xml:space="preserve"> </w:t>
      </w:r>
      <w:r>
        <w:t>requirements</w:t>
      </w:r>
      <w:r w:rsidR="00BF059B">
        <w:t xml:space="preserve"> </w:t>
      </w:r>
      <w:r>
        <w:t>applicable</w:t>
      </w:r>
      <w:r w:rsidR="00BF059B">
        <w:t xml:space="preserve"> </w:t>
      </w:r>
      <w:r>
        <w:t>to</w:t>
      </w:r>
      <w:r w:rsidR="00BF059B">
        <w:t xml:space="preserve"> </w:t>
      </w:r>
      <w:r>
        <w:t>the</w:t>
      </w:r>
      <w:r w:rsidR="00BF059B">
        <w:t xml:space="preserve"> </w:t>
      </w:r>
      <w:r>
        <w:t>charitable</w:t>
      </w:r>
      <w:r w:rsidR="00BF059B">
        <w:t xml:space="preserve"> </w:t>
      </w:r>
      <w:r>
        <w:t>company</w:t>
      </w:r>
      <w:r w:rsidR="00BF059B">
        <w:t xml:space="preserve"> </w:t>
      </w:r>
      <w:r>
        <w:t>and</w:t>
      </w:r>
      <w:r w:rsidR="00BF059B">
        <w:t xml:space="preserve"> </w:t>
      </w:r>
      <w:r>
        <w:t>considered</w:t>
      </w:r>
      <w:r w:rsidR="00BF059B">
        <w:t xml:space="preserve"> </w:t>
      </w:r>
      <w:r>
        <w:t>that</w:t>
      </w:r>
      <w:r w:rsidR="00BF059B">
        <w:t xml:space="preserve"> </w:t>
      </w:r>
      <w:r>
        <w:t>the</w:t>
      </w:r>
      <w:r w:rsidR="00BF059B">
        <w:t xml:space="preserve"> </w:t>
      </w:r>
      <w:r>
        <w:t>most</w:t>
      </w:r>
      <w:r w:rsidR="00BF059B">
        <w:t xml:space="preserve"> </w:t>
      </w:r>
      <w:r>
        <w:t>significant</w:t>
      </w:r>
      <w:r w:rsidR="00BF059B">
        <w:t xml:space="preserve"> </w:t>
      </w:r>
      <w:r>
        <w:t>are</w:t>
      </w:r>
      <w:r w:rsidR="00BF059B">
        <w:t xml:space="preserve"> </w:t>
      </w:r>
      <w:r>
        <w:t>the</w:t>
      </w:r>
      <w:r w:rsidR="00BF059B">
        <w:t xml:space="preserve"> </w:t>
      </w:r>
      <w:r>
        <w:t>Companies</w:t>
      </w:r>
      <w:r w:rsidR="00BF059B">
        <w:t xml:space="preserve"> </w:t>
      </w:r>
      <w:r>
        <w:t>Act</w:t>
      </w:r>
      <w:r w:rsidR="00BF059B">
        <w:t xml:space="preserve"> </w:t>
      </w:r>
      <w:r>
        <w:t>2006,</w:t>
      </w:r>
      <w:r w:rsidR="00BF059B">
        <w:t xml:space="preserve"> </w:t>
      </w:r>
      <w:r>
        <w:t>the</w:t>
      </w:r>
      <w:r w:rsidR="00BF059B">
        <w:t xml:space="preserve"> </w:t>
      </w:r>
      <w:r>
        <w:t>Charities</w:t>
      </w:r>
      <w:r w:rsidR="00BF059B">
        <w:t xml:space="preserve"> </w:t>
      </w:r>
      <w:r>
        <w:t>Act</w:t>
      </w:r>
      <w:r w:rsidR="00BF059B">
        <w:t xml:space="preserve"> </w:t>
      </w:r>
      <w:r>
        <w:t>2011,</w:t>
      </w:r>
      <w:r w:rsidR="00BF059B">
        <w:t xml:space="preserve"> </w:t>
      </w:r>
      <w:r>
        <w:t>the</w:t>
      </w:r>
      <w:r w:rsidR="00BF059B">
        <w:t xml:space="preserve"> </w:t>
      </w:r>
      <w:r>
        <w:t>Charity</w:t>
      </w:r>
      <w:r w:rsidR="00BF059B">
        <w:t xml:space="preserve"> </w:t>
      </w:r>
      <w:r>
        <w:t>SORP,</w:t>
      </w:r>
      <w:r w:rsidR="00BF059B">
        <w:t xml:space="preserve"> </w:t>
      </w:r>
      <w:r>
        <w:t>and</w:t>
      </w:r>
      <w:r w:rsidR="00BF059B">
        <w:t xml:space="preserve"> </w:t>
      </w:r>
      <w:r>
        <w:t>UK</w:t>
      </w:r>
      <w:r w:rsidR="00BF059B">
        <w:t xml:space="preserve"> </w:t>
      </w:r>
      <w:r>
        <w:t>financial</w:t>
      </w:r>
      <w:r w:rsidR="00BF059B">
        <w:t xml:space="preserve"> </w:t>
      </w:r>
      <w:r>
        <w:t>reporting</w:t>
      </w:r>
      <w:r w:rsidR="00BF059B">
        <w:t xml:space="preserve"> </w:t>
      </w:r>
      <w:r>
        <w:t>standards</w:t>
      </w:r>
      <w:r w:rsidR="00BF059B">
        <w:t xml:space="preserve"> </w:t>
      </w:r>
      <w:r>
        <w:t>as</w:t>
      </w:r>
      <w:r w:rsidR="00BF059B">
        <w:t xml:space="preserve"> </w:t>
      </w:r>
      <w:r>
        <w:t>issued</w:t>
      </w:r>
      <w:r w:rsidR="00BF059B">
        <w:t xml:space="preserve"> </w:t>
      </w:r>
      <w:r>
        <w:t>by</w:t>
      </w:r>
      <w:r w:rsidR="00BF059B">
        <w:t xml:space="preserve"> </w:t>
      </w:r>
      <w:r>
        <w:t>the</w:t>
      </w:r>
      <w:r w:rsidR="00BF059B">
        <w:t xml:space="preserve"> </w:t>
      </w:r>
      <w:r>
        <w:t>Financial</w:t>
      </w:r>
      <w:r w:rsidR="00BF059B">
        <w:t xml:space="preserve"> </w:t>
      </w:r>
      <w:r>
        <w:t>Reporting</w:t>
      </w:r>
      <w:r w:rsidR="00BF059B">
        <w:t xml:space="preserve"> </w:t>
      </w:r>
      <w:r>
        <w:t>Council.</w:t>
      </w:r>
    </w:p>
    <w:p w14:paraId="69E59DF5" w14:textId="1ACEC43B" w:rsidR="00BE13A8" w:rsidRDefault="00D70530" w:rsidP="00DE30D3">
      <w:pPr>
        <w:numPr>
          <w:ilvl w:val="0"/>
          <w:numId w:val="5"/>
        </w:numPr>
      </w:pPr>
      <w:r>
        <w:t>We</w:t>
      </w:r>
      <w:r w:rsidR="00BF059B">
        <w:t xml:space="preserve"> </w:t>
      </w:r>
      <w:r>
        <w:t>obtained</w:t>
      </w:r>
      <w:r w:rsidR="00BF059B">
        <w:t xml:space="preserve"> </w:t>
      </w:r>
      <w:r>
        <w:t>an</w:t>
      </w:r>
      <w:r w:rsidR="00BF059B">
        <w:t xml:space="preserve"> </w:t>
      </w:r>
      <w:r>
        <w:t>understanding</w:t>
      </w:r>
      <w:r w:rsidR="00BF059B">
        <w:t xml:space="preserve"> </w:t>
      </w:r>
      <w:r>
        <w:t>of</w:t>
      </w:r>
      <w:r w:rsidR="00BF059B">
        <w:t xml:space="preserve"> </w:t>
      </w:r>
      <w:r>
        <w:t>how</w:t>
      </w:r>
      <w:r w:rsidR="00BF059B">
        <w:t xml:space="preserve"> </w:t>
      </w:r>
      <w:r>
        <w:t>the</w:t>
      </w:r>
      <w:r w:rsidR="00BF059B">
        <w:t xml:space="preserve"> </w:t>
      </w:r>
      <w:r>
        <w:t>charitable</w:t>
      </w:r>
      <w:r w:rsidR="00BF059B">
        <w:t xml:space="preserve"> </w:t>
      </w:r>
      <w:r>
        <w:t>company</w:t>
      </w:r>
      <w:r w:rsidR="00BF059B">
        <w:t xml:space="preserve"> </w:t>
      </w:r>
      <w:r>
        <w:t>complies</w:t>
      </w:r>
      <w:r w:rsidR="00BF059B">
        <w:t xml:space="preserve"> </w:t>
      </w:r>
      <w:r>
        <w:t>with</w:t>
      </w:r>
      <w:r w:rsidR="00BF059B">
        <w:t xml:space="preserve"> </w:t>
      </w:r>
      <w:r>
        <w:t>these</w:t>
      </w:r>
      <w:r w:rsidR="00BF059B">
        <w:t xml:space="preserve"> </w:t>
      </w:r>
      <w:r>
        <w:t>requirements</w:t>
      </w:r>
      <w:r w:rsidR="00BF059B">
        <w:t xml:space="preserve"> </w:t>
      </w:r>
      <w:r>
        <w:t>by</w:t>
      </w:r>
      <w:r w:rsidR="00BF059B">
        <w:t xml:space="preserve"> </w:t>
      </w:r>
      <w:r>
        <w:t>discussions</w:t>
      </w:r>
      <w:r w:rsidR="00BF059B">
        <w:t xml:space="preserve"> </w:t>
      </w:r>
      <w:r>
        <w:t>with</w:t>
      </w:r>
      <w:r w:rsidR="00BF059B">
        <w:t xml:space="preserve"> </w:t>
      </w:r>
      <w:r>
        <w:t>management</w:t>
      </w:r>
      <w:r w:rsidR="00BF059B">
        <w:t xml:space="preserve"> </w:t>
      </w:r>
      <w:r>
        <w:t>and</w:t>
      </w:r>
      <w:r w:rsidR="00BF059B">
        <w:t xml:space="preserve"> </w:t>
      </w:r>
      <w:r>
        <w:t>those</w:t>
      </w:r>
      <w:r w:rsidR="00BF059B">
        <w:t xml:space="preserve"> </w:t>
      </w:r>
      <w:r>
        <w:t>charged</w:t>
      </w:r>
      <w:r w:rsidR="00BF059B">
        <w:t xml:space="preserve"> </w:t>
      </w:r>
      <w:r>
        <w:t>with</w:t>
      </w:r>
      <w:r w:rsidR="00BF059B">
        <w:t xml:space="preserve"> </w:t>
      </w:r>
      <w:r>
        <w:t>governance.</w:t>
      </w:r>
    </w:p>
    <w:p w14:paraId="28E9BC9D" w14:textId="3001AFF8" w:rsidR="00BE13A8" w:rsidRDefault="00D70530" w:rsidP="00DE30D3">
      <w:pPr>
        <w:numPr>
          <w:ilvl w:val="0"/>
          <w:numId w:val="5"/>
        </w:numPr>
      </w:pPr>
      <w:r>
        <w:lastRenderedPageBreak/>
        <w:t>We</w:t>
      </w:r>
      <w:r w:rsidR="00BF059B">
        <w:t xml:space="preserve"> </w:t>
      </w:r>
      <w:r>
        <w:t>assessed</w:t>
      </w:r>
      <w:r w:rsidR="00BF059B">
        <w:t xml:space="preserve"> </w:t>
      </w:r>
      <w:r>
        <w:t>the</w:t>
      </w:r>
      <w:r w:rsidR="00BF059B">
        <w:t xml:space="preserve"> </w:t>
      </w:r>
      <w:r>
        <w:t>risk</w:t>
      </w:r>
      <w:r w:rsidR="00BF059B">
        <w:t xml:space="preserve"> </w:t>
      </w:r>
      <w:r>
        <w:t>of</w:t>
      </w:r>
      <w:r w:rsidR="00BF059B">
        <w:t xml:space="preserve"> </w:t>
      </w:r>
      <w:r>
        <w:t>material</w:t>
      </w:r>
      <w:r w:rsidR="00BF059B">
        <w:t xml:space="preserve"> </w:t>
      </w:r>
      <w:r>
        <w:t>misstatement</w:t>
      </w:r>
      <w:r w:rsidR="00BF059B">
        <w:t xml:space="preserve"> </w:t>
      </w:r>
      <w:r>
        <w:t>of</w:t>
      </w:r>
      <w:r w:rsidR="00BF059B">
        <w:t xml:space="preserve"> </w:t>
      </w:r>
      <w:r>
        <w:t>the</w:t>
      </w:r>
      <w:r w:rsidR="00BF059B">
        <w:t xml:space="preserve"> </w:t>
      </w:r>
      <w:r>
        <w:t>financial</w:t>
      </w:r>
      <w:r w:rsidR="00BF059B">
        <w:t xml:space="preserve"> </w:t>
      </w:r>
      <w:r>
        <w:t>statements,</w:t>
      </w:r>
      <w:r w:rsidR="00BF059B">
        <w:t xml:space="preserve"> </w:t>
      </w:r>
      <w:r>
        <w:t>including</w:t>
      </w:r>
      <w:r w:rsidR="00BF059B">
        <w:t xml:space="preserve"> </w:t>
      </w:r>
      <w:r>
        <w:t>the</w:t>
      </w:r>
      <w:r w:rsidR="00BF059B">
        <w:t xml:space="preserve"> </w:t>
      </w:r>
      <w:r>
        <w:t>risk</w:t>
      </w:r>
      <w:r w:rsidR="00BF059B">
        <w:t xml:space="preserve"> </w:t>
      </w:r>
      <w:r>
        <w:t>of</w:t>
      </w:r>
      <w:r w:rsidR="00BF059B">
        <w:t xml:space="preserve"> </w:t>
      </w:r>
      <w:r>
        <w:t>material</w:t>
      </w:r>
      <w:r w:rsidR="00BF059B">
        <w:t xml:space="preserve"> </w:t>
      </w:r>
      <w:r>
        <w:t>misstatement</w:t>
      </w:r>
      <w:r w:rsidR="00BF059B">
        <w:t xml:space="preserve"> </w:t>
      </w:r>
      <w:r>
        <w:t>due</w:t>
      </w:r>
      <w:r w:rsidR="00BF059B">
        <w:t xml:space="preserve"> </w:t>
      </w:r>
      <w:r>
        <w:t>to</w:t>
      </w:r>
      <w:r w:rsidR="00BF059B">
        <w:t xml:space="preserve"> </w:t>
      </w:r>
      <w:r>
        <w:t>fraud</w:t>
      </w:r>
      <w:r w:rsidR="00BF059B">
        <w:t xml:space="preserve"> </w:t>
      </w:r>
      <w:r>
        <w:t>and</w:t>
      </w:r>
      <w:r w:rsidR="00BF059B">
        <w:t xml:space="preserve"> </w:t>
      </w:r>
      <w:r>
        <w:t>how</w:t>
      </w:r>
      <w:r w:rsidR="00BF059B">
        <w:t xml:space="preserve"> </w:t>
      </w:r>
      <w:r>
        <w:t>it</w:t>
      </w:r>
      <w:r w:rsidR="00BF059B">
        <w:t xml:space="preserve"> </w:t>
      </w:r>
      <w:r>
        <w:t>might</w:t>
      </w:r>
      <w:r w:rsidR="00BF059B">
        <w:t xml:space="preserve"> </w:t>
      </w:r>
      <w:r>
        <w:t>occur,</w:t>
      </w:r>
      <w:r w:rsidR="00BF059B">
        <w:t xml:space="preserve"> </w:t>
      </w:r>
      <w:r>
        <w:t>by</w:t>
      </w:r>
      <w:r w:rsidR="00BF059B">
        <w:t xml:space="preserve"> </w:t>
      </w:r>
      <w:r>
        <w:t>holding</w:t>
      </w:r>
      <w:r w:rsidR="00BF059B">
        <w:t xml:space="preserve"> </w:t>
      </w:r>
      <w:r>
        <w:t>discussions</w:t>
      </w:r>
      <w:r w:rsidR="00BF059B">
        <w:t xml:space="preserve"> </w:t>
      </w:r>
      <w:r>
        <w:t>with</w:t>
      </w:r>
      <w:r w:rsidR="00BF059B">
        <w:t xml:space="preserve"> </w:t>
      </w:r>
      <w:r>
        <w:t>management</w:t>
      </w:r>
      <w:r w:rsidR="00BF059B">
        <w:t xml:space="preserve"> </w:t>
      </w:r>
      <w:r>
        <w:t>and</w:t>
      </w:r>
      <w:r w:rsidR="00BF059B">
        <w:t xml:space="preserve"> </w:t>
      </w:r>
      <w:r>
        <w:t>those</w:t>
      </w:r>
      <w:r w:rsidR="00BF059B">
        <w:t xml:space="preserve"> </w:t>
      </w:r>
      <w:r>
        <w:t>charged</w:t>
      </w:r>
      <w:r w:rsidR="00BF059B">
        <w:t xml:space="preserve"> </w:t>
      </w:r>
      <w:r>
        <w:t>with</w:t>
      </w:r>
      <w:r w:rsidR="00BF059B">
        <w:t xml:space="preserve"> </w:t>
      </w:r>
      <w:r>
        <w:t>governance.</w:t>
      </w:r>
    </w:p>
    <w:p w14:paraId="29F58923" w14:textId="13884864" w:rsidR="00BE13A8" w:rsidRDefault="00D70530" w:rsidP="00DE30D3">
      <w:pPr>
        <w:numPr>
          <w:ilvl w:val="0"/>
          <w:numId w:val="5"/>
        </w:numPr>
      </w:pPr>
      <w:r>
        <w:t>We</w:t>
      </w:r>
      <w:r w:rsidR="00BF059B">
        <w:t xml:space="preserve"> </w:t>
      </w:r>
      <w:r>
        <w:t>inquired</w:t>
      </w:r>
      <w:r w:rsidR="00BF059B">
        <w:t xml:space="preserve"> </w:t>
      </w:r>
      <w:r>
        <w:t>of</w:t>
      </w:r>
      <w:r w:rsidR="00BF059B">
        <w:t xml:space="preserve"> </w:t>
      </w:r>
      <w:r>
        <w:t>management</w:t>
      </w:r>
      <w:r w:rsidR="00BF059B">
        <w:t xml:space="preserve"> </w:t>
      </w:r>
      <w:r>
        <w:t>and</w:t>
      </w:r>
      <w:r w:rsidR="00BF059B">
        <w:t xml:space="preserve"> </w:t>
      </w:r>
      <w:r>
        <w:t>those</w:t>
      </w:r>
      <w:r w:rsidR="00BF059B">
        <w:t xml:space="preserve"> </w:t>
      </w:r>
      <w:r>
        <w:t>charged</w:t>
      </w:r>
      <w:r w:rsidR="00BF059B">
        <w:t xml:space="preserve"> </w:t>
      </w:r>
      <w:r>
        <w:t>with</w:t>
      </w:r>
      <w:r w:rsidR="00BF059B">
        <w:t xml:space="preserve"> </w:t>
      </w:r>
      <w:r>
        <w:t>governance</w:t>
      </w:r>
      <w:r w:rsidR="00BF059B">
        <w:t xml:space="preserve"> </w:t>
      </w:r>
      <w:r>
        <w:t>as</w:t>
      </w:r>
      <w:r w:rsidR="00BF059B">
        <w:t xml:space="preserve"> </w:t>
      </w:r>
      <w:r>
        <w:t>to</w:t>
      </w:r>
      <w:r w:rsidR="00BF059B">
        <w:t xml:space="preserve"> </w:t>
      </w:r>
      <w:r>
        <w:t>any</w:t>
      </w:r>
      <w:r w:rsidR="00BF059B">
        <w:t xml:space="preserve"> </w:t>
      </w:r>
      <w:r>
        <w:t>known</w:t>
      </w:r>
      <w:r w:rsidR="00BF059B">
        <w:t xml:space="preserve"> </w:t>
      </w:r>
      <w:r>
        <w:t>instances</w:t>
      </w:r>
      <w:r w:rsidR="00BF059B">
        <w:t xml:space="preserve"> </w:t>
      </w:r>
      <w:r>
        <w:t>of</w:t>
      </w:r>
      <w:r w:rsidR="00BF059B">
        <w:t xml:space="preserve"> </w:t>
      </w:r>
      <w:r>
        <w:t>non-compliance</w:t>
      </w:r>
      <w:r w:rsidR="00BF059B">
        <w:t xml:space="preserve"> </w:t>
      </w:r>
      <w:r>
        <w:t>or</w:t>
      </w:r>
      <w:r w:rsidR="00BF059B">
        <w:t xml:space="preserve"> </w:t>
      </w:r>
      <w:r>
        <w:t>suspected</w:t>
      </w:r>
      <w:r w:rsidR="00BF059B">
        <w:t xml:space="preserve"> </w:t>
      </w:r>
      <w:r>
        <w:t>non-compliance</w:t>
      </w:r>
      <w:r w:rsidR="00BF059B">
        <w:t xml:space="preserve"> </w:t>
      </w:r>
      <w:r>
        <w:t>with</w:t>
      </w:r>
      <w:r w:rsidR="00BF059B">
        <w:t xml:space="preserve"> </w:t>
      </w:r>
      <w:r>
        <w:t>laws</w:t>
      </w:r>
      <w:r w:rsidR="00BF059B">
        <w:t xml:space="preserve"> </w:t>
      </w:r>
      <w:r>
        <w:t>and</w:t>
      </w:r>
      <w:r w:rsidR="00BF059B">
        <w:t xml:space="preserve"> </w:t>
      </w:r>
      <w:r>
        <w:t>regulations.</w:t>
      </w:r>
    </w:p>
    <w:p w14:paraId="4B9ABCBC" w14:textId="71A6F18E" w:rsidR="00BE13A8" w:rsidRDefault="00D70530" w:rsidP="00DE30D3">
      <w:pPr>
        <w:numPr>
          <w:ilvl w:val="0"/>
          <w:numId w:val="5"/>
        </w:numPr>
      </w:pPr>
      <w:r>
        <w:t>Based</w:t>
      </w:r>
      <w:r w:rsidR="00BF059B">
        <w:t xml:space="preserve"> </w:t>
      </w:r>
      <w:r>
        <w:t>on</w:t>
      </w:r>
      <w:r w:rsidR="00BF059B">
        <w:t xml:space="preserve"> </w:t>
      </w:r>
      <w:r>
        <w:t>this</w:t>
      </w:r>
      <w:r w:rsidR="00BF059B">
        <w:t xml:space="preserve"> </w:t>
      </w:r>
      <w:r>
        <w:t>understanding,</w:t>
      </w:r>
      <w:r w:rsidR="00BF059B">
        <w:t xml:space="preserve"> </w:t>
      </w:r>
      <w:r>
        <w:t>we</w:t>
      </w:r>
      <w:r w:rsidR="00BF059B">
        <w:t xml:space="preserve"> </w:t>
      </w:r>
      <w:r>
        <w:t>designed</w:t>
      </w:r>
      <w:r w:rsidR="00BF059B">
        <w:t xml:space="preserve"> </w:t>
      </w:r>
      <w:r>
        <w:t>specific</w:t>
      </w:r>
      <w:r w:rsidR="00BF059B">
        <w:t xml:space="preserve"> </w:t>
      </w:r>
      <w:r>
        <w:t>appropriate</w:t>
      </w:r>
      <w:r w:rsidR="00BF059B">
        <w:t xml:space="preserve"> </w:t>
      </w:r>
      <w:r>
        <w:t>audit</w:t>
      </w:r>
      <w:r w:rsidR="00BF059B">
        <w:t xml:space="preserve"> </w:t>
      </w:r>
      <w:r>
        <w:t>procedures</w:t>
      </w:r>
      <w:r w:rsidR="00BF059B">
        <w:t xml:space="preserve"> </w:t>
      </w:r>
      <w:r>
        <w:t>to</w:t>
      </w:r>
      <w:r w:rsidR="00BF059B">
        <w:t xml:space="preserve"> </w:t>
      </w:r>
      <w:r>
        <w:t>identify</w:t>
      </w:r>
      <w:r w:rsidR="00BF059B">
        <w:t xml:space="preserve"> </w:t>
      </w:r>
      <w:r>
        <w:t>instances</w:t>
      </w:r>
      <w:r w:rsidR="00BF059B">
        <w:t xml:space="preserve"> </w:t>
      </w:r>
      <w:r>
        <w:t>of</w:t>
      </w:r>
      <w:r w:rsidR="00BF059B">
        <w:t xml:space="preserve"> </w:t>
      </w:r>
      <w:r>
        <w:t>non-compliance</w:t>
      </w:r>
      <w:r w:rsidR="00BF059B">
        <w:t xml:space="preserve"> </w:t>
      </w:r>
      <w:r>
        <w:t>with</w:t>
      </w:r>
      <w:r w:rsidR="00BF059B">
        <w:t xml:space="preserve"> </w:t>
      </w:r>
      <w:r>
        <w:t>laws</w:t>
      </w:r>
      <w:r w:rsidR="00BF059B">
        <w:t xml:space="preserve"> </w:t>
      </w:r>
      <w:r>
        <w:t>and</w:t>
      </w:r>
      <w:r w:rsidR="00BF059B">
        <w:t xml:space="preserve"> </w:t>
      </w:r>
      <w:r>
        <w:t>regulations.</w:t>
      </w:r>
      <w:r w:rsidR="00BF059B">
        <w:t xml:space="preserve"> </w:t>
      </w:r>
      <w:r>
        <w:t>This</w:t>
      </w:r>
      <w:r w:rsidR="00BF059B">
        <w:t xml:space="preserve"> </w:t>
      </w:r>
      <w:r>
        <w:t>included</w:t>
      </w:r>
      <w:r w:rsidR="00BF059B">
        <w:t xml:space="preserve"> </w:t>
      </w:r>
      <w:r>
        <w:t>making</w:t>
      </w:r>
      <w:r w:rsidR="00BF059B">
        <w:t xml:space="preserve"> </w:t>
      </w:r>
      <w:r>
        <w:t>enquiries</w:t>
      </w:r>
      <w:r w:rsidR="00BF059B">
        <w:t xml:space="preserve"> </w:t>
      </w:r>
      <w:r>
        <w:t>of</w:t>
      </w:r>
      <w:r w:rsidR="00BF059B">
        <w:t xml:space="preserve"> </w:t>
      </w:r>
      <w:r>
        <w:t>management</w:t>
      </w:r>
      <w:r w:rsidR="00BF059B">
        <w:t xml:space="preserve"> </w:t>
      </w:r>
      <w:r>
        <w:t>and</w:t>
      </w:r>
      <w:r w:rsidR="00BF059B">
        <w:t xml:space="preserve"> </w:t>
      </w:r>
      <w:r>
        <w:t>those</w:t>
      </w:r>
      <w:r w:rsidR="00BF059B">
        <w:t xml:space="preserve"> </w:t>
      </w:r>
      <w:r>
        <w:t>charged</w:t>
      </w:r>
      <w:r w:rsidR="00BF059B">
        <w:t xml:space="preserve"> </w:t>
      </w:r>
      <w:r>
        <w:t>with</w:t>
      </w:r>
      <w:r w:rsidR="00BF059B">
        <w:t xml:space="preserve"> </w:t>
      </w:r>
      <w:r>
        <w:t>governance</w:t>
      </w:r>
      <w:r w:rsidR="00BF059B">
        <w:t xml:space="preserve"> </w:t>
      </w:r>
      <w:r>
        <w:t>and</w:t>
      </w:r>
      <w:r w:rsidR="00BF059B">
        <w:t xml:space="preserve"> </w:t>
      </w:r>
      <w:r>
        <w:t>obtaining</w:t>
      </w:r>
      <w:r w:rsidR="00BF059B">
        <w:t xml:space="preserve"> </w:t>
      </w:r>
      <w:r>
        <w:t>additional</w:t>
      </w:r>
      <w:r w:rsidR="00BF059B">
        <w:t xml:space="preserve"> </w:t>
      </w:r>
      <w:r>
        <w:t>corroborative</w:t>
      </w:r>
      <w:r w:rsidR="00BF059B">
        <w:t xml:space="preserve"> </w:t>
      </w:r>
      <w:r>
        <w:t>evidence</w:t>
      </w:r>
      <w:r w:rsidR="00BF059B">
        <w:t xml:space="preserve"> </w:t>
      </w:r>
      <w:r>
        <w:t>as</w:t>
      </w:r>
      <w:r w:rsidR="00BF059B">
        <w:t xml:space="preserve"> </w:t>
      </w:r>
      <w:r>
        <w:t>required.</w:t>
      </w:r>
    </w:p>
    <w:p w14:paraId="0A475AE8" w14:textId="77777777" w:rsidR="00BE13A8" w:rsidRDefault="00BE13A8" w:rsidP="00DE30D3"/>
    <w:p w14:paraId="6E772B41" w14:textId="51CE4CCA" w:rsidR="00BE13A8" w:rsidRDefault="00D70530" w:rsidP="00DE30D3">
      <w:r>
        <w:t>There</w:t>
      </w:r>
      <w:r w:rsidR="00BF059B">
        <w:t xml:space="preserve"> </w:t>
      </w:r>
      <w:r>
        <w:t>are</w:t>
      </w:r>
      <w:r w:rsidR="00BF059B">
        <w:t xml:space="preserve"> </w:t>
      </w:r>
      <w:r>
        <w:t>inherent</w:t>
      </w:r>
      <w:r w:rsidR="00BF059B">
        <w:t xml:space="preserve"> </w:t>
      </w:r>
      <w:r>
        <w:t>limitations</w:t>
      </w:r>
      <w:r w:rsidR="00BF059B">
        <w:t xml:space="preserve"> </w:t>
      </w:r>
      <w:r>
        <w:t>in</w:t>
      </w:r>
      <w:r w:rsidR="00BF059B">
        <w:t xml:space="preserve"> </w:t>
      </w:r>
      <w:r>
        <w:t>the</w:t>
      </w:r>
      <w:r w:rsidR="00BF059B">
        <w:t xml:space="preserve"> </w:t>
      </w:r>
      <w:r>
        <w:t>audit</w:t>
      </w:r>
      <w:r w:rsidR="00BF059B">
        <w:t xml:space="preserve"> </w:t>
      </w:r>
      <w:r>
        <w:t>procedures</w:t>
      </w:r>
      <w:r w:rsidR="00BF059B">
        <w:t xml:space="preserve"> </w:t>
      </w:r>
      <w:r>
        <w:t>described</w:t>
      </w:r>
      <w:r w:rsidR="00BF059B">
        <w:t xml:space="preserve"> </w:t>
      </w:r>
      <w:r>
        <w:t>above.</w:t>
      </w:r>
      <w:r w:rsidR="00BF059B">
        <w:t xml:space="preserve"> </w:t>
      </w:r>
      <w:r>
        <w:t>We</w:t>
      </w:r>
      <w:r w:rsidR="00BF059B">
        <w:t xml:space="preserve"> </w:t>
      </w:r>
      <w:r>
        <w:t>are</w:t>
      </w:r>
      <w:r w:rsidR="00BF059B">
        <w:t xml:space="preserve"> </w:t>
      </w:r>
      <w:r>
        <w:t>less</w:t>
      </w:r>
      <w:r w:rsidR="00BF059B">
        <w:t xml:space="preserve"> </w:t>
      </w:r>
      <w:r>
        <w:t>likely</w:t>
      </w:r>
      <w:r w:rsidR="00BF059B">
        <w:t xml:space="preserve"> </w:t>
      </w:r>
      <w:r>
        <w:t>to</w:t>
      </w:r>
      <w:r w:rsidR="00BF059B">
        <w:t xml:space="preserve"> </w:t>
      </w:r>
      <w:r>
        <w:t>become</w:t>
      </w:r>
      <w:r w:rsidR="00BF059B">
        <w:t xml:space="preserve"> </w:t>
      </w:r>
      <w:r>
        <w:t>aware</w:t>
      </w:r>
      <w:r w:rsidR="00BF059B">
        <w:t xml:space="preserve"> </w:t>
      </w:r>
      <w:r>
        <w:t>of</w:t>
      </w:r>
      <w:r w:rsidR="00BF059B">
        <w:t xml:space="preserve"> </w:t>
      </w:r>
      <w:r>
        <w:t>instances</w:t>
      </w:r>
      <w:r w:rsidR="00BF059B">
        <w:t xml:space="preserve"> </w:t>
      </w:r>
      <w:r>
        <w:t>of</w:t>
      </w:r>
      <w:r w:rsidR="00BF059B">
        <w:t xml:space="preserve"> </w:t>
      </w:r>
      <w:r>
        <w:t>non-compliance</w:t>
      </w:r>
      <w:r w:rsidR="00BF059B">
        <w:t xml:space="preserve"> </w:t>
      </w:r>
      <w:r>
        <w:t>with</w:t>
      </w:r>
      <w:r w:rsidR="00BF059B">
        <w:t xml:space="preserve"> </w:t>
      </w:r>
      <w:r>
        <w:t>laws</w:t>
      </w:r>
      <w:r w:rsidR="00BF059B">
        <w:t xml:space="preserve"> </w:t>
      </w:r>
      <w:r>
        <w:t>and</w:t>
      </w:r>
      <w:r w:rsidR="00BF059B">
        <w:t xml:space="preserve"> </w:t>
      </w:r>
      <w:r>
        <w:t>regulations</w:t>
      </w:r>
      <w:r w:rsidR="00BF059B">
        <w:t xml:space="preserve"> </w:t>
      </w:r>
      <w:r>
        <w:t>that</w:t>
      </w:r>
      <w:r w:rsidR="00BF059B">
        <w:t xml:space="preserve"> </w:t>
      </w:r>
      <w:r>
        <w:t>are</w:t>
      </w:r>
      <w:r w:rsidR="00BF059B">
        <w:t xml:space="preserve"> </w:t>
      </w:r>
      <w:r>
        <w:t>not</w:t>
      </w:r>
      <w:r w:rsidR="00BF059B">
        <w:t xml:space="preserve"> </w:t>
      </w:r>
      <w:r>
        <w:t>closely</w:t>
      </w:r>
      <w:r w:rsidR="00BF059B">
        <w:t xml:space="preserve"> </w:t>
      </w:r>
      <w:r>
        <w:t>related</w:t>
      </w:r>
      <w:r w:rsidR="00BF059B">
        <w:t xml:space="preserve"> </w:t>
      </w:r>
      <w:r>
        <w:t>to</w:t>
      </w:r>
      <w:r w:rsidR="00BF059B">
        <w:t xml:space="preserve"> </w:t>
      </w:r>
      <w:r>
        <w:t>events</w:t>
      </w:r>
      <w:r w:rsidR="00BF059B">
        <w:t xml:space="preserve"> </w:t>
      </w:r>
      <w:r>
        <w:t>and</w:t>
      </w:r>
      <w:r w:rsidR="00BF059B">
        <w:t xml:space="preserve"> </w:t>
      </w:r>
      <w:r>
        <w:t>transactions</w:t>
      </w:r>
      <w:r w:rsidR="00BF059B">
        <w:t xml:space="preserve"> </w:t>
      </w:r>
      <w:r>
        <w:t>reflected</w:t>
      </w:r>
      <w:r w:rsidR="00BF059B">
        <w:t xml:space="preserve"> </w:t>
      </w:r>
      <w:r>
        <w:t>in</w:t>
      </w:r>
      <w:r w:rsidR="00BF059B">
        <w:t xml:space="preserve"> </w:t>
      </w:r>
      <w:r>
        <w:t>the</w:t>
      </w:r>
      <w:r w:rsidR="00BF059B">
        <w:t xml:space="preserve"> </w:t>
      </w:r>
      <w:r>
        <w:t>financial</w:t>
      </w:r>
      <w:r w:rsidR="00BF059B">
        <w:t xml:space="preserve"> </w:t>
      </w:r>
      <w:r>
        <w:t>statements.</w:t>
      </w:r>
      <w:r w:rsidR="00BF059B">
        <w:t xml:space="preserve"> </w:t>
      </w:r>
      <w:r>
        <w:t>Also,</w:t>
      </w:r>
      <w:r w:rsidR="00BF059B">
        <w:t xml:space="preserve"> </w:t>
      </w:r>
      <w:r>
        <w:t>the</w:t>
      </w:r>
      <w:r w:rsidR="00BF059B">
        <w:t xml:space="preserve"> </w:t>
      </w:r>
      <w:r>
        <w:t>risk</w:t>
      </w:r>
      <w:r w:rsidR="00BF059B">
        <w:t xml:space="preserve"> </w:t>
      </w:r>
      <w:r>
        <w:t>of</w:t>
      </w:r>
      <w:r w:rsidR="00BF059B">
        <w:t xml:space="preserve"> </w:t>
      </w:r>
      <w:r>
        <w:t>not</w:t>
      </w:r>
      <w:r w:rsidR="00BF059B">
        <w:t xml:space="preserve"> </w:t>
      </w:r>
      <w:r>
        <w:t>detecting</w:t>
      </w:r>
      <w:r w:rsidR="00BF059B">
        <w:t xml:space="preserve"> </w:t>
      </w:r>
      <w:r>
        <w:t>a</w:t>
      </w:r>
      <w:r w:rsidR="00BF059B">
        <w:t xml:space="preserve"> </w:t>
      </w:r>
      <w:r>
        <w:t>material</w:t>
      </w:r>
      <w:r w:rsidR="00BF059B">
        <w:t xml:space="preserve"> </w:t>
      </w:r>
      <w:r>
        <w:t>misstatement</w:t>
      </w:r>
      <w:r w:rsidR="00BF059B">
        <w:t xml:space="preserve"> </w:t>
      </w:r>
      <w:r>
        <w:t>due</w:t>
      </w:r>
      <w:r w:rsidR="00BF059B">
        <w:t xml:space="preserve"> </w:t>
      </w:r>
      <w:r>
        <w:t>to</w:t>
      </w:r>
      <w:r w:rsidR="00BF059B">
        <w:t xml:space="preserve"> </w:t>
      </w:r>
      <w:r>
        <w:t>fraud</w:t>
      </w:r>
      <w:r w:rsidR="00BF059B">
        <w:t xml:space="preserve"> </w:t>
      </w:r>
      <w:r>
        <w:t>is</w:t>
      </w:r>
      <w:r w:rsidR="00BF059B">
        <w:t xml:space="preserve"> </w:t>
      </w:r>
      <w:r>
        <w:t>higher</w:t>
      </w:r>
      <w:r w:rsidR="00BF059B">
        <w:t xml:space="preserve"> </w:t>
      </w:r>
      <w:r>
        <w:t>than</w:t>
      </w:r>
      <w:r w:rsidR="00BF059B">
        <w:t xml:space="preserve"> </w:t>
      </w:r>
      <w:r>
        <w:t>the</w:t>
      </w:r>
      <w:r w:rsidR="00BF059B">
        <w:t xml:space="preserve"> </w:t>
      </w:r>
      <w:r>
        <w:t>risk</w:t>
      </w:r>
      <w:r w:rsidR="00BF059B">
        <w:t xml:space="preserve"> </w:t>
      </w:r>
      <w:r>
        <w:t>of</w:t>
      </w:r>
      <w:r w:rsidR="00BF059B">
        <w:t xml:space="preserve"> </w:t>
      </w:r>
      <w:r>
        <w:t>not</w:t>
      </w:r>
      <w:r w:rsidR="00BF059B">
        <w:t xml:space="preserve"> </w:t>
      </w:r>
      <w:r>
        <w:t>detecting</w:t>
      </w:r>
      <w:r w:rsidR="00BF059B">
        <w:t xml:space="preserve"> </w:t>
      </w:r>
      <w:r>
        <w:t>one</w:t>
      </w:r>
      <w:r w:rsidR="00BF059B">
        <w:t xml:space="preserve"> </w:t>
      </w:r>
      <w:r>
        <w:t>resulting</w:t>
      </w:r>
      <w:r w:rsidR="00BF059B">
        <w:t xml:space="preserve"> </w:t>
      </w:r>
      <w:r>
        <w:t>from</w:t>
      </w:r>
      <w:r w:rsidR="00BF059B">
        <w:t xml:space="preserve"> </w:t>
      </w:r>
      <w:r>
        <w:t>error,</w:t>
      </w:r>
      <w:r w:rsidR="00BF059B">
        <w:t xml:space="preserve"> </w:t>
      </w:r>
      <w:r>
        <w:t>as</w:t>
      </w:r>
      <w:r w:rsidR="00BF059B">
        <w:t xml:space="preserve"> </w:t>
      </w:r>
      <w:r>
        <w:t>fraud</w:t>
      </w:r>
      <w:r w:rsidR="00BF059B">
        <w:t xml:space="preserve"> </w:t>
      </w:r>
      <w:r>
        <w:t>may</w:t>
      </w:r>
      <w:r w:rsidR="00BF059B">
        <w:t xml:space="preserve"> </w:t>
      </w:r>
      <w:r>
        <w:t>involve</w:t>
      </w:r>
      <w:r w:rsidR="00BF059B">
        <w:t xml:space="preserve"> </w:t>
      </w:r>
      <w:r>
        <w:t>deliberate</w:t>
      </w:r>
      <w:r w:rsidR="00BF059B">
        <w:t xml:space="preserve"> </w:t>
      </w:r>
      <w:r>
        <w:t>concealment</w:t>
      </w:r>
      <w:r w:rsidR="00BF059B">
        <w:t xml:space="preserve"> </w:t>
      </w:r>
      <w:r>
        <w:t>by,</w:t>
      </w:r>
      <w:r w:rsidR="00BF059B">
        <w:t xml:space="preserve"> </w:t>
      </w:r>
      <w:r>
        <w:t>for</w:t>
      </w:r>
      <w:r w:rsidR="00BF059B">
        <w:t xml:space="preserve"> </w:t>
      </w:r>
      <w:r>
        <w:t>example,</w:t>
      </w:r>
      <w:r w:rsidR="00BF059B">
        <w:t xml:space="preserve"> </w:t>
      </w:r>
      <w:r>
        <w:t>forgery</w:t>
      </w:r>
      <w:r w:rsidR="00BF059B">
        <w:t xml:space="preserve"> </w:t>
      </w:r>
      <w:r>
        <w:t>or</w:t>
      </w:r>
      <w:r w:rsidR="00BF059B">
        <w:t xml:space="preserve"> </w:t>
      </w:r>
      <w:r>
        <w:t>intentional</w:t>
      </w:r>
      <w:r w:rsidR="00BF059B">
        <w:t xml:space="preserve"> </w:t>
      </w:r>
      <w:r>
        <w:t>misrepresentations,</w:t>
      </w:r>
      <w:r w:rsidR="00BF059B">
        <w:t xml:space="preserve"> </w:t>
      </w:r>
      <w:r>
        <w:t>or</w:t>
      </w:r>
      <w:r w:rsidR="00BF059B">
        <w:t xml:space="preserve"> </w:t>
      </w:r>
      <w:r>
        <w:t>through</w:t>
      </w:r>
      <w:r w:rsidR="00BF059B">
        <w:t xml:space="preserve"> </w:t>
      </w:r>
      <w:r>
        <w:t>collusion.</w:t>
      </w:r>
    </w:p>
    <w:p w14:paraId="64BEB806" w14:textId="77777777" w:rsidR="00DE30D3" w:rsidRDefault="00DE30D3" w:rsidP="00DE30D3"/>
    <w:p w14:paraId="6CC3468F" w14:textId="6974B89E" w:rsidR="00BE13A8" w:rsidRDefault="00D70530" w:rsidP="00DE30D3">
      <w:pPr>
        <w:pStyle w:val="Heading3"/>
      </w:pPr>
      <w:r>
        <w:t>Use</w:t>
      </w:r>
      <w:r w:rsidR="00BF059B">
        <w:t xml:space="preserve"> </w:t>
      </w:r>
      <w:r>
        <w:t>of</w:t>
      </w:r>
      <w:r w:rsidR="00BF059B">
        <w:t xml:space="preserve"> </w:t>
      </w:r>
      <w:r>
        <w:t>our</w:t>
      </w:r>
      <w:r w:rsidR="00BF059B">
        <w:t xml:space="preserve"> </w:t>
      </w:r>
      <w:r>
        <w:t>report</w:t>
      </w:r>
    </w:p>
    <w:p w14:paraId="1A76D629" w14:textId="77777777" w:rsidR="00BE13A8" w:rsidRDefault="00BE13A8" w:rsidP="00DE30D3">
      <w:pPr>
        <w:rPr>
          <w:b/>
        </w:rPr>
      </w:pPr>
    </w:p>
    <w:p w14:paraId="3F5ABE4C" w14:textId="70B95CC8" w:rsidR="00BE13A8" w:rsidRDefault="00D70530" w:rsidP="00DE30D3">
      <w:r>
        <w:t>This</w:t>
      </w:r>
      <w:r w:rsidR="00BF059B">
        <w:t xml:space="preserve"> </w:t>
      </w:r>
      <w:r>
        <w:t>report</w:t>
      </w:r>
      <w:r w:rsidR="00BF059B">
        <w:t xml:space="preserve"> </w:t>
      </w:r>
      <w:r>
        <w:t>is</w:t>
      </w:r>
      <w:r w:rsidR="00BF059B">
        <w:t xml:space="preserve"> </w:t>
      </w:r>
      <w:r>
        <w:t>made</w:t>
      </w:r>
      <w:r w:rsidR="00BF059B">
        <w:t xml:space="preserve"> </w:t>
      </w:r>
      <w:r>
        <w:t>solely</w:t>
      </w:r>
      <w:r w:rsidR="00BF059B">
        <w:t xml:space="preserve"> </w:t>
      </w:r>
      <w:r>
        <w:t>to</w:t>
      </w:r>
      <w:r w:rsidR="00BF059B">
        <w:t xml:space="preserve"> </w:t>
      </w:r>
      <w:r>
        <w:t>the</w:t>
      </w:r>
      <w:r w:rsidR="00BF059B">
        <w:t xml:space="preserve"> </w:t>
      </w:r>
      <w:r>
        <w:t>charitable</w:t>
      </w:r>
      <w:r w:rsidR="00BF059B">
        <w:t xml:space="preserve"> </w:t>
      </w:r>
      <w:r>
        <w:t>company's</w:t>
      </w:r>
      <w:r w:rsidR="00BF059B">
        <w:t xml:space="preserve"> </w:t>
      </w:r>
      <w:r>
        <w:t>members,</w:t>
      </w:r>
      <w:r w:rsidR="00BF059B">
        <w:t xml:space="preserve"> </w:t>
      </w:r>
      <w:r>
        <w:t>as</w:t>
      </w:r>
      <w:r w:rsidR="00BF059B">
        <w:t xml:space="preserve"> </w:t>
      </w:r>
      <w:r>
        <w:t>a</w:t>
      </w:r>
      <w:r w:rsidR="00BF059B">
        <w:t xml:space="preserve"> </w:t>
      </w:r>
      <w:r>
        <w:t>body,</w:t>
      </w:r>
      <w:r w:rsidR="00BF059B">
        <w:t xml:space="preserve"> </w:t>
      </w:r>
      <w:r>
        <w:t>in</w:t>
      </w:r>
      <w:r w:rsidR="00BF059B">
        <w:t xml:space="preserve"> </w:t>
      </w:r>
      <w:r>
        <w:t>accordance</w:t>
      </w:r>
      <w:r w:rsidR="00BF059B">
        <w:t xml:space="preserve"> </w:t>
      </w:r>
      <w:r>
        <w:t>with</w:t>
      </w:r>
      <w:r w:rsidR="00BF059B">
        <w:t xml:space="preserve"> </w:t>
      </w:r>
      <w:r>
        <w:t>Chapter</w:t>
      </w:r>
      <w:r w:rsidR="00BF059B">
        <w:t xml:space="preserve"> </w:t>
      </w:r>
      <w:r>
        <w:t>3</w:t>
      </w:r>
      <w:r w:rsidR="00BF059B">
        <w:t xml:space="preserve"> </w:t>
      </w:r>
      <w:r>
        <w:t>of</w:t>
      </w:r>
      <w:r w:rsidR="00BF059B">
        <w:t xml:space="preserve"> </w:t>
      </w:r>
      <w:r>
        <w:t>Part</w:t>
      </w:r>
      <w:r w:rsidR="00BF059B">
        <w:t xml:space="preserve"> </w:t>
      </w:r>
      <w:r>
        <w:t>16</w:t>
      </w:r>
      <w:r w:rsidR="00BF059B">
        <w:t xml:space="preserve"> </w:t>
      </w:r>
      <w:r>
        <w:t>of</w:t>
      </w:r>
      <w:r w:rsidR="00BF059B">
        <w:t xml:space="preserve"> </w:t>
      </w:r>
      <w:r>
        <w:t>the</w:t>
      </w:r>
      <w:r w:rsidR="00BF059B">
        <w:t xml:space="preserve"> </w:t>
      </w:r>
      <w:r>
        <w:t>Companies</w:t>
      </w:r>
      <w:r w:rsidR="00BF059B">
        <w:t xml:space="preserve"> </w:t>
      </w:r>
      <w:r>
        <w:t>Act</w:t>
      </w:r>
      <w:r w:rsidR="00BF059B">
        <w:t xml:space="preserve"> </w:t>
      </w:r>
      <w:r>
        <w:t>2006.</w:t>
      </w:r>
      <w:r w:rsidR="00BF059B">
        <w:t xml:space="preserve"> </w:t>
      </w:r>
      <w:r>
        <w:t>Our</w:t>
      </w:r>
      <w:r w:rsidR="00BF059B">
        <w:t xml:space="preserve"> </w:t>
      </w:r>
      <w:r>
        <w:t>audit</w:t>
      </w:r>
      <w:r w:rsidR="00BF059B">
        <w:t xml:space="preserve"> </w:t>
      </w:r>
      <w:r>
        <w:t>work</w:t>
      </w:r>
      <w:r w:rsidR="00BF059B">
        <w:t xml:space="preserve"> </w:t>
      </w:r>
      <w:r>
        <w:t>has</w:t>
      </w:r>
      <w:r w:rsidR="00BF059B">
        <w:t xml:space="preserve"> </w:t>
      </w:r>
      <w:r>
        <w:t>been</w:t>
      </w:r>
      <w:r w:rsidR="00BF059B">
        <w:t xml:space="preserve"> </w:t>
      </w:r>
      <w:r>
        <w:t>undertaken</w:t>
      </w:r>
      <w:r w:rsidR="00BF059B">
        <w:t xml:space="preserve"> </w:t>
      </w:r>
      <w:r>
        <w:t>so</w:t>
      </w:r>
      <w:r w:rsidR="00BF059B">
        <w:t xml:space="preserve"> </w:t>
      </w:r>
      <w:r>
        <w:t>that</w:t>
      </w:r>
      <w:r w:rsidR="00BF059B">
        <w:t xml:space="preserve"> </w:t>
      </w:r>
      <w:r>
        <w:t>we</w:t>
      </w:r>
      <w:r w:rsidR="00BF059B">
        <w:t xml:space="preserve"> </w:t>
      </w:r>
      <w:r>
        <w:t>might</w:t>
      </w:r>
      <w:r w:rsidR="00BF059B">
        <w:t xml:space="preserve"> </w:t>
      </w:r>
      <w:r>
        <w:t>state</w:t>
      </w:r>
      <w:r w:rsidR="00BF059B">
        <w:t xml:space="preserve"> </w:t>
      </w:r>
      <w:r>
        <w:t>to</w:t>
      </w:r>
      <w:r w:rsidR="00BF059B">
        <w:t xml:space="preserve"> </w:t>
      </w:r>
      <w:r>
        <w:t>the</w:t>
      </w:r>
      <w:r w:rsidR="00BF059B">
        <w:t xml:space="preserve"> </w:t>
      </w:r>
      <w:r>
        <w:t>charitable</w:t>
      </w:r>
      <w:r w:rsidR="00BF059B">
        <w:t xml:space="preserve"> </w:t>
      </w:r>
      <w:r>
        <w:t>company's</w:t>
      </w:r>
      <w:r w:rsidR="00BF059B">
        <w:t xml:space="preserve"> </w:t>
      </w:r>
      <w:r>
        <w:t>members</w:t>
      </w:r>
      <w:r w:rsidR="00BF059B">
        <w:t xml:space="preserve"> </w:t>
      </w:r>
      <w:r>
        <w:t>those</w:t>
      </w:r>
      <w:r w:rsidR="00BF059B">
        <w:t xml:space="preserve"> </w:t>
      </w:r>
      <w:r>
        <w:t>matters</w:t>
      </w:r>
      <w:r w:rsidR="00BF059B">
        <w:t xml:space="preserve"> </w:t>
      </w:r>
      <w:r>
        <w:t>which</w:t>
      </w:r>
      <w:r w:rsidR="00BF059B">
        <w:t xml:space="preserve"> </w:t>
      </w:r>
      <w:r>
        <w:t>we</w:t>
      </w:r>
      <w:r w:rsidR="00BF059B">
        <w:t xml:space="preserve"> </w:t>
      </w:r>
      <w:r>
        <w:t>are</w:t>
      </w:r>
      <w:r w:rsidR="00BF059B">
        <w:t xml:space="preserve"> </w:t>
      </w:r>
      <w:r>
        <w:t>required</w:t>
      </w:r>
      <w:r w:rsidR="00BF059B">
        <w:t xml:space="preserve"> </w:t>
      </w:r>
      <w:r>
        <w:t>to</w:t>
      </w:r>
      <w:r w:rsidR="00BF059B">
        <w:t xml:space="preserve"> </w:t>
      </w:r>
      <w:r>
        <w:t>state</w:t>
      </w:r>
      <w:r w:rsidR="00BF059B">
        <w:t xml:space="preserve"> </w:t>
      </w:r>
      <w:r>
        <w:t>to</w:t>
      </w:r>
      <w:r w:rsidR="00BF059B">
        <w:t xml:space="preserve"> </w:t>
      </w:r>
      <w:r>
        <w:t>them</w:t>
      </w:r>
      <w:r w:rsidR="00BF059B">
        <w:t xml:space="preserve"> </w:t>
      </w:r>
      <w:r>
        <w:t>in</w:t>
      </w:r>
      <w:r w:rsidR="00BF059B">
        <w:t xml:space="preserve"> </w:t>
      </w:r>
      <w:r>
        <w:t>an</w:t>
      </w:r>
      <w:r w:rsidR="00BF059B">
        <w:t xml:space="preserve"> </w:t>
      </w:r>
      <w:r>
        <w:t>auditor's</w:t>
      </w:r>
      <w:r w:rsidR="00BF059B">
        <w:t xml:space="preserve"> </w:t>
      </w:r>
      <w:r>
        <w:t>report</w:t>
      </w:r>
      <w:r w:rsidR="00BF059B">
        <w:t xml:space="preserve"> </w:t>
      </w:r>
      <w:r>
        <w:t>and</w:t>
      </w:r>
      <w:r w:rsidR="00BF059B">
        <w:t xml:space="preserve"> </w:t>
      </w:r>
      <w:r>
        <w:t>for</w:t>
      </w:r>
      <w:r w:rsidR="00BF059B">
        <w:t xml:space="preserve"> </w:t>
      </w:r>
      <w:r>
        <w:t>no</w:t>
      </w:r>
      <w:r w:rsidR="00BF059B">
        <w:t xml:space="preserve"> </w:t>
      </w:r>
      <w:r>
        <w:t>other</w:t>
      </w:r>
      <w:r w:rsidR="00BF059B">
        <w:t xml:space="preserve"> </w:t>
      </w:r>
      <w:r>
        <w:t>purpose.</w:t>
      </w:r>
      <w:r w:rsidR="00BF059B">
        <w:t xml:space="preserve"> </w:t>
      </w:r>
      <w:r>
        <w:t>To</w:t>
      </w:r>
      <w:r w:rsidR="00BF059B">
        <w:t xml:space="preserve"> </w:t>
      </w:r>
      <w:r>
        <w:t>the</w:t>
      </w:r>
      <w:r w:rsidR="00BF059B">
        <w:t xml:space="preserve"> </w:t>
      </w:r>
      <w:r>
        <w:t>fullest</w:t>
      </w:r>
      <w:r w:rsidR="00BF059B">
        <w:t xml:space="preserve"> </w:t>
      </w:r>
      <w:r>
        <w:t>extent</w:t>
      </w:r>
      <w:r w:rsidR="00BF059B">
        <w:t xml:space="preserve"> </w:t>
      </w:r>
      <w:r>
        <w:t>permitted</w:t>
      </w:r>
      <w:r w:rsidR="00BF059B">
        <w:t xml:space="preserve"> </w:t>
      </w:r>
      <w:r>
        <w:t>by</w:t>
      </w:r>
      <w:r w:rsidR="00BF059B">
        <w:t xml:space="preserve"> </w:t>
      </w:r>
      <w:r>
        <w:t>law,</w:t>
      </w:r>
      <w:r w:rsidR="00BF059B">
        <w:t xml:space="preserve"> </w:t>
      </w:r>
      <w:r>
        <w:t>we</w:t>
      </w:r>
      <w:r w:rsidR="00BF059B">
        <w:t xml:space="preserve"> </w:t>
      </w:r>
      <w:r>
        <w:t>do</w:t>
      </w:r>
      <w:r w:rsidR="00BF059B">
        <w:t xml:space="preserve"> </w:t>
      </w:r>
      <w:r>
        <w:t>not</w:t>
      </w:r>
      <w:r w:rsidR="00BF059B">
        <w:t xml:space="preserve"> </w:t>
      </w:r>
      <w:r>
        <w:t>accept</w:t>
      </w:r>
      <w:r w:rsidR="00BF059B">
        <w:t xml:space="preserve"> </w:t>
      </w:r>
      <w:r>
        <w:t>or</w:t>
      </w:r>
      <w:r w:rsidR="00BF059B">
        <w:t xml:space="preserve"> </w:t>
      </w:r>
      <w:r>
        <w:t>assume</w:t>
      </w:r>
      <w:r w:rsidR="00BF059B">
        <w:t xml:space="preserve"> </w:t>
      </w:r>
      <w:r>
        <w:t>responsibility</w:t>
      </w:r>
      <w:r w:rsidR="00BF059B">
        <w:t xml:space="preserve"> </w:t>
      </w:r>
      <w:r>
        <w:t>to</w:t>
      </w:r>
      <w:r w:rsidR="00BF059B">
        <w:t xml:space="preserve"> </w:t>
      </w:r>
      <w:r>
        <w:t>any</w:t>
      </w:r>
      <w:r w:rsidR="00BF059B">
        <w:t xml:space="preserve"> </w:t>
      </w:r>
      <w:r>
        <w:t>party</w:t>
      </w:r>
      <w:r w:rsidR="00BF059B">
        <w:t xml:space="preserve"> </w:t>
      </w:r>
      <w:r>
        <w:t>other</w:t>
      </w:r>
      <w:r w:rsidR="00BF059B">
        <w:t xml:space="preserve"> </w:t>
      </w:r>
      <w:r>
        <w:t>than</w:t>
      </w:r>
      <w:r w:rsidR="00BF059B">
        <w:t xml:space="preserve"> </w:t>
      </w:r>
      <w:r>
        <w:t>the</w:t>
      </w:r>
      <w:r w:rsidR="00BF059B">
        <w:t xml:space="preserve"> </w:t>
      </w:r>
      <w:r>
        <w:t>charitable</w:t>
      </w:r>
      <w:r w:rsidR="00BF059B">
        <w:t xml:space="preserve"> </w:t>
      </w:r>
      <w:r>
        <w:t>company</w:t>
      </w:r>
      <w:r w:rsidR="00BF059B">
        <w:t xml:space="preserve"> </w:t>
      </w:r>
      <w:r>
        <w:t>and</w:t>
      </w:r>
      <w:r w:rsidR="00BF059B">
        <w:t xml:space="preserve"> </w:t>
      </w:r>
      <w:r>
        <w:t>charitable</w:t>
      </w:r>
      <w:r w:rsidR="00BF059B">
        <w:t xml:space="preserve"> </w:t>
      </w:r>
      <w:r>
        <w:t>company's</w:t>
      </w:r>
      <w:r w:rsidR="00BF059B">
        <w:t xml:space="preserve"> </w:t>
      </w:r>
      <w:r>
        <w:t>members</w:t>
      </w:r>
      <w:r w:rsidR="00BF059B">
        <w:t xml:space="preserve"> </w:t>
      </w:r>
      <w:r>
        <w:t>as</w:t>
      </w:r>
      <w:r w:rsidR="00BF059B">
        <w:t xml:space="preserve"> </w:t>
      </w:r>
      <w:r>
        <w:t>a</w:t>
      </w:r>
      <w:r w:rsidR="00BF059B">
        <w:t xml:space="preserve"> </w:t>
      </w:r>
      <w:r>
        <w:t>body,</w:t>
      </w:r>
      <w:r w:rsidR="00BF059B">
        <w:t xml:space="preserve"> </w:t>
      </w:r>
      <w:r>
        <w:t>for</w:t>
      </w:r>
      <w:r w:rsidR="00BF059B">
        <w:t xml:space="preserve"> </w:t>
      </w:r>
      <w:r>
        <w:t>our</w:t>
      </w:r>
      <w:r w:rsidR="00BF059B">
        <w:t xml:space="preserve"> </w:t>
      </w:r>
      <w:r>
        <w:t>audit</w:t>
      </w:r>
      <w:r w:rsidR="00BF059B">
        <w:t xml:space="preserve"> </w:t>
      </w:r>
      <w:r>
        <w:t>work,</w:t>
      </w:r>
      <w:r w:rsidR="00BF059B">
        <w:t xml:space="preserve"> </w:t>
      </w:r>
      <w:r>
        <w:t>for</w:t>
      </w:r>
      <w:r w:rsidR="00BF059B">
        <w:t xml:space="preserve"> </w:t>
      </w:r>
      <w:r>
        <w:t>this</w:t>
      </w:r>
      <w:r w:rsidR="00BF059B">
        <w:t xml:space="preserve"> </w:t>
      </w:r>
      <w:r>
        <w:t>report,</w:t>
      </w:r>
      <w:r w:rsidR="00BF059B">
        <w:t xml:space="preserve"> </w:t>
      </w:r>
      <w:r>
        <w:t>or</w:t>
      </w:r>
      <w:r w:rsidR="00BF059B">
        <w:t xml:space="preserve"> </w:t>
      </w:r>
      <w:r>
        <w:t>for</w:t>
      </w:r>
      <w:r w:rsidR="00BF059B">
        <w:t xml:space="preserve"> </w:t>
      </w:r>
      <w:r>
        <w:t>the</w:t>
      </w:r>
      <w:r w:rsidR="00BF059B">
        <w:t xml:space="preserve"> </w:t>
      </w:r>
      <w:r>
        <w:t>opinions</w:t>
      </w:r>
      <w:r w:rsidR="00BF059B">
        <w:t xml:space="preserve"> </w:t>
      </w:r>
      <w:r>
        <w:t>we</w:t>
      </w:r>
      <w:r w:rsidR="00BF059B">
        <w:t xml:space="preserve"> </w:t>
      </w:r>
      <w:r>
        <w:t>have</w:t>
      </w:r>
      <w:r w:rsidR="00BF059B">
        <w:t xml:space="preserve"> </w:t>
      </w:r>
      <w:r>
        <w:t>formed.</w:t>
      </w:r>
    </w:p>
    <w:p w14:paraId="174337D6" w14:textId="77777777" w:rsidR="00BE13A8" w:rsidRDefault="00BE13A8" w:rsidP="00DE30D3"/>
    <w:p w14:paraId="0F9B4C1E" w14:textId="425909F5" w:rsidR="00BE13A8" w:rsidRDefault="00D70530">
      <w:pPr>
        <w:jc w:val="both"/>
        <w:rPr>
          <w:b/>
        </w:rPr>
      </w:pPr>
      <w:r>
        <w:rPr>
          <w:b/>
        </w:rPr>
        <w:t>Neil</w:t>
      </w:r>
      <w:r w:rsidR="00BF059B">
        <w:rPr>
          <w:b/>
        </w:rPr>
        <w:t xml:space="preserve"> </w:t>
      </w:r>
      <w:r>
        <w:rPr>
          <w:b/>
        </w:rPr>
        <w:t>Finlayson</w:t>
      </w:r>
      <w:r w:rsidR="00BF059B">
        <w:rPr>
          <w:b/>
        </w:rPr>
        <w:t xml:space="preserve"> </w:t>
      </w:r>
      <w:r>
        <w:rPr>
          <w:b/>
        </w:rPr>
        <w:t>(Senior</w:t>
      </w:r>
      <w:r w:rsidR="00BF059B">
        <w:rPr>
          <w:b/>
        </w:rPr>
        <w:t xml:space="preserve"> </w:t>
      </w:r>
      <w:r>
        <w:rPr>
          <w:b/>
        </w:rPr>
        <w:t>Statutory</w:t>
      </w:r>
      <w:r w:rsidR="00BF059B">
        <w:rPr>
          <w:b/>
        </w:rPr>
        <w:t xml:space="preserve"> </w:t>
      </w:r>
      <w:r>
        <w:rPr>
          <w:b/>
        </w:rPr>
        <w:t>Auditor)</w:t>
      </w:r>
    </w:p>
    <w:p w14:paraId="4647311F" w14:textId="34345BB0" w:rsidR="00DE30D3" w:rsidRDefault="00D70530">
      <w:pPr>
        <w:jc w:val="both"/>
      </w:pPr>
      <w:r>
        <w:t>for</w:t>
      </w:r>
      <w:r w:rsidR="00BF059B">
        <w:t xml:space="preserve"> </w:t>
      </w:r>
      <w:r>
        <w:t>and</w:t>
      </w:r>
      <w:r w:rsidR="00BF059B">
        <w:t xml:space="preserve"> </w:t>
      </w:r>
      <w:r>
        <w:t>on</w:t>
      </w:r>
      <w:r w:rsidR="00BF059B">
        <w:t xml:space="preserve"> </w:t>
      </w:r>
      <w:r>
        <w:t>behalf</w:t>
      </w:r>
      <w:r w:rsidR="00BF059B">
        <w:t xml:space="preserve"> </w:t>
      </w:r>
      <w:r>
        <w:t>of</w:t>
      </w:r>
      <w:r w:rsidR="00BF059B">
        <w:t xml:space="preserve"> </w:t>
      </w:r>
      <w:r>
        <w:t>Moore</w:t>
      </w:r>
      <w:r w:rsidR="00BF059B">
        <w:t xml:space="preserve"> </w:t>
      </w:r>
      <w:r>
        <w:t>Kingston</w:t>
      </w:r>
      <w:r w:rsidR="00BF059B">
        <w:t xml:space="preserve"> </w:t>
      </w:r>
      <w:r>
        <w:t>Smith</w:t>
      </w:r>
      <w:r w:rsidR="00BF059B">
        <w:t xml:space="preserve"> </w:t>
      </w:r>
      <w:r>
        <w:t>LLP,</w:t>
      </w:r>
      <w:r w:rsidR="00BF059B">
        <w:t xml:space="preserve"> </w:t>
      </w:r>
      <w:r>
        <w:t>Statutory</w:t>
      </w:r>
      <w:r w:rsidR="00BF059B">
        <w:t xml:space="preserve"> </w:t>
      </w:r>
      <w:r>
        <w:t>Auditor</w:t>
      </w:r>
    </w:p>
    <w:p w14:paraId="53C3D56B" w14:textId="556607D4" w:rsidR="00BE13A8" w:rsidRDefault="00D70530">
      <w:pPr>
        <w:jc w:val="both"/>
      </w:pPr>
      <w:r>
        <w:t>6</w:t>
      </w:r>
      <w:r>
        <w:rPr>
          <w:vertAlign w:val="superscript"/>
        </w:rPr>
        <w:t>th</w:t>
      </w:r>
      <w:r w:rsidR="00BF059B">
        <w:t xml:space="preserve"> </w:t>
      </w:r>
      <w:r>
        <w:t>Floor</w:t>
      </w:r>
    </w:p>
    <w:p w14:paraId="1ADF3E65" w14:textId="57AE3837" w:rsidR="00BE13A8" w:rsidRDefault="00D70530">
      <w:pPr>
        <w:jc w:val="both"/>
      </w:pPr>
      <w:r>
        <w:t>9</w:t>
      </w:r>
      <w:r w:rsidR="00BF059B">
        <w:t xml:space="preserve"> </w:t>
      </w:r>
      <w:r>
        <w:t>Appold</w:t>
      </w:r>
      <w:r w:rsidR="00BF059B">
        <w:t xml:space="preserve"> </w:t>
      </w:r>
      <w:r>
        <w:t>Street</w:t>
      </w:r>
    </w:p>
    <w:p w14:paraId="016957FA" w14:textId="51AF888C" w:rsidR="00BE13A8" w:rsidRDefault="00D70530">
      <w:pPr>
        <w:jc w:val="both"/>
      </w:pPr>
      <w:r>
        <w:t>London</w:t>
      </w:r>
    </w:p>
    <w:p w14:paraId="74C8E752" w14:textId="728819BB" w:rsidR="00BE13A8" w:rsidRDefault="00D70530" w:rsidP="00EE60F3">
      <w:pPr>
        <w:jc w:val="both"/>
      </w:pPr>
      <w:r>
        <w:t>EC2A</w:t>
      </w:r>
      <w:r w:rsidR="00BF059B">
        <w:t xml:space="preserve"> </w:t>
      </w:r>
      <w:r>
        <w:t>2AP</w:t>
      </w:r>
    </w:p>
    <w:p w14:paraId="092A20BC" w14:textId="77777777" w:rsidR="00EE60F3" w:rsidRDefault="00EE60F3" w:rsidP="00EE60F3">
      <w:pPr>
        <w:jc w:val="both"/>
      </w:pPr>
    </w:p>
    <w:p w14:paraId="2A29B5B4" w14:textId="77777777" w:rsidR="00EE60F3" w:rsidRDefault="00EE60F3" w:rsidP="00EE60F3">
      <w:pPr>
        <w:jc w:val="both"/>
      </w:pPr>
    </w:p>
    <w:p w14:paraId="59CCB1F7" w14:textId="77777777" w:rsidR="00EE60F3" w:rsidRDefault="00EE60F3"/>
    <w:p w14:paraId="166B86EF" w14:textId="49275554" w:rsidR="00EE60F3" w:rsidRDefault="00EE60F3" w:rsidP="00EE60F3">
      <w:pPr>
        <w:pStyle w:val="Heading2"/>
      </w:pPr>
      <w:r>
        <w:t>Consolidated statement of Financial Activities</w:t>
      </w:r>
    </w:p>
    <w:p w14:paraId="371B31BB" w14:textId="1CD44519" w:rsidR="00EE60F3" w:rsidRDefault="00EE60F3">
      <w:r>
        <w:br w:type="page"/>
      </w:r>
    </w:p>
    <w:p w14:paraId="5A5F3B49" w14:textId="41B00121" w:rsidR="00BE13A8" w:rsidRDefault="00033508">
      <w:pPr>
        <w:keepNext/>
        <w:keepLines/>
        <w:jc w:val="both"/>
        <w:rPr>
          <w:color w:val="FF0000"/>
        </w:rPr>
      </w:pPr>
      <w:r>
        <w:rPr>
          <w:color w:val="FF0000"/>
        </w:rPr>
        <w:lastRenderedPageBreak/>
        <w:pict w14:anchorId="1C41E0EB">
          <v:shape id="_x0000_i1026" type="#_x0000_t75" alt="The consolodated statement of financial activities year ending 31 March 2025, showing income and expenditure" style="width:491.35pt;height:714.65pt">
            <v:imagedata r:id="rId12" o:title=""/>
          </v:shape>
        </w:pict>
      </w:r>
    </w:p>
    <w:p w14:paraId="12723B29" w14:textId="691BB246" w:rsidR="00BE13A8" w:rsidRDefault="00033508">
      <w:pPr>
        <w:keepNext/>
        <w:keepLines/>
        <w:jc w:val="both"/>
        <w:rPr>
          <w:color w:val="FF0000"/>
        </w:rPr>
      </w:pPr>
      <w:r>
        <w:rPr>
          <w:color w:val="FF0000"/>
        </w:rPr>
        <w:lastRenderedPageBreak/>
        <w:pict w14:anchorId="265E49F3">
          <v:shape id="_x0000_i1027" type="#_x0000_t75" alt="Balance sheets for year end 31 March 2025 with assets and liabilities" style="width:484.65pt;height:673.35pt">
            <v:imagedata r:id="rId13" o:title=""/>
          </v:shape>
        </w:pict>
      </w:r>
    </w:p>
    <w:p w14:paraId="43544CFD" w14:textId="27320699" w:rsidR="00BE13A8" w:rsidRDefault="00033508">
      <w:pPr>
        <w:keepNext/>
        <w:keepLines/>
        <w:jc w:val="both"/>
        <w:rPr>
          <w:color w:val="FF0000"/>
        </w:rPr>
      </w:pPr>
      <w:r>
        <w:rPr>
          <w:color w:val="FF0000"/>
        </w:rPr>
        <w:lastRenderedPageBreak/>
        <w:pict w14:anchorId="0A47BA0F">
          <v:shape id="_x0000_i1028" type="#_x0000_t75" alt="Consolodated cash flow statement for year end 31 March 2025" style="width:480.65pt;height:607.35pt">
            <v:imagedata r:id="rId14" o:title=""/>
          </v:shape>
        </w:pict>
      </w:r>
    </w:p>
    <w:p w14:paraId="7491CAF5" w14:textId="77777777" w:rsidR="00EE60F3" w:rsidRDefault="00EE60F3">
      <w:pPr>
        <w:rPr>
          <w:i/>
          <w:color w:val="FF0000"/>
        </w:rPr>
      </w:pPr>
      <w:r>
        <w:rPr>
          <w:i/>
          <w:color w:val="FF0000"/>
        </w:rPr>
        <w:br w:type="page"/>
      </w:r>
    </w:p>
    <w:p w14:paraId="11124091" w14:textId="150A96E2" w:rsidR="00FE426F" w:rsidRDefault="00FE426F" w:rsidP="00FE426F">
      <w:pPr>
        <w:pStyle w:val="Heading2"/>
      </w:pPr>
      <w:r>
        <w:lastRenderedPageBreak/>
        <w:t>Notes to the Accounts</w:t>
      </w:r>
    </w:p>
    <w:p w14:paraId="35D5A4D0" w14:textId="77777777" w:rsidR="00FE426F" w:rsidRDefault="00FE426F" w:rsidP="00EE60F3">
      <w:pPr>
        <w:pStyle w:val="Heading3"/>
      </w:pPr>
    </w:p>
    <w:p w14:paraId="44CB6BC5" w14:textId="602087A4" w:rsidR="00BE13A8" w:rsidRPr="00EE60F3" w:rsidRDefault="00D70530" w:rsidP="00EE60F3">
      <w:pPr>
        <w:pStyle w:val="Heading3"/>
      </w:pPr>
      <w:r w:rsidRPr="00EE60F3">
        <w:t>1.</w:t>
      </w:r>
      <w:r w:rsidR="00BF059B" w:rsidRPr="00EE60F3">
        <w:t xml:space="preserve"> </w:t>
      </w:r>
      <w:r w:rsidRPr="00EE60F3">
        <w:t>Accounting</w:t>
      </w:r>
      <w:r w:rsidR="00BF059B" w:rsidRPr="00EE60F3">
        <w:t xml:space="preserve"> </w:t>
      </w:r>
      <w:r w:rsidRPr="00EE60F3">
        <w:t>policies</w:t>
      </w:r>
    </w:p>
    <w:p w14:paraId="4AF237D0" w14:textId="77777777" w:rsidR="00BE13A8" w:rsidRPr="00EE60F3" w:rsidRDefault="00BE13A8">
      <w:pPr>
        <w:keepNext/>
        <w:keepLines/>
        <w:jc w:val="both"/>
      </w:pPr>
    </w:p>
    <w:p w14:paraId="4953F8D5" w14:textId="53FB8260" w:rsidR="00BE13A8" w:rsidRPr="00EE60F3" w:rsidRDefault="00D70530" w:rsidP="00EE60F3">
      <w:pPr>
        <w:pStyle w:val="Heading4"/>
      </w:pPr>
      <w:r w:rsidRPr="00EE60F3">
        <w:t>a)</w:t>
      </w:r>
      <w:r w:rsidR="00BF059B" w:rsidRPr="00EE60F3">
        <w:t xml:space="preserve"> </w:t>
      </w:r>
      <w:r w:rsidRPr="00EE60F3">
        <w:t>Basis</w:t>
      </w:r>
      <w:r w:rsidR="00BF059B" w:rsidRPr="00EE60F3">
        <w:t xml:space="preserve"> </w:t>
      </w:r>
      <w:r w:rsidRPr="00EE60F3">
        <w:t>of</w:t>
      </w:r>
      <w:r w:rsidR="00BF059B" w:rsidRPr="00EE60F3">
        <w:t xml:space="preserve"> </w:t>
      </w:r>
      <w:r w:rsidRPr="00EE60F3">
        <w:t>Accounting</w:t>
      </w:r>
    </w:p>
    <w:p w14:paraId="357DEE27" w14:textId="6D4B703E" w:rsidR="00BE13A8" w:rsidRPr="00EE60F3" w:rsidRDefault="00D70530" w:rsidP="00EE60F3">
      <w:pPr>
        <w:pBdr>
          <w:top w:val="nil"/>
          <w:left w:val="nil"/>
          <w:bottom w:val="nil"/>
          <w:right w:val="nil"/>
          <w:between w:val="nil"/>
        </w:pBdr>
        <w:rPr>
          <w:color w:val="000000"/>
        </w:rPr>
      </w:pPr>
      <w:r w:rsidRPr="00EE60F3">
        <w:rPr>
          <w:color w:val="000000"/>
        </w:rPr>
        <w:t>The</w:t>
      </w:r>
      <w:r w:rsidR="00BF059B" w:rsidRPr="00EE60F3">
        <w:rPr>
          <w:color w:val="000000"/>
        </w:rPr>
        <w:t xml:space="preserve"> </w:t>
      </w:r>
      <w:r w:rsidRPr="00EE60F3">
        <w:rPr>
          <w:color w:val="000000"/>
        </w:rPr>
        <w:t>financial</w:t>
      </w:r>
      <w:r w:rsidR="00BF059B" w:rsidRPr="00EE60F3">
        <w:rPr>
          <w:color w:val="000000"/>
        </w:rPr>
        <w:t xml:space="preserve"> </w:t>
      </w:r>
      <w:r w:rsidRPr="00EE60F3">
        <w:rPr>
          <w:color w:val="000000"/>
        </w:rPr>
        <w:t>statements</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been</w:t>
      </w:r>
      <w:r w:rsidR="00BF059B" w:rsidRPr="00EE60F3">
        <w:rPr>
          <w:color w:val="000000"/>
        </w:rPr>
        <w:t xml:space="preserve"> </w:t>
      </w:r>
      <w:r w:rsidRPr="00EE60F3">
        <w:rPr>
          <w:color w:val="000000"/>
        </w:rPr>
        <w:t>prepared</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accordance</w:t>
      </w:r>
      <w:r w:rsidR="00BF059B" w:rsidRPr="00EE60F3">
        <w:rPr>
          <w:color w:val="000000"/>
        </w:rPr>
        <w:t xml:space="preserve"> </w:t>
      </w:r>
      <w:r w:rsidRPr="00EE60F3">
        <w:rPr>
          <w:color w:val="000000"/>
        </w:rPr>
        <w:t>with</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Financial</w:t>
      </w:r>
      <w:r w:rsidR="00BF059B" w:rsidRPr="00EE60F3">
        <w:rPr>
          <w:color w:val="000000"/>
        </w:rPr>
        <w:t xml:space="preserve"> </w:t>
      </w:r>
      <w:r w:rsidRPr="00EE60F3">
        <w:rPr>
          <w:color w:val="000000"/>
        </w:rPr>
        <w:t>Reporting</w:t>
      </w:r>
      <w:r w:rsidR="00BF059B" w:rsidRPr="00EE60F3">
        <w:rPr>
          <w:color w:val="000000"/>
        </w:rPr>
        <w:t xml:space="preserve"> </w:t>
      </w:r>
      <w:r w:rsidRPr="00EE60F3">
        <w:rPr>
          <w:color w:val="000000"/>
        </w:rPr>
        <w:t>Standard</w:t>
      </w:r>
      <w:r w:rsidR="00BF059B" w:rsidRPr="00EE60F3">
        <w:rPr>
          <w:color w:val="000000"/>
        </w:rPr>
        <w:t xml:space="preserve"> </w:t>
      </w:r>
      <w:r w:rsidRPr="00EE60F3">
        <w:rPr>
          <w:color w:val="000000"/>
        </w:rPr>
        <w:t>applicable</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UK</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Republic</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Ireland</w:t>
      </w:r>
      <w:r w:rsidR="00BF059B" w:rsidRPr="00EE60F3">
        <w:rPr>
          <w:color w:val="000000"/>
        </w:rPr>
        <w:t xml:space="preserve"> </w:t>
      </w:r>
      <w:r w:rsidRPr="00EE60F3">
        <w:rPr>
          <w:color w:val="000000"/>
        </w:rPr>
        <w:t>(FRS</w:t>
      </w:r>
      <w:r w:rsidR="00BF059B" w:rsidRPr="00EE60F3">
        <w:rPr>
          <w:color w:val="000000"/>
        </w:rPr>
        <w:t xml:space="preserve"> </w:t>
      </w:r>
      <w:r w:rsidRPr="00EE60F3">
        <w:rPr>
          <w:color w:val="000000"/>
        </w:rPr>
        <w:t>102).</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Charitable</w:t>
      </w:r>
      <w:r w:rsidR="00BF059B" w:rsidRPr="00EE60F3">
        <w:rPr>
          <w:color w:val="000000"/>
        </w:rPr>
        <w:t xml:space="preserve"> </w:t>
      </w:r>
      <w:r w:rsidRPr="00EE60F3">
        <w:rPr>
          <w:color w:val="000000"/>
        </w:rPr>
        <w:t>group</w:t>
      </w:r>
      <w:r w:rsidR="00BF059B" w:rsidRPr="00EE60F3">
        <w:rPr>
          <w:color w:val="000000"/>
        </w:rPr>
        <w:t xml:space="preserve"> </w:t>
      </w:r>
      <w:r w:rsidRPr="00EE60F3">
        <w:rPr>
          <w:color w:val="000000"/>
        </w:rPr>
        <w:t>is</w:t>
      </w:r>
      <w:r w:rsidR="00BF059B" w:rsidRPr="00EE60F3">
        <w:rPr>
          <w:color w:val="000000"/>
        </w:rPr>
        <w:t xml:space="preserve"> </w:t>
      </w:r>
      <w:r w:rsidRPr="00EE60F3">
        <w:rPr>
          <w:color w:val="000000"/>
        </w:rPr>
        <w:t>a</w:t>
      </w:r>
      <w:r w:rsidR="00BF059B" w:rsidRPr="00EE60F3">
        <w:rPr>
          <w:color w:val="000000"/>
        </w:rPr>
        <w:t xml:space="preserve"> </w:t>
      </w:r>
      <w:r w:rsidRPr="00EE60F3">
        <w:rPr>
          <w:color w:val="000000"/>
        </w:rPr>
        <w:t>public</w:t>
      </w:r>
      <w:r w:rsidR="00BF059B" w:rsidRPr="00EE60F3">
        <w:rPr>
          <w:color w:val="000000"/>
        </w:rPr>
        <w:t xml:space="preserve"> </w:t>
      </w:r>
      <w:r w:rsidRPr="00EE60F3">
        <w:rPr>
          <w:color w:val="000000"/>
        </w:rPr>
        <w:t>benefit</w:t>
      </w:r>
      <w:r w:rsidR="00BF059B" w:rsidRPr="00EE60F3">
        <w:rPr>
          <w:color w:val="000000"/>
        </w:rPr>
        <w:t xml:space="preserve"> </w:t>
      </w:r>
      <w:r w:rsidRPr="00EE60F3">
        <w:rPr>
          <w:color w:val="000000"/>
        </w:rPr>
        <w:t>group</w:t>
      </w:r>
      <w:r w:rsidR="00BF059B" w:rsidRPr="00EE60F3">
        <w:rPr>
          <w:color w:val="000000"/>
        </w:rPr>
        <w:t xml:space="preserve"> </w:t>
      </w:r>
      <w:r w:rsidRPr="00EE60F3">
        <w:rPr>
          <w:color w:val="000000"/>
        </w:rPr>
        <w:t>for</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purposes</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FRS</w:t>
      </w:r>
      <w:r w:rsidR="00BF059B" w:rsidRPr="00EE60F3">
        <w:rPr>
          <w:color w:val="000000"/>
        </w:rPr>
        <w:t xml:space="preserve"> </w:t>
      </w:r>
      <w:r w:rsidRPr="00EE60F3">
        <w:rPr>
          <w:color w:val="000000"/>
        </w:rPr>
        <w:t>102</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therefore</w:t>
      </w:r>
      <w:r w:rsidR="00BF059B" w:rsidRPr="00EE60F3">
        <w:rPr>
          <w:color w:val="000000"/>
        </w:rPr>
        <w:t xml:space="preserve"> </w:t>
      </w:r>
      <w:r w:rsidRPr="00EE60F3">
        <w:rPr>
          <w:color w:val="000000"/>
        </w:rPr>
        <w:t>it</w:t>
      </w:r>
      <w:r w:rsidR="00BF059B" w:rsidRPr="00EE60F3">
        <w:rPr>
          <w:color w:val="000000"/>
        </w:rPr>
        <w:t xml:space="preserve"> </w:t>
      </w:r>
      <w:r w:rsidRPr="00EE60F3">
        <w:rPr>
          <w:color w:val="000000"/>
        </w:rPr>
        <w:t>has</w:t>
      </w:r>
      <w:r w:rsidR="00BF059B" w:rsidRPr="00EE60F3">
        <w:rPr>
          <w:color w:val="000000"/>
        </w:rPr>
        <w:t xml:space="preserve"> </w:t>
      </w:r>
      <w:r w:rsidRPr="00EE60F3">
        <w:rPr>
          <w:color w:val="000000"/>
        </w:rPr>
        <w:t>also</w:t>
      </w:r>
      <w:r w:rsidR="00BF059B" w:rsidRPr="00EE60F3">
        <w:rPr>
          <w:color w:val="000000"/>
        </w:rPr>
        <w:t xml:space="preserve"> </w:t>
      </w:r>
      <w:r w:rsidRPr="00EE60F3">
        <w:rPr>
          <w:color w:val="000000"/>
        </w:rPr>
        <w:t>prepared</w:t>
      </w:r>
      <w:r w:rsidR="00BF059B" w:rsidRPr="00EE60F3">
        <w:rPr>
          <w:color w:val="000000"/>
        </w:rPr>
        <w:t xml:space="preserve"> </w:t>
      </w:r>
      <w:r w:rsidRPr="00EE60F3">
        <w:rPr>
          <w:color w:val="000000"/>
        </w:rPr>
        <w:t>its</w:t>
      </w:r>
      <w:r w:rsidR="00BF059B" w:rsidRPr="00EE60F3">
        <w:rPr>
          <w:color w:val="000000"/>
        </w:rPr>
        <w:t xml:space="preserve"> </w:t>
      </w:r>
      <w:r w:rsidRPr="00EE60F3">
        <w:rPr>
          <w:color w:val="000000"/>
        </w:rPr>
        <w:t>financial</w:t>
      </w:r>
      <w:r w:rsidR="00BF059B" w:rsidRPr="00EE60F3">
        <w:rPr>
          <w:color w:val="000000"/>
        </w:rPr>
        <w:t xml:space="preserve"> </w:t>
      </w:r>
      <w:r w:rsidRPr="00EE60F3">
        <w:rPr>
          <w:color w:val="000000"/>
        </w:rPr>
        <w:t>statements</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accordance</w:t>
      </w:r>
      <w:r w:rsidR="00BF059B" w:rsidRPr="00EE60F3">
        <w:rPr>
          <w:color w:val="000000"/>
        </w:rPr>
        <w:t xml:space="preserve"> </w:t>
      </w:r>
      <w:r w:rsidRPr="00EE60F3">
        <w:rPr>
          <w:color w:val="000000"/>
        </w:rPr>
        <w:t>with</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Statement</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Recommended</w:t>
      </w:r>
      <w:r w:rsidR="00BF059B" w:rsidRPr="00EE60F3">
        <w:rPr>
          <w:color w:val="000000"/>
        </w:rPr>
        <w:t xml:space="preserve"> </w:t>
      </w:r>
      <w:r w:rsidRPr="00EE60F3">
        <w:rPr>
          <w:color w:val="000000"/>
        </w:rPr>
        <w:t>Practice</w:t>
      </w:r>
      <w:r w:rsidR="00BF059B" w:rsidRPr="00EE60F3">
        <w:rPr>
          <w:color w:val="000000"/>
        </w:rPr>
        <w:t xml:space="preserve"> </w:t>
      </w:r>
      <w:r w:rsidRPr="00EE60F3">
        <w:rPr>
          <w:color w:val="000000"/>
        </w:rPr>
        <w:t>applicable</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charities</w:t>
      </w:r>
      <w:r w:rsidR="00BF059B" w:rsidRPr="00EE60F3">
        <w:rPr>
          <w:color w:val="000000"/>
        </w:rPr>
        <w:t xml:space="preserve"> </w:t>
      </w:r>
      <w:r w:rsidRPr="00EE60F3">
        <w:rPr>
          <w:color w:val="000000"/>
        </w:rPr>
        <w:t>preparing</w:t>
      </w:r>
      <w:r w:rsidR="00BF059B" w:rsidRPr="00EE60F3">
        <w:rPr>
          <w:color w:val="000000"/>
        </w:rPr>
        <w:t xml:space="preserve"> </w:t>
      </w:r>
      <w:r w:rsidRPr="00EE60F3">
        <w:rPr>
          <w:color w:val="000000"/>
        </w:rPr>
        <w:t>their</w:t>
      </w:r>
      <w:r w:rsidR="00BF059B" w:rsidRPr="00EE60F3">
        <w:rPr>
          <w:color w:val="000000"/>
        </w:rPr>
        <w:t xml:space="preserve"> </w:t>
      </w:r>
      <w:r w:rsidRPr="00EE60F3">
        <w:rPr>
          <w:color w:val="000000"/>
        </w:rPr>
        <w:t>accounts</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accordance</w:t>
      </w:r>
      <w:r w:rsidR="00BF059B" w:rsidRPr="00EE60F3">
        <w:rPr>
          <w:color w:val="000000"/>
        </w:rPr>
        <w:t xml:space="preserve"> </w:t>
      </w:r>
      <w:r w:rsidRPr="00EE60F3">
        <w:rPr>
          <w:color w:val="000000"/>
        </w:rPr>
        <w:t>with</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Financial</w:t>
      </w:r>
      <w:r w:rsidR="00BF059B" w:rsidRPr="00EE60F3">
        <w:rPr>
          <w:color w:val="000000"/>
        </w:rPr>
        <w:t xml:space="preserve"> </w:t>
      </w:r>
      <w:r w:rsidRPr="00EE60F3">
        <w:rPr>
          <w:color w:val="000000"/>
        </w:rPr>
        <w:t>Reporting</w:t>
      </w:r>
      <w:r w:rsidR="00BF059B" w:rsidRPr="00EE60F3">
        <w:rPr>
          <w:color w:val="000000"/>
        </w:rPr>
        <w:t xml:space="preserve"> </w:t>
      </w:r>
      <w:r w:rsidRPr="00EE60F3">
        <w:rPr>
          <w:color w:val="000000"/>
        </w:rPr>
        <w:t>Standard</w:t>
      </w:r>
      <w:r w:rsidR="00BF059B" w:rsidRPr="00EE60F3">
        <w:rPr>
          <w:color w:val="000000"/>
        </w:rPr>
        <w:t xml:space="preserve"> </w:t>
      </w:r>
      <w:r w:rsidRPr="00EE60F3">
        <w:rPr>
          <w:color w:val="000000"/>
        </w:rPr>
        <w:t>applicable</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UK</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Republic</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Ireland</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FRS</w:t>
      </w:r>
      <w:r w:rsidR="00BF059B" w:rsidRPr="00EE60F3">
        <w:rPr>
          <w:color w:val="000000"/>
        </w:rPr>
        <w:t xml:space="preserve"> </w:t>
      </w:r>
      <w:r w:rsidRPr="00EE60F3">
        <w:rPr>
          <w:color w:val="000000"/>
        </w:rPr>
        <w:t>102</w:t>
      </w:r>
      <w:r w:rsidR="00BF059B" w:rsidRPr="00EE60F3">
        <w:rPr>
          <w:color w:val="000000"/>
        </w:rPr>
        <w:t xml:space="preserve"> </w:t>
      </w:r>
      <w:r w:rsidRPr="00EE60F3">
        <w:rPr>
          <w:color w:val="000000"/>
        </w:rPr>
        <w:t>Charities</w:t>
      </w:r>
      <w:r w:rsidR="00BF059B" w:rsidRPr="00EE60F3">
        <w:rPr>
          <w:color w:val="000000"/>
        </w:rPr>
        <w:t xml:space="preserve"> </w:t>
      </w:r>
      <w:r w:rsidRPr="00EE60F3">
        <w:rPr>
          <w:color w:val="000000"/>
        </w:rPr>
        <w:t>SORP)</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Charities</w:t>
      </w:r>
      <w:r w:rsidR="00BF059B" w:rsidRPr="00EE60F3">
        <w:rPr>
          <w:color w:val="000000"/>
        </w:rPr>
        <w:t xml:space="preserve"> </w:t>
      </w:r>
      <w:r w:rsidRPr="00EE60F3">
        <w:rPr>
          <w:color w:val="000000"/>
        </w:rPr>
        <w:t>Act</w:t>
      </w:r>
      <w:r w:rsidR="00BF059B" w:rsidRPr="00EE60F3">
        <w:rPr>
          <w:color w:val="000000"/>
        </w:rPr>
        <w:t xml:space="preserve"> </w:t>
      </w:r>
      <w:r w:rsidRPr="00EE60F3">
        <w:rPr>
          <w:color w:val="000000"/>
        </w:rPr>
        <w:t>2011.</w:t>
      </w:r>
      <w:r w:rsidR="00BF059B" w:rsidRPr="00EE60F3">
        <w:rPr>
          <w:color w:val="000000"/>
        </w:rPr>
        <w:t xml:space="preserve">  </w:t>
      </w:r>
    </w:p>
    <w:p w14:paraId="3B2621CA" w14:textId="5738D237" w:rsidR="00BE13A8" w:rsidRPr="00EE60F3" w:rsidRDefault="00D70530" w:rsidP="00EE60F3">
      <w:r w:rsidRPr="00EE60F3">
        <w:t>The</w:t>
      </w:r>
      <w:r w:rsidR="00BF059B" w:rsidRPr="00EE60F3">
        <w:t xml:space="preserve"> </w:t>
      </w:r>
      <w:r w:rsidRPr="00EE60F3">
        <w:t>financial</w:t>
      </w:r>
      <w:r w:rsidR="00BF059B" w:rsidRPr="00EE60F3">
        <w:t xml:space="preserve"> </w:t>
      </w:r>
      <w:r w:rsidRPr="00EE60F3">
        <w:t>statements</w:t>
      </w:r>
      <w:r w:rsidR="00BF059B" w:rsidRPr="00EE60F3">
        <w:t xml:space="preserve"> </w:t>
      </w:r>
      <w:r w:rsidRPr="00EE60F3">
        <w:t>are</w:t>
      </w:r>
      <w:r w:rsidR="00BF059B" w:rsidRPr="00EE60F3">
        <w:t xml:space="preserve"> </w:t>
      </w:r>
      <w:r w:rsidRPr="00EE60F3">
        <w:t>prepared</w:t>
      </w:r>
      <w:r w:rsidR="00BF059B" w:rsidRPr="00EE60F3">
        <w:t xml:space="preserve"> </w:t>
      </w:r>
      <w:r w:rsidRPr="00EE60F3">
        <w:t>in</w:t>
      </w:r>
      <w:r w:rsidR="00BF059B" w:rsidRPr="00EE60F3">
        <w:t xml:space="preserve"> </w:t>
      </w:r>
      <w:r w:rsidRPr="00EE60F3">
        <w:t>sterling,</w:t>
      </w:r>
      <w:r w:rsidR="00BF059B" w:rsidRPr="00EE60F3">
        <w:t xml:space="preserve"> </w:t>
      </w:r>
      <w:r w:rsidRPr="00EE60F3">
        <w:t>which</w:t>
      </w:r>
      <w:r w:rsidR="00BF059B" w:rsidRPr="00EE60F3">
        <w:t xml:space="preserve"> </w:t>
      </w:r>
      <w:r w:rsidRPr="00EE60F3">
        <w:t>is</w:t>
      </w:r>
      <w:r w:rsidR="00BF059B" w:rsidRPr="00EE60F3">
        <w:t xml:space="preserve"> </w:t>
      </w:r>
      <w:r w:rsidRPr="00EE60F3">
        <w:t>the</w:t>
      </w:r>
      <w:r w:rsidR="00BF059B" w:rsidRPr="00EE60F3">
        <w:t xml:space="preserve"> </w:t>
      </w:r>
      <w:r w:rsidRPr="00EE60F3">
        <w:t>functional</w:t>
      </w:r>
      <w:r w:rsidR="00BF059B" w:rsidRPr="00EE60F3">
        <w:t xml:space="preserve"> </w:t>
      </w:r>
      <w:r w:rsidRPr="00EE60F3">
        <w:t>currency</w:t>
      </w:r>
      <w:r w:rsidR="00BF059B" w:rsidRPr="00EE60F3">
        <w:t xml:space="preserve"> </w:t>
      </w:r>
      <w:r w:rsidRPr="00EE60F3">
        <w:t>of</w:t>
      </w:r>
      <w:r w:rsidR="00BF059B" w:rsidRPr="00EE60F3">
        <w:t xml:space="preserve"> </w:t>
      </w:r>
      <w:r w:rsidRPr="00EE60F3">
        <w:t>the</w:t>
      </w:r>
      <w:r w:rsidR="00BF059B" w:rsidRPr="00EE60F3">
        <w:t xml:space="preserve"> </w:t>
      </w:r>
      <w:r w:rsidRPr="00EE60F3">
        <w:t>group.</w:t>
      </w:r>
      <w:r w:rsidR="00BF059B" w:rsidRPr="00EE60F3">
        <w:t xml:space="preserve"> </w:t>
      </w:r>
      <w:r w:rsidRPr="00EE60F3">
        <w:t>Monetary</w:t>
      </w:r>
      <w:r w:rsidR="00BF059B" w:rsidRPr="00EE60F3">
        <w:t xml:space="preserve"> </w:t>
      </w:r>
      <w:r w:rsidRPr="00EE60F3">
        <w:t>amounts</w:t>
      </w:r>
      <w:r w:rsidR="00BF059B" w:rsidRPr="00EE60F3">
        <w:t xml:space="preserve"> </w:t>
      </w:r>
      <w:r w:rsidRPr="00EE60F3">
        <w:t>in</w:t>
      </w:r>
      <w:r w:rsidR="00BF059B" w:rsidRPr="00EE60F3">
        <w:t xml:space="preserve"> </w:t>
      </w:r>
      <w:r w:rsidRPr="00EE60F3">
        <w:t>these</w:t>
      </w:r>
      <w:r w:rsidR="00BF059B" w:rsidRPr="00EE60F3">
        <w:t xml:space="preserve"> </w:t>
      </w:r>
      <w:r w:rsidRPr="00EE60F3">
        <w:t>financial</w:t>
      </w:r>
      <w:r w:rsidR="00BF059B" w:rsidRPr="00EE60F3">
        <w:t xml:space="preserve"> </w:t>
      </w:r>
      <w:r w:rsidRPr="00EE60F3">
        <w:t>statements</w:t>
      </w:r>
      <w:r w:rsidR="00BF059B" w:rsidRPr="00EE60F3">
        <w:t xml:space="preserve"> </w:t>
      </w:r>
      <w:r w:rsidRPr="00EE60F3">
        <w:t>are</w:t>
      </w:r>
      <w:r w:rsidR="00BF059B" w:rsidRPr="00EE60F3">
        <w:t xml:space="preserve"> </w:t>
      </w:r>
      <w:r w:rsidRPr="00EE60F3">
        <w:t>rounded</w:t>
      </w:r>
      <w:r w:rsidR="00BF059B" w:rsidRPr="00EE60F3">
        <w:t xml:space="preserve"> </w:t>
      </w:r>
      <w:r w:rsidRPr="00EE60F3">
        <w:t>to</w:t>
      </w:r>
      <w:r w:rsidR="00BF059B" w:rsidRPr="00EE60F3">
        <w:t xml:space="preserve"> </w:t>
      </w:r>
      <w:r w:rsidRPr="00EE60F3">
        <w:t>the</w:t>
      </w:r>
      <w:r w:rsidR="00BF059B" w:rsidRPr="00EE60F3">
        <w:t xml:space="preserve"> </w:t>
      </w:r>
      <w:r w:rsidRPr="00EE60F3">
        <w:t>nearest</w:t>
      </w:r>
      <w:r w:rsidR="00BF059B" w:rsidRPr="00EE60F3">
        <w:t xml:space="preserve"> </w:t>
      </w:r>
      <w:r w:rsidRPr="00EE60F3">
        <w:t>thousand</w:t>
      </w:r>
      <w:r w:rsidR="00BF059B" w:rsidRPr="00EE60F3">
        <w:t xml:space="preserve"> </w:t>
      </w:r>
      <w:r w:rsidRPr="00EE60F3">
        <w:t>pounds.</w:t>
      </w:r>
    </w:p>
    <w:p w14:paraId="40EB1122" w14:textId="77777777" w:rsidR="00BE13A8" w:rsidRPr="00EE60F3" w:rsidRDefault="00BE13A8" w:rsidP="00EE60F3">
      <w:pPr>
        <w:pBdr>
          <w:top w:val="nil"/>
          <w:left w:val="nil"/>
          <w:bottom w:val="nil"/>
          <w:right w:val="nil"/>
          <w:between w:val="nil"/>
        </w:pBdr>
        <w:rPr>
          <w:color w:val="000000"/>
        </w:rPr>
      </w:pPr>
    </w:p>
    <w:p w14:paraId="14FD1B86" w14:textId="1D7149DE" w:rsidR="00BE13A8" w:rsidRPr="00EE60F3" w:rsidRDefault="00D70530" w:rsidP="00EE60F3">
      <w:pPr>
        <w:pBdr>
          <w:top w:val="nil"/>
          <w:left w:val="nil"/>
          <w:bottom w:val="nil"/>
          <w:right w:val="nil"/>
          <w:between w:val="nil"/>
        </w:pBdr>
        <w:rPr>
          <w:color w:val="000000"/>
        </w:rPr>
      </w:pPr>
      <w:r w:rsidRPr="00EE60F3">
        <w:rPr>
          <w:color w:val="000000"/>
        </w:rPr>
        <w:t>The</w:t>
      </w:r>
      <w:r w:rsidR="00BF059B" w:rsidRPr="00EE60F3">
        <w:rPr>
          <w:color w:val="000000"/>
        </w:rPr>
        <w:t xml:space="preserve"> </w:t>
      </w:r>
      <w:r w:rsidRPr="00EE60F3">
        <w:rPr>
          <w:color w:val="000000"/>
        </w:rPr>
        <w:t>Trustees</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assessed</w:t>
      </w:r>
      <w:r w:rsidR="00BF059B" w:rsidRPr="00EE60F3">
        <w:rPr>
          <w:color w:val="000000"/>
        </w:rPr>
        <w:t xml:space="preserve"> </w:t>
      </w:r>
      <w:r w:rsidRPr="00EE60F3">
        <w:rPr>
          <w:color w:val="000000"/>
        </w:rPr>
        <w:t>whether</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use</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going</w:t>
      </w:r>
      <w:r w:rsidR="00BF059B" w:rsidRPr="00EE60F3">
        <w:rPr>
          <w:color w:val="000000"/>
        </w:rPr>
        <w:t xml:space="preserve"> </w:t>
      </w:r>
      <w:r w:rsidRPr="00EE60F3">
        <w:rPr>
          <w:color w:val="000000"/>
        </w:rPr>
        <w:t>concern</w:t>
      </w:r>
      <w:r w:rsidR="00BF059B" w:rsidRPr="00EE60F3">
        <w:rPr>
          <w:color w:val="000000"/>
        </w:rPr>
        <w:t xml:space="preserve"> </w:t>
      </w:r>
      <w:r w:rsidRPr="00EE60F3">
        <w:rPr>
          <w:color w:val="000000"/>
        </w:rPr>
        <w:t>basis</w:t>
      </w:r>
      <w:r w:rsidR="00BF059B" w:rsidRPr="00EE60F3">
        <w:rPr>
          <w:color w:val="000000"/>
        </w:rPr>
        <w:t xml:space="preserve"> </w:t>
      </w:r>
      <w:r w:rsidRPr="00EE60F3">
        <w:rPr>
          <w:color w:val="000000"/>
        </w:rPr>
        <w:t>is</w:t>
      </w:r>
      <w:r w:rsidR="00BF059B" w:rsidRPr="00EE60F3">
        <w:rPr>
          <w:color w:val="000000"/>
        </w:rPr>
        <w:t xml:space="preserve"> </w:t>
      </w:r>
      <w:r w:rsidRPr="00EE60F3">
        <w:rPr>
          <w:color w:val="000000"/>
        </w:rPr>
        <w:t>appropriate</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considered</w:t>
      </w:r>
      <w:r w:rsidR="00BF059B" w:rsidRPr="00EE60F3">
        <w:rPr>
          <w:color w:val="000000"/>
        </w:rPr>
        <w:t xml:space="preserve"> </w:t>
      </w:r>
      <w:r w:rsidRPr="00EE60F3">
        <w:rPr>
          <w:color w:val="000000"/>
        </w:rPr>
        <w:t>possible</w:t>
      </w:r>
      <w:r w:rsidR="00BF059B" w:rsidRPr="00EE60F3">
        <w:rPr>
          <w:color w:val="000000"/>
        </w:rPr>
        <w:t xml:space="preserve"> </w:t>
      </w:r>
      <w:r w:rsidRPr="00EE60F3">
        <w:rPr>
          <w:color w:val="000000"/>
        </w:rPr>
        <w:t>events</w:t>
      </w:r>
      <w:r w:rsidR="00BF059B" w:rsidRPr="00EE60F3">
        <w:rPr>
          <w:color w:val="000000"/>
        </w:rPr>
        <w:t xml:space="preserve"> </w:t>
      </w:r>
      <w:r w:rsidRPr="00EE60F3">
        <w:rPr>
          <w:color w:val="000000"/>
        </w:rPr>
        <w:t>or</w:t>
      </w:r>
      <w:r w:rsidR="00BF059B" w:rsidRPr="00EE60F3">
        <w:rPr>
          <w:color w:val="000000"/>
        </w:rPr>
        <w:t xml:space="preserve"> </w:t>
      </w:r>
      <w:r w:rsidRPr="00EE60F3">
        <w:rPr>
          <w:color w:val="000000"/>
        </w:rPr>
        <w:t>conditions</w:t>
      </w:r>
      <w:r w:rsidR="00BF059B" w:rsidRPr="00EE60F3">
        <w:rPr>
          <w:color w:val="000000"/>
        </w:rPr>
        <w:t xml:space="preserve"> </w:t>
      </w:r>
      <w:r w:rsidRPr="00EE60F3">
        <w:rPr>
          <w:color w:val="000000"/>
        </w:rPr>
        <w:t>that</w:t>
      </w:r>
      <w:r w:rsidR="00BF059B" w:rsidRPr="00EE60F3">
        <w:rPr>
          <w:color w:val="000000"/>
        </w:rPr>
        <w:t xml:space="preserve"> </w:t>
      </w:r>
      <w:r w:rsidRPr="00EE60F3">
        <w:rPr>
          <w:color w:val="000000"/>
        </w:rPr>
        <w:t>might</w:t>
      </w:r>
      <w:r w:rsidR="00BF059B" w:rsidRPr="00EE60F3">
        <w:rPr>
          <w:color w:val="000000"/>
        </w:rPr>
        <w:t xml:space="preserve"> </w:t>
      </w:r>
      <w:r w:rsidRPr="00EE60F3">
        <w:rPr>
          <w:color w:val="000000"/>
        </w:rPr>
        <w:t>cast</w:t>
      </w:r>
      <w:r w:rsidR="00BF059B" w:rsidRPr="00EE60F3">
        <w:rPr>
          <w:color w:val="000000"/>
        </w:rPr>
        <w:t xml:space="preserve"> </w:t>
      </w:r>
      <w:r w:rsidRPr="00EE60F3">
        <w:rPr>
          <w:color w:val="000000"/>
        </w:rPr>
        <w:t>significant</w:t>
      </w:r>
      <w:r w:rsidR="00BF059B" w:rsidRPr="00EE60F3">
        <w:rPr>
          <w:color w:val="000000"/>
        </w:rPr>
        <w:t xml:space="preserve"> </w:t>
      </w:r>
      <w:r w:rsidRPr="00EE60F3">
        <w:rPr>
          <w:color w:val="000000"/>
        </w:rPr>
        <w:t>doubt</w:t>
      </w:r>
      <w:r w:rsidR="00BF059B" w:rsidRPr="00EE60F3">
        <w:rPr>
          <w:color w:val="000000"/>
        </w:rPr>
        <w:t xml:space="preserve"> </w:t>
      </w:r>
      <w:r w:rsidRPr="00EE60F3">
        <w:rPr>
          <w:color w:val="000000"/>
        </w:rPr>
        <w:t>on</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ability</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group</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continue</w:t>
      </w:r>
      <w:r w:rsidR="00BF059B" w:rsidRPr="00EE60F3">
        <w:rPr>
          <w:color w:val="000000"/>
        </w:rPr>
        <w:t xml:space="preserve"> </w:t>
      </w:r>
      <w:r w:rsidRPr="00EE60F3">
        <w:rPr>
          <w:color w:val="000000"/>
        </w:rPr>
        <w:t>as</w:t>
      </w:r>
      <w:r w:rsidR="00BF059B" w:rsidRPr="00EE60F3">
        <w:rPr>
          <w:color w:val="000000"/>
        </w:rPr>
        <w:t xml:space="preserve"> </w:t>
      </w:r>
      <w:r w:rsidRPr="00EE60F3">
        <w:rPr>
          <w:color w:val="000000"/>
        </w:rPr>
        <w:t>a</w:t>
      </w:r>
      <w:r w:rsidR="00BF059B" w:rsidRPr="00EE60F3">
        <w:rPr>
          <w:color w:val="000000"/>
        </w:rPr>
        <w:t xml:space="preserve"> </w:t>
      </w:r>
      <w:r w:rsidRPr="00EE60F3">
        <w:rPr>
          <w:color w:val="000000"/>
        </w:rPr>
        <w:t>going</w:t>
      </w:r>
      <w:r w:rsidR="00BF059B" w:rsidRPr="00EE60F3">
        <w:rPr>
          <w:color w:val="000000"/>
        </w:rPr>
        <w:t xml:space="preserve"> </w:t>
      </w:r>
      <w:r w:rsidRPr="00EE60F3">
        <w:rPr>
          <w:color w:val="000000"/>
        </w:rPr>
        <w:t>concern.</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Trustees</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made</w:t>
      </w:r>
      <w:r w:rsidR="00BF059B" w:rsidRPr="00EE60F3">
        <w:rPr>
          <w:color w:val="000000"/>
        </w:rPr>
        <w:t xml:space="preserve"> </w:t>
      </w:r>
      <w:r w:rsidRPr="00EE60F3">
        <w:rPr>
          <w:color w:val="000000"/>
        </w:rPr>
        <w:t>this</w:t>
      </w:r>
      <w:r w:rsidR="00BF059B" w:rsidRPr="00EE60F3">
        <w:rPr>
          <w:color w:val="000000"/>
        </w:rPr>
        <w:t xml:space="preserve"> </w:t>
      </w:r>
      <w:r w:rsidRPr="00EE60F3">
        <w:rPr>
          <w:color w:val="000000"/>
        </w:rPr>
        <w:t>assessment</w:t>
      </w:r>
      <w:r w:rsidR="00BF059B" w:rsidRPr="00EE60F3">
        <w:rPr>
          <w:color w:val="000000"/>
        </w:rPr>
        <w:t xml:space="preserve"> </w:t>
      </w:r>
      <w:r w:rsidRPr="00EE60F3">
        <w:rPr>
          <w:color w:val="000000"/>
        </w:rPr>
        <w:t>for</w:t>
      </w:r>
      <w:r w:rsidR="00BF059B" w:rsidRPr="00EE60F3">
        <w:rPr>
          <w:color w:val="000000"/>
        </w:rPr>
        <w:t xml:space="preserve"> </w:t>
      </w:r>
      <w:r w:rsidRPr="00EE60F3">
        <w:rPr>
          <w:color w:val="000000"/>
        </w:rPr>
        <w:t>a</w:t>
      </w:r>
      <w:r w:rsidR="00BF059B" w:rsidRPr="00EE60F3">
        <w:rPr>
          <w:color w:val="000000"/>
        </w:rPr>
        <w:t xml:space="preserve"> </w:t>
      </w:r>
      <w:r w:rsidRPr="00EE60F3">
        <w:rPr>
          <w:color w:val="000000"/>
        </w:rPr>
        <w:t>period</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at</w:t>
      </w:r>
      <w:r w:rsidR="00BF059B" w:rsidRPr="00EE60F3">
        <w:rPr>
          <w:color w:val="000000"/>
        </w:rPr>
        <w:t xml:space="preserve"> </w:t>
      </w:r>
      <w:r w:rsidRPr="00EE60F3">
        <w:rPr>
          <w:color w:val="000000"/>
        </w:rPr>
        <w:t>least</w:t>
      </w:r>
      <w:r w:rsidR="00BF059B" w:rsidRPr="00EE60F3">
        <w:rPr>
          <w:color w:val="000000"/>
        </w:rPr>
        <w:t xml:space="preserve"> </w:t>
      </w:r>
      <w:r w:rsidRPr="00EE60F3">
        <w:rPr>
          <w:color w:val="000000"/>
        </w:rPr>
        <w:t>one</w:t>
      </w:r>
      <w:r w:rsidR="00BF059B" w:rsidRPr="00EE60F3">
        <w:rPr>
          <w:color w:val="000000"/>
        </w:rPr>
        <w:t xml:space="preserve"> </w:t>
      </w:r>
      <w:r w:rsidRPr="00EE60F3">
        <w:rPr>
          <w:color w:val="000000"/>
        </w:rPr>
        <w:t>year</w:t>
      </w:r>
      <w:r w:rsidR="00BF059B" w:rsidRPr="00EE60F3">
        <w:rPr>
          <w:color w:val="000000"/>
        </w:rPr>
        <w:t xml:space="preserve"> </w:t>
      </w:r>
      <w:r w:rsidRPr="00EE60F3">
        <w:rPr>
          <w:color w:val="000000"/>
        </w:rPr>
        <w:t>from</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date</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approval</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financial</w:t>
      </w:r>
      <w:r w:rsidR="00BF059B" w:rsidRPr="00EE60F3">
        <w:rPr>
          <w:color w:val="000000"/>
        </w:rPr>
        <w:t xml:space="preserve"> </w:t>
      </w:r>
      <w:r w:rsidRPr="00EE60F3">
        <w:rPr>
          <w:color w:val="000000"/>
        </w:rPr>
        <w:t>statements.</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particular</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Trustees</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considered</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group's</w:t>
      </w:r>
      <w:r w:rsidR="00BF059B" w:rsidRPr="00EE60F3">
        <w:rPr>
          <w:color w:val="000000"/>
        </w:rPr>
        <w:t xml:space="preserve"> </w:t>
      </w:r>
      <w:r w:rsidRPr="00EE60F3">
        <w:rPr>
          <w:color w:val="000000"/>
        </w:rPr>
        <w:t>forecasts</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projections</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taken</w:t>
      </w:r>
      <w:r w:rsidR="00BF059B" w:rsidRPr="00EE60F3">
        <w:rPr>
          <w:color w:val="000000"/>
        </w:rPr>
        <w:t xml:space="preserve"> </w:t>
      </w:r>
      <w:r w:rsidRPr="00EE60F3">
        <w:rPr>
          <w:color w:val="000000"/>
        </w:rPr>
        <w:t>account</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pressures</w:t>
      </w:r>
      <w:r w:rsidR="00BF059B" w:rsidRPr="00EE60F3">
        <w:rPr>
          <w:color w:val="000000"/>
        </w:rPr>
        <w:t xml:space="preserve"> </w:t>
      </w:r>
      <w:r w:rsidRPr="00EE60F3">
        <w:rPr>
          <w:color w:val="000000"/>
        </w:rPr>
        <w:t>on</w:t>
      </w:r>
      <w:r w:rsidR="00BF059B" w:rsidRPr="00EE60F3">
        <w:rPr>
          <w:color w:val="000000"/>
        </w:rPr>
        <w:t xml:space="preserve"> </w:t>
      </w:r>
      <w:r w:rsidRPr="00EE60F3">
        <w:rPr>
          <w:color w:val="000000"/>
        </w:rPr>
        <w:t>fundraising</w:t>
      </w:r>
      <w:r w:rsidR="00BF059B" w:rsidRPr="00EE60F3">
        <w:rPr>
          <w:color w:val="000000"/>
        </w:rPr>
        <w:t xml:space="preserve"> </w:t>
      </w:r>
      <w:r w:rsidRPr="00EE60F3">
        <w:rPr>
          <w:color w:val="000000"/>
        </w:rPr>
        <w:t>income.</w:t>
      </w:r>
      <w:r w:rsidR="00BF059B" w:rsidRPr="00EE60F3">
        <w:rPr>
          <w:color w:val="000000"/>
        </w:rPr>
        <w:t xml:space="preserve"> </w:t>
      </w:r>
      <w:r w:rsidRPr="00EE60F3">
        <w:rPr>
          <w:color w:val="000000"/>
        </w:rPr>
        <w:t>After</w:t>
      </w:r>
      <w:r w:rsidR="00BF059B" w:rsidRPr="00EE60F3">
        <w:rPr>
          <w:color w:val="000000"/>
        </w:rPr>
        <w:t xml:space="preserve"> </w:t>
      </w:r>
      <w:r w:rsidRPr="00EE60F3">
        <w:rPr>
          <w:color w:val="000000"/>
        </w:rPr>
        <w:t>making</w:t>
      </w:r>
      <w:r w:rsidR="00BF059B" w:rsidRPr="00EE60F3">
        <w:rPr>
          <w:color w:val="000000"/>
        </w:rPr>
        <w:t xml:space="preserve"> </w:t>
      </w:r>
      <w:r w:rsidRPr="00EE60F3">
        <w:rPr>
          <w:color w:val="000000"/>
        </w:rPr>
        <w:t>enquiries</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Trustees</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concluded</w:t>
      </w:r>
      <w:r w:rsidR="00BF059B" w:rsidRPr="00EE60F3">
        <w:rPr>
          <w:color w:val="000000"/>
        </w:rPr>
        <w:t xml:space="preserve"> </w:t>
      </w:r>
      <w:r w:rsidRPr="00EE60F3">
        <w:rPr>
          <w:color w:val="000000"/>
        </w:rPr>
        <w:t>that</w:t>
      </w:r>
      <w:r w:rsidR="00BF059B" w:rsidRPr="00EE60F3">
        <w:rPr>
          <w:color w:val="000000"/>
        </w:rPr>
        <w:t xml:space="preserve"> </w:t>
      </w:r>
      <w:r w:rsidRPr="00EE60F3">
        <w:rPr>
          <w:color w:val="000000"/>
        </w:rPr>
        <w:t>there</w:t>
      </w:r>
      <w:r w:rsidR="00BF059B" w:rsidRPr="00EE60F3">
        <w:rPr>
          <w:color w:val="000000"/>
        </w:rPr>
        <w:t xml:space="preserve"> </w:t>
      </w:r>
      <w:r w:rsidRPr="00EE60F3">
        <w:rPr>
          <w:color w:val="000000"/>
        </w:rPr>
        <w:t>is</w:t>
      </w:r>
      <w:r w:rsidR="00BF059B" w:rsidRPr="00EE60F3">
        <w:rPr>
          <w:color w:val="000000"/>
        </w:rPr>
        <w:t xml:space="preserve"> </w:t>
      </w:r>
      <w:r w:rsidRPr="00EE60F3">
        <w:rPr>
          <w:color w:val="000000"/>
        </w:rPr>
        <w:t>a</w:t>
      </w:r>
      <w:r w:rsidR="00BF059B" w:rsidRPr="00EE60F3">
        <w:rPr>
          <w:color w:val="000000"/>
        </w:rPr>
        <w:t xml:space="preserve"> </w:t>
      </w:r>
      <w:r w:rsidRPr="00EE60F3">
        <w:rPr>
          <w:color w:val="000000"/>
        </w:rPr>
        <w:t>reasonable</w:t>
      </w:r>
      <w:r w:rsidR="00BF059B" w:rsidRPr="00EE60F3">
        <w:rPr>
          <w:color w:val="000000"/>
        </w:rPr>
        <w:t xml:space="preserve"> </w:t>
      </w:r>
      <w:r w:rsidRPr="00EE60F3">
        <w:rPr>
          <w:color w:val="000000"/>
        </w:rPr>
        <w:t>expectation</w:t>
      </w:r>
      <w:r w:rsidR="00BF059B" w:rsidRPr="00EE60F3">
        <w:rPr>
          <w:color w:val="000000"/>
        </w:rPr>
        <w:t xml:space="preserve"> </w:t>
      </w:r>
      <w:r w:rsidRPr="00EE60F3">
        <w:rPr>
          <w:color w:val="000000"/>
        </w:rPr>
        <w:t>that</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group</w:t>
      </w:r>
      <w:r w:rsidR="00BF059B" w:rsidRPr="00EE60F3">
        <w:rPr>
          <w:color w:val="000000"/>
        </w:rPr>
        <w:t xml:space="preserve"> </w:t>
      </w:r>
      <w:r w:rsidRPr="00EE60F3">
        <w:rPr>
          <w:color w:val="000000"/>
        </w:rPr>
        <w:t>has</w:t>
      </w:r>
      <w:r w:rsidR="00BF059B" w:rsidRPr="00EE60F3">
        <w:rPr>
          <w:color w:val="000000"/>
        </w:rPr>
        <w:t xml:space="preserve"> </w:t>
      </w:r>
      <w:r w:rsidRPr="00EE60F3">
        <w:rPr>
          <w:color w:val="000000"/>
        </w:rPr>
        <w:t>adequate</w:t>
      </w:r>
      <w:r w:rsidR="00BF059B" w:rsidRPr="00EE60F3">
        <w:rPr>
          <w:color w:val="000000"/>
        </w:rPr>
        <w:t xml:space="preserve"> </w:t>
      </w:r>
      <w:r w:rsidRPr="00EE60F3">
        <w:rPr>
          <w:color w:val="000000"/>
        </w:rPr>
        <w:t>resources</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continue</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operational</w:t>
      </w:r>
      <w:r w:rsidR="00BF059B" w:rsidRPr="00EE60F3">
        <w:rPr>
          <w:color w:val="000000"/>
        </w:rPr>
        <w:t xml:space="preserve"> </w:t>
      </w:r>
      <w:r w:rsidRPr="00EE60F3">
        <w:rPr>
          <w:color w:val="000000"/>
        </w:rPr>
        <w:t>existence</w:t>
      </w:r>
      <w:r w:rsidR="00BF059B" w:rsidRPr="00EE60F3">
        <w:rPr>
          <w:color w:val="000000"/>
        </w:rPr>
        <w:t xml:space="preserve"> </w:t>
      </w:r>
      <w:r w:rsidRPr="00EE60F3">
        <w:rPr>
          <w:color w:val="000000"/>
        </w:rPr>
        <w:t>for</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foreseeable</w:t>
      </w:r>
      <w:r w:rsidR="00BF059B" w:rsidRPr="00EE60F3">
        <w:rPr>
          <w:color w:val="000000"/>
        </w:rPr>
        <w:t xml:space="preserve"> </w:t>
      </w:r>
      <w:r w:rsidRPr="00EE60F3">
        <w:rPr>
          <w:color w:val="000000"/>
        </w:rPr>
        <w:t>future.</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group</w:t>
      </w:r>
      <w:r w:rsidR="00BF059B" w:rsidRPr="00EE60F3">
        <w:rPr>
          <w:color w:val="000000"/>
        </w:rPr>
        <w:t xml:space="preserve"> </w:t>
      </w:r>
      <w:r w:rsidRPr="00EE60F3">
        <w:rPr>
          <w:color w:val="000000"/>
        </w:rPr>
        <w:t>therefore</w:t>
      </w:r>
      <w:r w:rsidR="00BF059B" w:rsidRPr="00EE60F3">
        <w:rPr>
          <w:color w:val="000000"/>
        </w:rPr>
        <w:t xml:space="preserve"> </w:t>
      </w:r>
      <w:r w:rsidRPr="00EE60F3">
        <w:rPr>
          <w:color w:val="000000"/>
        </w:rPr>
        <w:t>continues</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adopt</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going</w:t>
      </w:r>
      <w:r w:rsidR="00BF059B" w:rsidRPr="00EE60F3">
        <w:rPr>
          <w:color w:val="000000"/>
        </w:rPr>
        <w:t xml:space="preserve"> </w:t>
      </w:r>
      <w:r w:rsidRPr="00EE60F3">
        <w:rPr>
          <w:color w:val="000000"/>
        </w:rPr>
        <w:t>concern</w:t>
      </w:r>
      <w:r w:rsidR="00BF059B" w:rsidRPr="00EE60F3">
        <w:rPr>
          <w:color w:val="000000"/>
        </w:rPr>
        <w:t xml:space="preserve"> </w:t>
      </w:r>
      <w:r w:rsidRPr="00EE60F3">
        <w:rPr>
          <w:color w:val="000000"/>
        </w:rPr>
        <w:t>basis</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preparing</w:t>
      </w:r>
      <w:r w:rsidR="00BF059B" w:rsidRPr="00EE60F3">
        <w:rPr>
          <w:color w:val="000000"/>
        </w:rPr>
        <w:t xml:space="preserve"> </w:t>
      </w:r>
      <w:r w:rsidRPr="00EE60F3">
        <w:rPr>
          <w:color w:val="000000"/>
        </w:rPr>
        <w:t>its</w:t>
      </w:r>
      <w:r w:rsidR="00BF059B" w:rsidRPr="00EE60F3">
        <w:rPr>
          <w:color w:val="000000"/>
        </w:rPr>
        <w:t xml:space="preserve"> </w:t>
      </w:r>
      <w:r w:rsidRPr="00EE60F3">
        <w:rPr>
          <w:color w:val="000000"/>
        </w:rPr>
        <w:t>financial</w:t>
      </w:r>
      <w:r w:rsidR="00BF059B" w:rsidRPr="00EE60F3">
        <w:rPr>
          <w:color w:val="000000"/>
        </w:rPr>
        <w:t xml:space="preserve"> </w:t>
      </w:r>
      <w:r w:rsidRPr="00EE60F3">
        <w:rPr>
          <w:color w:val="000000"/>
        </w:rPr>
        <w:t>statements.</w:t>
      </w:r>
    </w:p>
    <w:p w14:paraId="4D1592CF" w14:textId="77777777" w:rsidR="00BE13A8" w:rsidRPr="00EE60F3" w:rsidRDefault="00BE13A8" w:rsidP="00EE60F3">
      <w:pPr>
        <w:pBdr>
          <w:top w:val="nil"/>
          <w:left w:val="nil"/>
          <w:bottom w:val="nil"/>
          <w:right w:val="nil"/>
          <w:between w:val="nil"/>
        </w:pBdr>
        <w:rPr>
          <w:color w:val="000000"/>
        </w:rPr>
      </w:pPr>
    </w:p>
    <w:p w14:paraId="4FADF2B4" w14:textId="4FE53973" w:rsidR="00BE13A8" w:rsidRPr="00EE60F3" w:rsidRDefault="00D70530" w:rsidP="00EE60F3">
      <w:pPr>
        <w:pStyle w:val="Heading4"/>
        <w:jc w:val="left"/>
      </w:pPr>
      <w:r w:rsidRPr="00EE60F3">
        <w:t>b)</w:t>
      </w:r>
      <w:r w:rsidR="00BF059B" w:rsidRPr="00EE60F3">
        <w:t xml:space="preserve"> </w:t>
      </w:r>
      <w:r w:rsidRPr="00EE60F3">
        <w:t>Basis</w:t>
      </w:r>
      <w:r w:rsidR="00BF059B" w:rsidRPr="00EE60F3">
        <w:t xml:space="preserve"> </w:t>
      </w:r>
      <w:r w:rsidRPr="00EE60F3">
        <w:t>of</w:t>
      </w:r>
      <w:r w:rsidR="00BF059B" w:rsidRPr="00EE60F3">
        <w:t xml:space="preserve"> </w:t>
      </w:r>
      <w:r w:rsidRPr="00EE60F3">
        <w:t>consolidation</w:t>
      </w:r>
    </w:p>
    <w:p w14:paraId="5F44C59F" w14:textId="3F580043" w:rsidR="00BE13A8" w:rsidRPr="00EE60F3" w:rsidRDefault="00D70530" w:rsidP="00EE60F3">
      <w:pPr>
        <w:pBdr>
          <w:top w:val="nil"/>
          <w:left w:val="nil"/>
          <w:bottom w:val="nil"/>
          <w:right w:val="nil"/>
          <w:between w:val="nil"/>
        </w:pBdr>
        <w:rPr>
          <w:color w:val="000000"/>
        </w:rPr>
      </w:pPr>
      <w:r w:rsidRPr="00EE60F3">
        <w:rPr>
          <w:color w:val="000000"/>
        </w:rPr>
        <w:t>As</w:t>
      </w:r>
      <w:r w:rsidR="00BF059B" w:rsidRPr="00EE60F3">
        <w:rPr>
          <w:color w:val="000000"/>
        </w:rPr>
        <w:t xml:space="preserve"> </w:t>
      </w:r>
      <w:r w:rsidRPr="00EE60F3">
        <w:rPr>
          <w:color w:val="000000"/>
        </w:rPr>
        <w:t>explained</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Trustees’</w:t>
      </w:r>
      <w:r w:rsidR="00BF059B" w:rsidRPr="00EE60F3">
        <w:rPr>
          <w:color w:val="000000"/>
        </w:rPr>
        <w:t xml:space="preserve"> </w:t>
      </w:r>
      <w:r w:rsidRPr="00EE60F3">
        <w:rPr>
          <w:color w:val="000000"/>
        </w:rPr>
        <w:t>report</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company</w:t>
      </w:r>
      <w:r w:rsidR="00BF059B" w:rsidRPr="00EE60F3">
        <w:rPr>
          <w:color w:val="000000"/>
        </w:rPr>
        <w:t xml:space="preserve"> </w:t>
      </w:r>
      <w:r w:rsidRPr="00EE60F3">
        <w:rPr>
          <w:color w:val="000000"/>
        </w:rPr>
        <w:t>administers</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property</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both</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Foundation</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company</w:t>
      </w:r>
      <w:r w:rsidR="00BF059B" w:rsidRPr="00EE60F3">
        <w:rPr>
          <w:color w:val="000000"/>
        </w:rPr>
        <w:t xml:space="preserve"> </w:t>
      </w:r>
      <w:r w:rsidRPr="00EE60F3">
        <w:rPr>
          <w:color w:val="000000"/>
        </w:rPr>
        <w:t>on</w:t>
      </w:r>
      <w:r w:rsidR="00BF059B" w:rsidRPr="00EE60F3">
        <w:rPr>
          <w:color w:val="000000"/>
        </w:rPr>
        <w:t xml:space="preserve"> </w:t>
      </w:r>
      <w:r w:rsidRPr="00EE60F3">
        <w:rPr>
          <w:color w:val="000000"/>
        </w:rPr>
        <w:t>a</w:t>
      </w:r>
      <w:r w:rsidR="00BF059B" w:rsidRPr="00EE60F3">
        <w:rPr>
          <w:color w:val="000000"/>
        </w:rPr>
        <w:t xml:space="preserve"> </w:t>
      </w:r>
      <w:r w:rsidRPr="00EE60F3">
        <w:rPr>
          <w:color w:val="000000"/>
        </w:rPr>
        <w:t>combined</w:t>
      </w:r>
      <w:r w:rsidR="00BF059B" w:rsidRPr="00EE60F3">
        <w:rPr>
          <w:color w:val="000000"/>
        </w:rPr>
        <w:t xml:space="preserve"> </w:t>
      </w:r>
      <w:r w:rsidRPr="00EE60F3">
        <w:rPr>
          <w:color w:val="000000"/>
        </w:rPr>
        <w:t>basis</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Trustees</w:t>
      </w:r>
      <w:r w:rsidR="00BF059B" w:rsidRPr="00EE60F3">
        <w:rPr>
          <w:color w:val="000000"/>
        </w:rPr>
        <w:t xml:space="preserve"> </w:t>
      </w:r>
      <w:r w:rsidRPr="00EE60F3">
        <w:rPr>
          <w:color w:val="000000"/>
        </w:rPr>
        <w:t>consider</w:t>
      </w:r>
      <w:r w:rsidR="00BF059B" w:rsidRPr="00EE60F3">
        <w:rPr>
          <w:color w:val="000000"/>
        </w:rPr>
        <w:t xml:space="preserve"> </w:t>
      </w:r>
      <w:r w:rsidRPr="00EE60F3">
        <w:rPr>
          <w:color w:val="000000"/>
        </w:rPr>
        <w:t>it</w:t>
      </w:r>
      <w:r w:rsidR="00BF059B" w:rsidRPr="00EE60F3">
        <w:rPr>
          <w:color w:val="000000"/>
        </w:rPr>
        <w:t xml:space="preserve"> </w:t>
      </w:r>
      <w:r w:rsidRPr="00EE60F3">
        <w:rPr>
          <w:color w:val="000000"/>
        </w:rPr>
        <w:t>impractical</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segregate</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results</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two.</w:t>
      </w:r>
      <w:r w:rsidR="00BF059B" w:rsidRPr="00EE60F3">
        <w:rPr>
          <w:color w:val="000000"/>
        </w:rPr>
        <w:t xml:space="preserve"> </w:t>
      </w:r>
      <w:r w:rsidRPr="00EE60F3">
        <w:rPr>
          <w:color w:val="000000"/>
        </w:rPr>
        <w:t>Consequently,</w:t>
      </w:r>
      <w:r w:rsidR="00BF059B" w:rsidRPr="00EE60F3">
        <w:rPr>
          <w:color w:val="000000"/>
        </w:rPr>
        <w:t xml:space="preserve"> </w:t>
      </w:r>
      <w:r w:rsidRPr="00EE60F3">
        <w:rPr>
          <w:color w:val="000000"/>
        </w:rPr>
        <w:t>consolidated</w:t>
      </w:r>
      <w:r w:rsidR="00BF059B" w:rsidRPr="00EE60F3">
        <w:rPr>
          <w:color w:val="000000"/>
        </w:rPr>
        <w:t xml:space="preserve"> </w:t>
      </w:r>
      <w:r w:rsidRPr="00EE60F3">
        <w:rPr>
          <w:color w:val="000000"/>
        </w:rPr>
        <w:t>accounts</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been</w:t>
      </w:r>
      <w:r w:rsidR="00BF059B" w:rsidRPr="00EE60F3">
        <w:rPr>
          <w:color w:val="000000"/>
        </w:rPr>
        <w:t xml:space="preserve"> </w:t>
      </w:r>
      <w:r w:rsidRPr="00EE60F3">
        <w:rPr>
          <w:color w:val="000000"/>
        </w:rPr>
        <w:t>prepared</w:t>
      </w:r>
      <w:r w:rsidR="00BF059B" w:rsidRPr="00EE60F3">
        <w:rPr>
          <w:color w:val="000000"/>
        </w:rPr>
        <w:t xml:space="preserve"> </w:t>
      </w:r>
      <w:r w:rsidRPr="00EE60F3">
        <w:rPr>
          <w:color w:val="000000"/>
        </w:rPr>
        <w:t>for</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Museum</w:t>
      </w:r>
      <w:r w:rsidR="00BF059B" w:rsidRPr="00EE60F3">
        <w:rPr>
          <w:color w:val="000000"/>
        </w:rPr>
        <w:t xml:space="preserve"> </w:t>
      </w:r>
      <w:r w:rsidRPr="00EE60F3">
        <w:rPr>
          <w:color w:val="000000"/>
        </w:rPr>
        <w:t>which</w:t>
      </w:r>
      <w:r w:rsidR="00BF059B" w:rsidRPr="00EE60F3">
        <w:rPr>
          <w:color w:val="000000"/>
        </w:rPr>
        <w:t xml:space="preserve"> </w:t>
      </w:r>
      <w:r w:rsidRPr="00EE60F3">
        <w:rPr>
          <w:color w:val="000000"/>
        </w:rPr>
        <w:t>includes</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Foundation</w:t>
      </w:r>
      <w:r w:rsidR="00BF059B" w:rsidRPr="00EE60F3">
        <w:rPr>
          <w:color w:val="000000"/>
        </w:rPr>
        <w:t xml:space="preserve"> </w:t>
      </w:r>
      <w:r w:rsidRPr="00EE60F3">
        <w:rPr>
          <w:color w:val="000000"/>
        </w:rPr>
        <w:t>as</w:t>
      </w:r>
      <w:r w:rsidR="00BF059B" w:rsidRPr="00EE60F3">
        <w:rPr>
          <w:color w:val="000000"/>
        </w:rPr>
        <w:t xml:space="preserve"> </w:t>
      </w:r>
      <w:r w:rsidRPr="00EE60F3">
        <w:rPr>
          <w:color w:val="000000"/>
        </w:rPr>
        <w:t>well</w:t>
      </w:r>
      <w:r w:rsidR="00BF059B" w:rsidRPr="00EE60F3">
        <w:rPr>
          <w:color w:val="000000"/>
        </w:rPr>
        <w:t xml:space="preserve"> </w:t>
      </w:r>
      <w:r w:rsidRPr="00EE60F3">
        <w:rPr>
          <w:color w:val="000000"/>
        </w:rPr>
        <w:t>as</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grant-in-</w:t>
      </w:r>
      <w:r w:rsidR="00BF059B" w:rsidRPr="00EE60F3">
        <w:rPr>
          <w:color w:val="000000"/>
        </w:rPr>
        <w:t xml:space="preserve"> </w:t>
      </w:r>
      <w:r w:rsidRPr="00EE60F3">
        <w:rPr>
          <w:color w:val="000000"/>
        </w:rPr>
        <w:t>aid</w:t>
      </w:r>
      <w:r w:rsidR="00BF059B" w:rsidRPr="00EE60F3">
        <w:rPr>
          <w:color w:val="000000"/>
        </w:rPr>
        <w:t xml:space="preserve"> </w:t>
      </w:r>
      <w:r w:rsidRPr="00EE60F3">
        <w:rPr>
          <w:color w:val="000000"/>
        </w:rPr>
        <w:t>account</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restricted</w:t>
      </w:r>
      <w:r w:rsidR="00BF059B" w:rsidRPr="00EE60F3">
        <w:rPr>
          <w:color w:val="000000"/>
        </w:rPr>
        <w:t xml:space="preserve"> </w:t>
      </w:r>
      <w:r w:rsidRPr="00EE60F3">
        <w:rPr>
          <w:color w:val="000000"/>
        </w:rPr>
        <w:t>funds</w:t>
      </w:r>
      <w:r w:rsidR="00BF059B" w:rsidRPr="00EE60F3">
        <w:rPr>
          <w:color w:val="000000"/>
        </w:rPr>
        <w:t xml:space="preserve"> </w:t>
      </w:r>
      <w:r w:rsidRPr="00EE60F3">
        <w:rPr>
          <w:color w:val="000000"/>
        </w:rPr>
        <w:t>administered</w:t>
      </w:r>
      <w:r w:rsidR="00BF059B" w:rsidRPr="00EE60F3">
        <w:rPr>
          <w:color w:val="000000"/>
        </w:rPr>
        <w:t xml:space="preserve"> </w:t>
      </w:r>
      <w:r w:rsidRPr="00EE60F3">
        <w:rPr>
          <w:color w:val="000000"/>
        </w:rPr>
        <w:t>by</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Museum.</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accounts</w:t>
      </w:r>
      <w:r w:rsidR="00BF059B" w:rsidRPr="00EE60F3">
        <w:rPr>
          <w:color w:val="000000"/>
        </w:rPr>
        <w:t xml:space="preserve"> </w:t>
      </w:r>
      <w:r w:rsidRPr="00EE60F3">
        <w:rPr>
          <w:color w:val="000000"/>
        </w:rPr>
        <w:t>also</w:t>
      </w:r>
      <w:r w:rsidR="00BF059B" w:rsidRPr="00EE60F3">
        <w:rPr>
          <w:color w:val="000000"/>
        </w:rPr>
        <w:t xml:space="preserve"> </w:t>
      </w:r>
      <w:r w:rsidRPr="00EE60F3">
        <w:rPr>
          <w:color w:val="000000"/>
        </w:rPr>
        <w:t>consolidate</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results</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wholly</w:t>
      </w:r>
      <w:r w:rsidR="00BF059B" w:rsidRPr="00EE60F3">
        <w:rPr>
          <w:color w:val="000000"/>
        </w:rPr>
        <w:t xml:space="preserve"> </w:t>
      </w:r>
      <w:r w:rsidRPr="00EE60F3">
        <w:rPr>
          <w:color w:val="000000"/>
        </w:rPr>
        <w:t>owned</w:t>
      </w:r>
      <w:r w:rsidR="00BF059B" w:rsidRPr="00EE60F3">
        <w:rPr>
          <w:color w:val="000000"/>
        </w:rPr>
        <w:t xml:space="preserve"> </w:t>
      </w:r>
      <w:r w:rsidRPr="00EE60F3">
        <w:rPr>
          <w:color w:val="000000"/>
        </w:rPr>
        <w:t>subsidiary,</w:t>
      </w:r>
      <w:r w:rsidR="00BF059B" w:rsidRPr="00EE60F3">
        <w:rPr>
          <w:color w:val="000000"/>
        </w:rPr>
        <w:t xml:space="preserve"> </w:t>
      </w:r>
      <w:r w:rsidRPr="00EE60F3">
        <w:rPr>
          <w:color w:val="000000"/>
        </w:rPr>
        <w:t>Horniman</w:t>
      </w:r>
      <w:r w:rsidR="00BF059B" w:rsidRPr="00EE60F3">
        <w:rPr>
          <w:color w:val="000000"/>
        </w:rPr>
        <w:t xml:space="preserve"> </w:t>
      </w:r>
      <w:r w:rsidRPr="00EE60F3">
        <w:rPr>
          <w:color w:val="000000"/>
        </w:rPr>
        <w:t>Museum</w:t>
      </w:r>
      <w:r w:rsidR="00BF059B" w:rsidRPr="00EE60F3">
        <w:rPr>
          <w:color w:val="000000"/>
        </w:rPr>
        <w:t xml:space="preserve"> </w:t>
      </w:r>
      <w:r w:rsidRPr="00EE60F3">
        <w:rPr>
          <w:color w:val="000000"/>
        </w:rPr>
        <w:t>Enterprises</w:t>
      </w:r>
      <w:r w:rsidR="00BF059B" w:rsidRPr="00EE60F3">
        <w:rPr>
          <w:color w:val="000000"/>
        </w:rPr>
        <w:t xml:space="preserve"> </w:t>
      </w:r>
      <w:r w:rsidRPr="00EE60F3">
        <w:rPr>
          <w:color w:val="000000"/>
        </w:rPr>
        <w:t>Limited</w:t>
      </w:r>
      <w:r w:rsidR="00BF059B" w:rsidRPr="00EE60F3">
        <w:rPr>
          <w:color w:val="000000"/>
        </w:rPr>
        <w:t xml:space="preserve"> </w:t>
      </w:r>
      <w:r w:rsidRPr="00EE60F3">
        <w:rPr>
          <w:color w:val="000000"/>
        </w:rPr>
        <w:t>(HME).</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results</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HME</w:t>
      </w:r>
      <w:r w:rsidR="00BF059B" w:rsidRPr="00EE60F3">
        <w:rPr>
          <w:color w:val="000000"/>
        </w:rPr>
        <w:t xml:space="preserve"> </w:t>
      </w:r>
      <w:r w:rsidRPr="00EE60F3">
        <w:rPr>
          <w:color w:val="000000"/>
        </w:rPr>
        <w:t>are</w:t>
      </w:r>
      <w:r w:rsidR="00BF059B" w:rsidRPr="00EE60F3">
        <w:rPr>
          <w:color w:val="000000"/>
        </w:rPr>
        <w:t xml:space="preserve"> </w:t>
      </w:r>
      <w:r w:rsidRPr="00EE60F3">
        <w:rPr>
          <w:color w:val="000000"/>
        </w:rPr>
        <w:t>consolidated</w:t>
      </w:r>
      <w:r w:rsidR="00BF059B" w:rsidRPr="00EE60F3">
        <w:rPr>
          <w:color w:val="000000"/>
        </w:rPr>
        <w:t xml:space="preserve"> </w:t>
      </w:r>
      <w:r w:rsidRPr="00EE60F3">
        <w:rPr>
          <w:color w:val="000000"/>
        </w:rPr>
        <w:t>on</w:t>
      </w:r>
      <w:r w:rsidR="00BF059B" w:rsidRPr="00EE60F3">
        <w:rPr>
          <w:color w:val="000000"/>
        </w:rPr>
        <w:t xml:space="preserve"> </w:t>
      </w:r>
      <w:r w:rsidRPr="00EE60F3">
        <w:rPr>
          <w:color w:val="000000"/>
        </w:rPr>
        <w:t>a</w:t>
      </w:r>
      <w:r w:rsidR="00BF059B" w:rsidRPr="00EE60F3">
        <w:rPr>
          <w:color w:val="000000"/>
        </w:rPr>
        <w:t xml:space="preserve"> </w:t>
      </w:r>
      <w:r w:rsidRPr="00EE60F3">
        <w:rPr>
          <w:color w:val="000000"/>
        </w:rPr>
        <w:t>line-by-line</w:t>
      </w:r>
      <w:r w:rsidR="00BF059B" w:rsidRPr="00EE60F3">
        <w:rPr>
          <w:color w:val="000000"/>
        </w:rPr>
        <w:t xml:space="preserve"> </w:t>
      </w:r>
      <w:r w:rsidRPr="00EE60F3">
        <w:rPr>
          <w:color w:val="000000"/>
        </w:rPr>
        <w:t>basis.</w:t>
      </w:r>
    </w:p>
    <w:p w14:paraId="6C5E439E" w14:textId="77777777" w:rsidR="00BE13A8" w:rsidRPr="00EE60F3" w:rsidRDefault="00BE13A8" w:rsidP="00EE60F3">
      <w:pPr>
        <w:pBdr>
          <w:top w:val="nil"/>
          <w:left w:val="nil"/>
          <w:bottom w:val="nil"/>
          <w:right w:val="nil"/>
          <w:between w:val="nil"/>
        </w:pBdr>
        <w:rPr>
          <w:color w:val="000000"/>
        </w:rPr>
      </w:pPr>
    </w:p>
    <w:p w14:paraId="775502F3" w14:textId="0C5A4A21" w:rsidR="00BE13A8" w:rsidRPr="00EE60F3" w:rsidRDefault="00D70530" w:rsidP="00EE60F3">
      <w:pPr>
        <w:pStyle w:val="Heading4"/>
      </w:pPr>
      <w:r w:rsidRPr="00EE60F3">
        <w:t>c)</w:t>
      </w:r>
      <w:r w:rsidR="00BF059B" w:rsidRPr="00EE60F3">
        <w:t xml:space="preserve"> </w:t>
      </w:r>
      <w:r w:rsidRPr="00EE60F3">
        <w:t>Income</w:t>
      </w:r>
    </w:p>
    <w:p w14:paraId="135F1C8A" w14:textId="2FE383CF" w:rsidR="00BE13A8" w:rsidRPr="00EE60F3" w:rsidRDefault="00D70530" w:rsidP="00EE60F3">
      <w:pPr>
        <w:pBdr>
          <w:top w:val="nil"/>
          <w:left w:val="nil"/>
          <w:bottom w:val="nil"/>
          <w:right w:val="nil"/>
          <w:between w:val="nil"/>
        </w:pBdr>
        <w:rPr>
          <w:color w:val="000000"/>
        </w:rPr>
      </w:pPr>
      <w:r w:rsidRPr="00EE60F3">
        <w:rPr>
          <w:color w:val="000000"/>
        </w:rPr>
        <w:t>All</w:t>
      </w:r>
      <w:r w:rsidR="00BF059B" w:rsidRPr="00EE60F3">
        <w:rPr>
          <w:color w:val="000000"/>
        </w:rPr>
        <w:t xml:space="preserve"> </w:t>
      </w:r>
      <w:r w:rsidRPr="00EE60F3">
        <w:rPr>
          <w:color w:val="000000"/>
        </w:rPr>
        <w:t>income</w:t>
      </w:r>
      <w:r w:rsidR="00BF059B" w:rsidRPr="00EE60F3">
        <w:rPr>
          <w:color w:val="000000"/>
        </w:rPr>
        <w:t xml:space="preserve"> </w:t>
      </w:r>
      <w:r w:rsidRPr="00EE60F3">
        <w:rPr>
          <w:color w:val="000000"/>
        </w:rPr>
        <w:t>is</w:t>
      </w:r>
      <w:r w:rsidR="00BF059B" w:rsidRPr="00EE60F3">
        <w:rPr>
          <w:color w:val="000000"/>
        </w:rPr>
        <w:t xml:space="preserve"> </w:t>
      </w:r>
      <w:r w:rsidRPr="00EE60F3">
        <w:rPr>
          <w:color w:val="000000"/>
        </w:rPr>
        <w:t>accounted</w:t>
      </w:r>
      <w:r w:rsidR="00BF059B" w:rsidRPr="00EE60F3">
        <w:rPr>
          <w:color w:val="000000"/>
        </w:rPr>
        <w:t xml:space="preserve"> </w:t>
      </w:r>
      <w:r w:rsidRPr="00EE60F3">
        <w:rPr>
          <w:color w:val="000000"/>
        </w:rPr>
        <w:t>for</w:t>
      </w:r>
      <w:r w:rsidR="00BF059B" w:rsidRPr="00EE60F3">
        <w:rPr>
          <w:color w:val="000000"/>
        </w:rPr>
        <w:t xml:space="preserve"> </w:t>
      </w:r>
      <w:r w:rsidRPr="00EE60F3">
        <w:rPr>
          <w:color w:val="000000"/>
        </w:rPr>
        <w:t>on</w:t>
      </w:r>
      <w:r w:rsidR="00BF059B" w:rsidRPr="00EE60F3">
        <w:rPr>
          <w:color w:val="000000"/>
        </w:rPr>
        <w:t xml:space="preserve"> </w:t>
      </w:r>
      <w:r w:rsidRPr="00EE60F3">
        <w:rPr>
          <w:color w:val="000000"/>
        </w:rPr>
        <w:t>a</w:t>
      </w:r>
      <w:r w:rsidR="00BF059B" w:rsidRPr="00EE60F3">
        <w:rPr>
          <w:color w:val="000000"/>
        </w:rPr>
        <w:t xml:space="preserve"> </w:t>
      </w:r>
      <w:r w:rsidRPr="00EE60F3">
        <w:rPr>
          <w:color w:val="000000"/>
        </w:rPr>
        <w:t>receivable</w:t>
      </w:r>
      <w:r w:rsidR="00BF059B" w:rsidRPr="00EE60F3">
        <w:rPr>
          <w:color w:val="000000"/>
        </w:rPr>
        <w:t xml:space="preserve"> </w:t>
      </w:r>
      <w:r w:rsidRPr="00EE60F3">
        <w:rPr>
          <w:color w:val="000000"/>
        </w:rPr>
        <w:t>basis.</w:t>
      </w:r>
      <w:r w:rsidR="00BF059B" w:rsidRPr="00EE60F3">
        <w:rPr>
          <w:color w:val="000000"/>
        </w:rPr>
        <w:t xml:space="preserve"> </w:t>
      </w:r>
      <w:r w:rsidRPr="00EE60F3">
        <w:rPr>
          <w:color w:val="000000"/>
        </w:rPr>
        <w:t>Grant-in-aid</w:t>
      </w:r>
      <w:r w:rsidR="00BF059B" w:rsidRPr="00EE60F3">
        <w:rPr>
          <w:color w:val="000000"/>
        </w:rPr>
        <w:t xml:space="preserve"> </w:t>
      </w:r>
      <w:r w:rsidRPr="00EE60F3">
        <w:rPr>
          <w:color w:val="000000"/>
        </w:rPr>
        <w:t>from</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Department</w:t>
      </w:r>
      <w:r w:rsidR="00BF059B" w:rsidRPr="00EE60F3">
        <w:rPr>
          <w:color w:val="000000"/>
        </w:rPr>
        <w:t xml:space="preserve"> </w:t>
      </w:r>
      <w:r w:rsidRPr="00EE60F3">
        <w:rPr>
          <w:color w:val="000000"/>
        </w:rPr>
        <w:t>for</w:t>
      </w:r>
      <w:r w:rsidR="00BF059B" w:rsidRPr="00EE60F3">
        <w:rPr>
          <w:color w:val="000000"/>
        </w:rPr>
        <w:t xml:space="preserve"> </w:t>
      </w:r>
      <w:r w:rsidRPr="00EE60F3">
        <w:rPr>
          <w:color w:val="000000"/>
        </w:rPr>
        <w:t>Culture,</w:t>
      </w:r>
      <w:r w:rsidR="00BF059B" w:rsidRPr="00EE60F3">
        <w:rPr>
          <w:color w:val="000000"/>
        </w:rPr>
        <w:t xml:space="preserve"> </w:t>
      </w:r>
      <w:r w:rsidRPr="00EE60F3">
        <w:rPr>
          <w:color w:val="000000"/>
        </w:rPr>
        <w:t>Media</w:t>
      </w:r>
      <w:r w:rsidR="00BF059B" w:rsidRPr="00EE60F3">
        <w:rPr>
          <w:color w:val="000000"/>
        </w:rPr>
        <w:t xml:space="preserve"> </w:t>
      </w:r>
      <w:r w:rsidRPr="00EE60F3">
        <w:rPr>
          <w:color w:val="000000"/>
        </w:rPr>
        <w:t>&amp;</w:t>
      </w:r>
      <w:r w:rsidR="00BF059B" w:rsidRPr="00EE60F3">
        <w:rPr>
          <w:color w:val="000000"/>
        </w:rPr>
        <w:t xml:space="preserve"> </w:t>
      </w:r>
      <w:r w:rsidRPr="00EE60F3">
        <w:rPr>
          <w:color w:val="000000"/>
        </w:rPr>
        <w:t>Sport</w:t>
      </w:r>
      <w:r w:rsidR="00BF059B" w:rsidRPr="00EE60F3">
        <w:rPr>
          <w:color w:val="000000"/>
        </w:rPr>
        <w:t xml:space="preserve"> </w:t>
      </w:r>
      <w:r w:rsidRPr="00EE60F3">
        <w:rPr>
          <w:color w:val="000000"/>
        </w:rPr>
        <w:t>allocated</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general</w:t>
      </w:r>
      <w:r w:rsidR="00BF059B" w:rsidRPr="00EE60F3">
        <w:rPr>
          <w:color w:val="000000"/>
        </w:rPr>
        <w:t xml:space="preserve"> </w:t>
      </w:r>
      <w:r w:rsidRPr="00EE60F3">
        <w:rPr>
          <w:color w:val="000000"/>
        </w:rPr>
        <w:t>purposes</w:t>
      </w:r>
      <w:r w:rsidR="00BF059B" w:rsidRPr="00EE60F3">
        <w:rPr>
          <w:color w:val="000000"/>
        </w:rPr>
        <w:t xml:space="preserve"> </w:t>
      </w:r>
      <w:r w:rsidRPr="00EE60F3">
        <w:rPr>
          <w:color w:val="000000"/>
        </w:rPr>
        <w:t>is</w:t>
      </w:r>
      <w:r w:rsidR="00BF059B" w:rsidRPr="00EE60F3">
        <w:rPr>
          <w:color w:val="000000"/>
        </w:rPr>
        <w:t xml:space="preserve"> </w:t>
      </w:r>
      <w:r w:rsidRPr="00EE60F3">
        <w:rPr>
          <w:color w:val="000000"/>
        </w:rPr>
        <w:t>taken</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income</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expenditure</w:t>
      </w:r>
      <w:r w:rsidR="00BF059B" w:rsidRPr="00EE60F3">
        <w:rPr>
          <w:color w:val="000000"/>
        </w:rPr>
        <w:t xml:space="preserve"> </w:t>
      </w:r>
      <w:r w:rsidRPr="00EE60F3">
        <w:rPr>
          <w:color w:val="000000"/>
        </w:rPr>
        <w:t>account</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year</w:t>
      </w:r>
      <w:r w:rsidR="00BF059B" w:rsidRPr="00EE60F3">
        <w:rPr>
          <w:color w:val="000000"/>
        </w:rPr>
        <w:t xml:space="preserve"> </w:t>
      </w:r>
      <w:r w:rsidRPr="00EE60F3">
        <w:rPr>
          <w:color w:val="000000"/>
        </w:rPr>
        <w:t>it</w:t>
      </w:r>
      <w:r w:rsidR="00BF059B" w:rsidRPr="00EE60F3">
        <w:rPr>
          <w:color w:val="000000"/>
        </w:rPr>
        <w:t xml:space="preserve"> </w:t>
      </w:r>
      <w:r w:rsidRPr="00EE60F3">
        <w:rPr>
          <w:color w:val="000000"/>
        </w:rPr>
        <w:t>is</w:t>
      </w:r>
      <w:r w:rsidR="00BF059B" w:rsidRPr="00EE60F3">
        <w:rPr>
          <w:color w:val="000000"/>
        </w:rPr>
        <w:t xml:space="preserve"> </w:t>
      </w:r>
      <w:r w:rsidRPr="00EE60F3">
        <w:rPr>
          <w:color w:val="000000"/>
        </w:rPr>
        <w:t>received.</w:t>
      </w:r>
      <w:r w:rsidR="00BF059B" w:rsidRPr="00EE60F3">
        <w:rPr>
          <w:color w:val="000000"/>
        </w:rPr>
        <w:t xml:space="preserve"> </w:t>
      </w:r>
      <w:r w:rsidRPr="00EE60F3">
        <w:rPr>
          <w:color w:val="000000"/>
        </w:rPr>
        <w:t>Other</w:t>
      </w:r>
      <w:r w:rsidR="00BF059B" w:rsidRPr="00EE60F3">
        <w:rPr>
          <w:color w:val="000000"/>
        </w:rPr>
        <w:t xml:space="preserve"> </w:t>
      </w:r>
      <w:r w:rsidRPr="00EE60F3">
        <w:rPr>
          <w:color w:val="000000"/>
        </w:rPr>
        <w:t>grant</w:t>
      </w:r>
      <w:r w:rsidR="00BF059B" w:rsidRPr="00EE60F3">
        <w:rPr>
          <w:color w:val="000000"/>
        </w:rPr>
        <w:t xml:space="preserve"> </w:t>
      </w:r>
      <w:r w:rsidRPr="00EE60F3">
        <w:rPr>
          <w:color w:val="000000"/>
        </w:rPr>
        <w:t>income</w:t>
      </w:r>
      <w:r w:rsidR="00BF059B" w:rsidRPr="00EE60F3">
        <w:rPr>
          <w:color w:val="000000"/>
        </w:rPr>
        <w:t xml:space="preserve"> </w:t>
      </w:r>
      <w:r w:rsidRPr="00EE60F3">
        <w:rPr>
          <w:color w:val="000000"/>
        </w:rPr>
        <w:t>is</w:t>
      </w:r>
      <w:r w:rsidR="00BF059B" w:rsidRPr="00EE60F3">
        <w:rPr>
          <w:color w:val="000000"/>
        </w:rPr>
        <w:t xml:space="preserve"> </w:t>
      </w:r>
      <w:r w:rsidRPr="00EE60F3">
        <w:rPr>
          <w:color w:val="000000"/>
        </w:rPr>
        <w:t>recognised</w:t>
      </w:r>
      <w:r w:rsidR="00BF059B" w:rsidRPr="00EE60F3">
        <w:rPr>
          <w:color w:val="000000"/>
        </w:rPr>
        <w:t xml:space="preserve"> </w:t>
      </w:r>
      <w:r w:rsidRPr="00EE60F3">
        <w:rPr>
          <w:color w:val="000000"/>
        </w:rPr>
        <w:t>as</w:t>
      </w:r>
      <w:r w:rsidR="00BF059B" w:rsidRPr="00EE60F3">
        <w:rPr>
          <w:color w:val="000000"/>
        </w:rPr>
        <w:t xml:space="preserve"> </w:t>
      </w:r>
      <w:r w:rsidRPr="00EE60F3">
        <w:rPr>
          <w:color w:val="000000"/>
        </w:rPr>
        <w:t>income</w:t>
      </w:r>
      <w:r w:rsidR="00BF059B" w:rsidRPr="00EE60F3">
        <w:rPr>
          <w:color w:val="000000"/>
        </w:rPr>
        <w:t xml:space="preserve"> </w:t>
      </w:r>
      <w:r w:rsidRPr="00EE60F3">
        <w:rPr>
          <w:color w:val="000000"/>
        </w:rPr>
        <w:t>when</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conditions</w:t>
      </w:r>
      <w:r w:rsidR="00BF059B" w:rsidRPr="00EE60F3">
        <w:rPr>
          <w:color w:val="000000"/>
        </w:rPr>
        <w:t xml:space="preserve"> </w:t>
      </w:r>
      <w:r w:rsidRPr="00EE60F3">
        <w:rPr>
          <w:color w:val="000000"/>
        </w:rPr>
        <w:t>for</w:t>
      </w:r>
      <w:r w:rsidR="00BF059B" w:rsidRPr="00EE60F3">
        <w:rPr>
          <w:color w:val="000000"/>
        </w:rPr>
        <w:t xml:space="preserve"> </w:t>
      </w:r>
      <w:r w:rsidRPr="00EE60F3">
        <w:rPr>
          <w:color w:val="000000"/>
        </w:rPr>
        <w:t>its</w:t>
      </w:r>
      <w:r w:rsidR="00BF059B" w:rsidRPr="00EE60F3">
        <w:rPr>
          <w:color w:val="000000"/>
        </w:rPr>
        <w:t xml:space="preserve"> </w:t>
      </w:r>
      <w:r w:rsidRPr="00EE60F3">
        <w:rPr>
          <w:color w:val="000000"/>
        </w:rPr>
        <w:t>receipt</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been</w:t>
      </w:r>
      <w:r w:rsidR="00BF059B" w:rsidRPr="00EE60F3">
        <w:rPr>
          <w:color w:val="000000"/>
        </w:rPr>
        <w:t xml:space="preserve"> </w:t>
      </w:r>
      <w:r w:rsidRPr="00EE60F3">
        <w:rPr>
          <w:color w:val="000000"/>
        </w:rPr>
        <w:t>met.</w:t>
      </w:r>
      <w:r w:rsidR="00BF059B" w:rsidRPr="00EE60F3">
        <w:rPr>
          <w:color w:val="000000"/>
        </w:rPr>
        <w:t xml:space="preserve"> </w:t>
      </w:r>
      <w:r w:rsidRPr="00EE60F3">
        <w:rPr>
          <w:color w:val="000000"/>
        </w:rPr>
        <w:t>Legacies</w:t>
      </w:r>
      <w:r w:rsidR="00BF059B" w:rsidRPr="00EE60F3">
        <w:rPr>
          <w:color w:val="000000"/>
        </w:rPr>
        <w:t xml:space="preserve"> </w:t>
      </w:r>
      <w:r w:rsidRPr="00EE60F3">
        <w:rPr>
          <w:color w:val="000000"/>
        </w:rPr>
        <w:t>are</w:t>
      </w:r>
      <w:r w:rsidR="00BF059B" w:rsidRPr="00EE60F3">
        <w:rPr>
          <w:color w:val="000000"/>
        </w:rPr>
        <w:t xml:space="preserve"> </w:t>
      </w:r>
      <w:r w:rsidRPr="00EE60F3">
        <w:rPr>
          <w:color w:val="000000"/>
        </w:rPr>
        <w:t>credited</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income</w:t>
      </w:r>
      <w:r w:rsidR="00BF059B" w:rsidRPr="00EE60F3">
        <w:rPr>
          <w:color w:val="000000"/>
        </w:rPr>
        <w:t xml:space="preserve"> </w:t>
      </w:r>
      <w:r w:rsidRPr="00EE60F3">
        <w:rPr>
          <w:color w:val="000000"/>
        </w:rPr>
        <w:t>when</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Museum</w:t>
      </w:r>
      <w:r w:rsidR="00BF059B" w:rsidRPr="00EE60F3">
        <w:rPr>
          <w:color w:val="000000"/>
        </w:rPr>
        <w:t xml:space="preserve"> </w:t>
      </w:r>
      <w:r w:rsidRPr="00EE60F3">
        <w:rPr>
          <w:color w:val="000000"/>
        </w:rPr>
        <w:t>becomes</w:t>
      </w:r>
      <w:r w:rsidR="00BF059B" w:rsidRPr="00EE60F3">
        <w:rPr>
          <w:color w:val="000000"/>
        </w:rPr>
        <w:t xml:space="preserve"> </w:t>
      </w:r>
      <w:r w:rsidRPr="00EE60F3">
        <w:rPr>
          <w:color w:val="000000"/>
        </w:rPr>
        <w:t>entitled</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income</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there</w:t>
      </w:r>
      <w:r w:rsidR="00BF059B" w:rsidRPr="00EE60F3">
        <w:rPr>
          <w:color w:val="000000"/>
        </w:rPr>
        <w:t xml:space="preserve"> </w:t>
      </w:r>
      <w:r w:rsidRPr="00EE60F3">
        <w:rPr>
          <w:color w:val="000000"/>
        </w:rPr>
        <w:t>is</w:t>
      </w:r>
      <w:r w:rsidR="00BF059B" w:rsidRPr="00EE60F3">
        <w:rPr>
          <w:color w:val="000000"/>
        </w:rPr>
        <w:t xml:space="preserve"> </w:t>
      </w:r>
      <w:r w:rsidRPr="00EE60F3">
        <w:rPr>
          <w:color w:val="000000"/>
        </w:rPr>
        <w:t>certainty</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receipt.</w:t>
      </w:r>
    </w:p>
    <w:p w14:paraId="42D6A224" w14:textId="77777777" w:rsidR="00BE13A8" w:rsidRPr="00EE60F3" w:rsidRDefault="00BE13A8" w:rsidP="00EE60F3">
      <w:pPr>
        <w:pBdr>
          <w:top w:val="nil"/>
          <w:left w:val="nil"/>
          <w:bottom w:val="nil"/>
          <w:right w:val="nil"/>
          <w:between w:val="nil"/>
        </w:pBdr>
        <w:rPr>
          <w:color w:val="000000"/>
        </w:rPr>
      </w:pPr>
    </w:p>
    <w:p w14:paraId="3F1707E9" w14:textId="4829D511" w:rsidR="00BE13A8" w:rsidRPr="00EE60F3" w:rsidRDefault="00D70530" w:rsidP="00EE60F3">
      <w:pPr>
        <w:pStyle w:val="Heading4"/>
      </w:pPr>
      <w:r w:rsidRPr="00EE60F3">
        <w:t>d)</w:t>
      </w:r>
      <w:r w:rsidR="00BF059B" w:rsidRPr="00EE60F3">
        <w:t xml:space="preserve"> </w:t>
      </w:r>
      <w:r w:rsidRPr="00EE60F3">
        <w:t>Expenditure</w:t>
      </w:r>
    </w:p>
    <w:p w14:paraId="71973E66" w14:textId="0849793A" w:rsidR="00BE13A8" w:rsidRDefault="00D70530" w:rsidP="00EE60F3">
      <w:pPr>
        <w:pBdr>
          <w:top w:val="nil"/>
          <w:left w:val="nil"/>
          <w:bottom w:val="nil"/>
          <w:right w:val="nil"/>
          <w:between w:val="nil"/>
        </w:pBdr>
        <w:rPr>
          <w:color w:val="000000"/>
        </w:rPr>
      </w:pPr>
      <w:r w:rsidRPr="00EE60F3">
        <w:rPr>
          <w:color w:val="000000"/>
        </w:rPr>
        <w:t>Expenditure</w:t>
      </w:r>
      <w:r w:rsidR="00BF059B" w:rsidRPr="00EE60F3">
        <w:rPr>
          <w:color w:val="000000"/>
        </w:rPr>
        <w:t xml:space="preserve"> </w:t>
      </w:r>
      <w:r w:rsidRPr="00EE60F3">
        <w:rPr>
          <w:color w:val="000000"/>
        </w:rPr>
        <w:t>is</w:t>
      </w:r>
      <w:r w:rsidR="00BF059B" w:rsidRPr="00EE60F3">
        <w:rPr>
          <w:color w:val="000000"/>
        </w:rPr>
        <w:t xml:space="preserve"> </w:t>
      </w:r>
      <w:r w:rsidRPr="00EE60F3">
        <w:rPr>
          <w:color w:val="000000"/>
        </w:rPr>
        <w:t>classified</w:t>
      </w:r>
      <w:r w:rsidR="00BF059B" w:rsidRPr="00EE60F3">
        <w:rPr>
          <w:color w:val="000000"/>
        </w:rPr>
        <w:t xml:space="preserve"> </w:t>
      </w:r>
      <w:r w:rsidRPr="00EE60F3">
        <w:rPr>
          <w:color w:val="000000"/>
        </w:rPr>
        <w:t>under</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principal</w:t>
      </w:r>
      <w:r w:rsidR="00BF059B" w:rsidRPr="00EE60F3">
        <w:rPr>
          <w:color w:val="000000"/>
        </w:rPr>
        <w:t xml:space="preserve"> </w:t>
      </w:r>
      <w:r w:rsidRPr="00EE60F3">
        <w:rPr>
          <w:color w:val="000000"/>
        </w:rPr>
        <w:t>categories</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cost</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generating</w:t>
      </w:r>
      <w:r w:rsidR="00BF059B" w:rsidRPr="00EE60F3">
        <w:rPr>
          <w:color w:val="000000"/>
        </w:rPr>
        <w:t xml:space="preserve"> </w:t>
      </w:r>
      <w:r w:rsidRPr="00EE60F3">
        <w:rPr>
          <w:color w:val="000000"/>
        </w:rPr>
        <w:t>funds,</w:t>
      </w:r>
      <w:r w:rsidR="00BF059B" w:rsidRPr="00EE60F3">
        <w:rPr>
          <w:color w:val="000000"/>
        </w:rPr>
        <w:t xml:space="preserve"> </w:t>
      </w:r>
      <w:r w:rsidRPr="00EE60F3">
        <w:rPr>
          <w:color w:val="000000"/>
        </w:rPr>
        <w:t>charitable</w:t>
      </w:r>
      <w:r w:rsidR="00BF059B" w:rsidRPr="00EE60F3">
        <w:rPr>
          <w:color w:val="000000"/>
        </w:rPr>
        <w:t xml:space="preserve"> </w:t>
      </w:r>
      <w:r w:rsidRPr="00EE60F3">
        <w:rPr>
          <w:color w:val="000000"/>
        </w:rPr>
        <w:t>activities</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governance</w:t>
      </w:r>
      <w:r w:rsidR="00BF059B" w:rsidRPr="00EE60F3">
        <w:rPr>
          <w:color w:val="000000"/>
        </w:rPr>
        <w:t xml:space="preserve"> </w:t>
      </w:r>
      <w:r w:rsidRPr="00EE60F3">
        <w:rPr>
          <w:color w:val="000000"/>
        </w:rPr>
        <w:t>costs</w:t>
      </w:r>
      <w:r w:rsidR="00BF059B" w:rsidRPr="00EE60F3">
        <w:rPr>
          <w:color w:val="000000"/>
        </w:rPr>
        <w:t xml:space="preserve"> </w:t>
      </w:r>
      <w:r w:rsidRPr="00EE60F3">
        <w:rPr>
          <w:color w:val="000000"/>
        </w:rPr>
        <w:t>on</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basis</w:t>
      </w:r>
      <w:r w:rsidR="00BF059B" w:rsidRPr="00EE60F3">
        <w:rPr>
          <w:color w:val="000000"/>
        </w:rPr>
        <w:t xml:space="preserve"> </w:t>
      </w:r>
      <w:r w:rsidRPr="00EE60F3">
        <w:rPr>
          <w:color w:val="000000"/>
        </w:rPr>
        <w:t>set</w:t>
      </w:r>
      <w:r w:rsidR="00BF059B" w:rsidRPr="00EE60F3">
        <w:rPr>
          <w:color w:val="000000"/>
        </w:rPr>
        <w:t xml:space="preserve"> </w:t>
      </w:r>
      <w:r w:rsidRPr="00EE60F3">
        <w:rPr>
          <w:color w:val="000000"/>
        </w:rPr>
        <w:t>out</w:t>
      </w:r>
      <w:r w:rsidR="00BF059B" w:rsidRPr="00EE60F3">
        <w:rPr>
          <w:color w:val="000000"/>
        </w:rPr>
        <w:t xml:space="preserve"> </w:t>
      </w:r>
      <w:r w:rsidRPr="00EE60F3">
        <w:rPr>
          <w:color w:val="000000"/>
        </w:rPr>
        <w:t>below.</w:t>
      </w:r>
      <w:r w:rsidR="00BF059B" w:rsidRPr="00EE60F3">
        <w:rPr>
          <w:color w:val="000000"/>
        </w:rPr>
        <w:t xml:space="preserve"> </w:t>
      </w:r>
      <w:r w:rsidRPr="00EE60F3">
        <w:rPr>
          <w:color w:val="000000"/>
        </w:rPr>
        <w:t>Expenditure</w:t>
      </w:r>
      <w:r w:rsidR="00BF059B" w:rsidRPr="00EE60F3">
        <w:rPr>
          <w:color w:val="000000"/>
        </w:rPr>
        <w:t xml:space="preserve"> </w:t>
      </w:r>
      <w:r w:rsidRPr="00EE60F3">
        <w:rPr>
          <w:color w:val="000000"/>
        </w:rPr>
        <w:t>on</w:t>
      </w:r>
      <w:r w:rsidR="00BF059B" w:rsidRPr="00EE60F3">
        <w:rPr>
          <w:color w:val="000000"/>
        </w:rPr>
        <w:t xml:space="preserve"> </w:t>
      </w:r>
      <w:r w:rsidRPr="00EE60F3">
        <w:rPr>
          <w:color w:val="000000"/>
        </w:rPr>
        <w:t>raising</w:t>
      </w:r>
      <w:r w:rsidR="00BF059B" w:rsidRPr="00EE60F3">
        <w:rPr>
          <w:color w:val="000000"/>
        </w:rPr>
        <w:t xml:space="preserve"> </w:t>
      </w:r>
      <w:r w:rsidRPr="00EE60F3">
        <w:rPr>
          <w:color w:val="000000"/>
        </w:rPr>
        <w:t>funds</w:t>
      </w:r>
      <w:r w:rsidR="00BF059B" w:rsidRPr="00EE60F3">
        <w:rPr>
          <w:color w:val="000000"/>
        </w:rPr>
        <w:t xml:space="preserve"> </w:t>
      </w:r>
      <w:r w:rsidRPr="00EE60F3">
        <w:rPr>
          <w:color w:val="000000"/>
        </w:rPr>
        <w:t>includes</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direct</w:t>
      </w:r>
      <w:r w:rsidR="00BF059B" w:rsidRPr="00EE60F3">
        <w:rPr>
          <w:color w:val="000000"/>
        </w:rPr>
        <w:t xml:space="preserve"> </w:t>
      </w:r>
      <w:r w:rsidRPr="00EE60F3">
        <w:rPr>
          <w:color w:val="000000"/>
        </w:rPr>
        <w:t>costs</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support</w:t>
      </w:r>
      <w:r w:rsidR="00BF059B" w:rsidRPr="00EE60F3">
        <w:rPr>
          <w:color w:val="000000"/>
        </w:rPr>
        <w:t xml:space="preserve"> </w:t>
      </w:r>
      <w:r w:rsidRPr="00EE60F3">
        <w:rPr>
          <w:color w:val="000000"/>
        </w:rPr>
        <w:t>costs</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all</w:t>
      </w:r>
      <w:r w:rsidR="00BF059B" w:rsidRPr="00EE60F3">
        <w:rPr>
          <w:color w:val="000000"/>
        </w:rPr>
        <w:t xml:space="preserve"> </w:t>
      </w:r>
      <w:r w:rsidRPr="00EE60F3">
        <w:rPr>
          <w:color w:val="000000"/>
        </w:rPr>
        <w:t>activities</w:t>
      </w:r>
      <w:r w:rsidR="00BF059B" w:rsidRPr="00EE60F3">
        <w:rPr>
          <w:color w:val="000000"/>
        </w:rPr>
        <w:t xml:space="preserve"> </w:t>
      </w:r>
      <w:r w:rsidRPr="00EE60F3">
        <w:rPr>
          <w:color w:val="000000"/>
        </w:rPr>
        <w:t>included</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generating</w:t>
      </w:r>
      <w:r w:rsidR="00BF059B" w:rsidRPr="00EE60F3">
        <w:rPr>
          <w:color w:val="000000"/>
        </w:rPr>
        <w:t xml:space="preserve"> </w:t>
      </w:r>
      <w:r w:rsidRPr="00EE60F3">
        <w:rPr>
          <w:color w:val="000000"/>
        </w:rPr>
        <w:t>income.</w:t>
      </w:r>
      <w:r w:rsidR="00BF059B" w:rsidRPr="00EE60F3">
        <w:rPr>
          <w:color w:val="000000"/>
        </w:rPr>
        <w:t xml:space="preserve"> </w:t>
      </w:r>
    </w:p>
    <w:p w14:paraId="56B902F4" w14:textId="77777777" w:rsidR="00EE60F3" w:rsidRPr="00EE60F3" w:rsidRDefault="00EE60F3" w:rsidP="00EE60F3">
      <w:pPr>
        <w:pBdr>
          <w:top w:val="nil"/>
          <w:left w:val="nil"/>
          <w:bottom w:val="nil"/>
          <w:right w:val="nil"/>
          <w:between w:val="nil"/>
        </w:pBdr>
        <w:rPr>
          <w:color w:val="000000"/>
        </w:rPr>
      </w:pPr>
    </w:p>
    <w:p w14:paraId="5241B734" w14:textId="3EBF98F4" w:rsidR="00BE13A8" w:rsidRPr="00EE60F3" w:rsidRDefault="00D70530" w:rsidP="00EE60F3">
      <w:pPr>
        <w:pBdr>
          <w:top w:val="nil"/>
          <w:left w:val="nil"/>
          <w:bottom w:val="nil"/>
          <w:right w:val="nil"/>
          <w:between w:val="nil"/>
        </w:pBdr>
        <w:rPr>
          <w:color w:val="000000"/>
        </w:rPr>
      </w:pPr>
      <w:r w:rsidRPr="00EE60F3">
        <w:rPr>
          <w:color w:val="000000"/>
        </w:rPr>
        <w:t>Charitable</w:t>
      </w:r>
      <w:r w:rsidR="00BF059B" w:rsidRPr="00EE60F3">
        <w:rPr>
          <w:color w:val="000000"/>
        </w:rPr>
        <w:t xml:space="preserve"> </w:t>
      </w:r>
      <w:r w:rsidRPr="00EE60F3">
        <w:rPr>
          <w:color w:val="000000"/>
        </w:rPr>
        <w:t>activities</w:t>
      </w:r>
      <w:r w:rsidR="00BF059B" w:rsidRPr="00EE60F3">
        <w:rPr>
          <w:color w:val="000000"/>
        </w:rPr>
        <w:t xml:space="preserve"> </w:t>
      </w:r>
      <w:r w:rsidRPr="00EE60F3">
        <w:rPr>
          <w:color w:val="000000"/>
        </w:rPr>
        <w:t>comprise</w:t>
      </w:r>
      <w:r w:rsidR="00BF059B" w:rsidRPr="00EE60F3">
        <w:rPr>
          <w:color w:val="000000"/>
        </w:rPr>
        <w:t xml:space="preserve"> </w:t>
      </w:r>
      <w:r w:rsidRPr="00EE60F3">
        <w:rPr>
          <w:color w:val="000000"/>
        </w:rPr>
        <w:t>direct</w:t>
      </w:r>
      <w:r w:rsidR="00BF059B" w:rsidRPr="00EE60F3">
        <w:rPr>
          <w:color w:val="000000"/>
        </w:rPr>
        <w:t xml:space="preserve"> </w:t>
      </w:r>
      <w:r w:rsidRPr="00EE60F3">
        <w:rPr>
          <w:color w:val="000000"/>
        </w:rPr>
        <w:t>expenditure</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support</w:t>
      </w:r>
      <w:r w:rsidR="00BF059B" w:rsidRPr="00EE60F3">
        <w:rPr>
          <w:color w:val="000000"/>
        </w:rPr>
        <w:t xml:space="preserve"> </w:t>
      </w:r>
      <w:r w:rsidRPr="00EE60F3">
        <w:rPr>
          <w:color w:val="000000"/>
        </w:rPr>
        <w:t>costs</w:t>
      </w:r>
      <w:r w:rsidR="00BF059B" w:rsidRPr="00EE60F3">
        <w:rPr>
          <w:color w:val="000000"/>
        </w:rPr>
        <w:t xml:space="preserve"> </w:t>
      </w:r>
      <w:r w:rsidRPr="00EE60F3">
        <w:rPr>
          <w:color w:val="000000"/>
        </w:rPr>
        <w:t>including</w:t>
      </w:r>
      <w:r w:rsidR="00BF059B" w:rsidRPr="00EE60F3">
        <w:rPr>
          <w:color w:val="000000"/>
        </w:rPr>
        <w:t xml:space="preserve"> </w:t>
      </w:r>
      <w:r w:rsidRPr="00EE60F3">
        <w:rPr>
          <w:color w:val="000000"/>
        </w:rPr>
        <w:t>staff</w:t>
      </w:r>
      <w:r w:rsidR="00BF059B" w:rsidRPr="00EE60F3">
        <w:rPr>
          <w:color w:val="000000"/>
        </w:rPr>
        <w:t xml:space="preserve"> </w:t>
      </w:r>
      <w:r w:rsidRPr="00EE60F3">
        <w:rPr>
          <w:color w:val="000000"/>
        </w:rPr>
        <w:t>costs</w:t>
      </w:r>
      <w:r w:rsidR="00BF059B" w:rsidRPr="00EE60F3">
        <w:rPr>
          <w:color w:val="000000"/>
        </w:rPr>
        <w:t xml:space="preserve"> </w:t>
      </w:r>
      <w:r w:rsidRPr="00EE60F3">
        <w:rPr>
          <w:color w:val="000000"/>
        </w:rPr>
        <w:t>attributable</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all</w:t>
      </w:r>
      <w:r w:rsidR="00BF059B" w:rsidRPr="00EE60F3">
        <w:rPr>
          <w:color w:val="000000"/>
        </w:rPr>
        <w:t xml:space="preserve"> </w:t>
      </w:r>
      <w:r w:rsidRPr="00EE60F3">
        <w:rPr>
          <w:color w:val="000000"/>
        </w:rPr>
        <w:t>activities</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furtherance</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charity’s</w:t>
      </w:r>
      <w:r w:rsidR="00BF059B" w:rsidRPr="00EE60F3">
        <w:rPr>
          <w:color w:val="000000"/>
        </w:rPr>
        <w:t xml:space="preserve"> </w:t>
      </w:r>
      <w:r w:rsidRPr="00EE60F3">
        <w:rPr>
          <w:color w:val="000000"/>
        </w:rPr>
        <w:t>objects.</w:t>
      </w:r>
    </w:p>
    <w:p w14:paraId="3E1E3250" w14:textId="37642C3E" w:rsidR="00BE13A8" w:rsidRDefault="00D70530" w:rsidP="00EE60F3">
      <w:pPr>
        <w:pBdr>
          <w:top w:val="nil"/>
          <w:left w:val="nil"/>
          <w:bottom w:val="nil"/>
          <w:right w:val="nil"/>
          <w:between w:val="nil"/>
        </w:pBdr>
        <w:rPr>
          <w:color w:val="000000"/>
        </w:rPr>
      </w:pPr>
      <w:r w:rsidRPr="00EE60F3">
        <w:rPr>
          <w:color w:val="000000"/>
        </w:rPr>
        <w:lastRenderedPageBreak/>
        <w:t>Direct</w:t>
      </w:r>
      <w:r w:rsidR="00BF059B" w:rsidRPr="00EE60F3">
        <w:rPr>
          <w:color w:val="000000"/>
        </w:rPr>
        <w:t xml:space="preserve"> </w:t>
      </w:r>
      <w:r w:rsidRPr="00EE60F3">
        <w:rPr>
          <w:color w:val="000000"/>
        </w:rPr>
        <w:t>costs</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been</w:t>
      </w:r>
      <w:r w:rsidR="00BF059B" w:rsidRPr="00EE60F3">
        <w:rPr>
          <w:color w:val="000000"/>
        </w:rPr>
        <w:t xml:space="preserve"> </w:t>
      </w:r>
      <w:r w:rsidRPr="00EE60F3">
        <w:rPr>
          <w:color w:val="000000"/>
        </w:rPr>
        <w:t>allocated</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an</w:t>
      </w:r>
      <w:r w:rsidR="00BF059B" w:rsidRPr="00EE60F3">
        <w:rPr>
          <w:color w:val="000000"/>
        </w:rPr>
        <w:t xml:space="preserve"> </w:t>
      </w:r>
      <w:r w:rsidRPr="00EE60F3">
        <w:rPr>
          <w:color w:val="000000"/>
        </w:rPr>
        <w:t>activity</w:t>
      </w:r>
      <w:r w:rsidR="00BF059B" w:rsidRPr="00EE60F3">
        <w:rPr>
          <w:color w:val="000000"/>
        </w:rPr>
        <w:t xml:space="preserve"> </w:t>
      </w:r>
      <w:r w:rsidRPr="00EE60F3">
        <w:rPr>
          <w:color w:val="000000"/>
        </w:rPr>
        <w:t>cost</w:t>
      </w:r>
      <w:r w:rsidR="00BF059B" w:rsidRPr="00EE60F3">
        <w:rPr>
          <w:color w:val="000000"/>
        </w:rPr>
        <w:t xml:space="preserve"> </w:t>
      </w:r>
      <w:r w:rsidRPr="00EE60F3">
        <w:rPr>
          <w:color w:val="000000"/>
        </w:rPr>
        <w:t>category</w:t>
      </w:r>
      <w:r w:rsidR="00BF059B" w:rsidRPr="00EE60F3">
        <w:rPr>
          <w:color w:val="000000"/>
        </w:rPr>
        <w:t xml:space="preserve"> </w:t>
      </w:r>
      <w:r w:rsidRPr="00EE60F3">
        <w:rPr>
          <w:color w:val="000000"/>
        </w:rPr>
        <w:t>where</w:t>
      </w:r>
      <w:r w:rsidR="00BF059B" w:rsidRPr="00EE60F3">
        <w:rPr>
          <w:color w:val="000000"/>
        </w:rPr>
        <w:t xml:space="preserve"> </w:t>
      </w:r>
      <w:r w:rsidRPr="00EE60F3">
        <w:rPr>
          <w:color w:val="000000"/>
        </w:rPr>
        <w:t>appropriate.</w:t>
      </w:r>
      <w:r w:rsidR="00BF059B" w:rsidRPr="00EE60F3">
        <w:rPr>
          <w:color w:val="000000"/>
        </w:rPr>
        <w:t xml:space="preserve"> </w:t>
      </w:r>
      <w:r w:rsidRPr="00EE60F3">
        <w:rPr>
          <w:color w:val="000000"/>
        </w:rPr>
        <w:t>Items</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expenditure</w:t>
      </w:r>
      <w:r w:rsidR="00BF059B" w:rsidRPr="00EE60F3">
        <w:rPr>
          <w:color w:val="000000"/>
        </w:rPr>
        <w:t xml:space="preserve"> </w:t>
      </w:r>
      <w:r w:rsidRPr="00EE60F3">
        <w:rPr>
          <w:color w:val="000000"/>
        </w:rPr>
        <w:t>which</w:t>
      </w:r>
      <w:r w:rsidR="00BF059B" w:rsidRPr="00EE60F3">
        <w:rPr>
          <w:color w:val="000000"/>
        </w:rPr>
        <w:t xml:space="preserve"> </w:t>
      </w:r>
      <w:r w:rsidRPr="00EE60F3">
        <w:rPr>
          <w:color w:val="000000"/>
        </w:rPr>
        <w:t>contribute</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more</w:t>
      </w:r>
      <w:r w:rsidR="00BF059B" w:rsidRPr="00EE60F3">
        <w:rPr>
          <w:color w:val="000000"/>
        </w:rPr>
        <w:t xml:space="preserve"> </w:t>
      </w:r>
      <w:r w:rsidRPr="00EE60F3">
        <w:rPr>
          <w:color w:val="000000"/>
        </w:rPr>
        <w:t>than</w:t>
      </w:r>
      <w:r w:rsidR="00BF059B" w:rsidRPr="00EE60F3">
        <w:rPr>
          <w:color w:val="000000"/>
        </w:rPr>
        <w:t xml:space="preserve"> </w:t>
      </w:r>
      <w:r w:rsidRPr="00EE60F3">
        <w:rPr>
          <w:color w:val="000000"/>
        </w:rPr>
        <w:t>one</w:t>
      </w:r>
      <w:r w:rsidR="00BF059B" w:rsidRPr="00EE60F3">
        <w:rPr>
          <w:color w:val="000000"/>
        </w:rPr>
        <w:t xml:space="preserve"> </w:t>
      </w:r>
      <w:r w:rsidRPr="00EE60F3">
        <w:rPr>
          <w:color w:val="000000"/>
        </w:rPr>
        <w:t>cost</w:t>
      </w:r>
      <w:r w:rsidR="00BF059B" w:rsidRPr="00EE60F3">
        <w:rPr>
          <w:color w:val="000000"/>
        </w:rPr>
        <w:t xml:space="preserve"> </w:t>
      </w:r>
      <w:r w:rsidRPr="00EE60F3">
        <w:rPr>
          <w:color w:val="000000"/>
        </w:rPr>
        <w:t>category</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been</w:t>
      </w:r>
      <w:r w:rsidR="00BF059B" w:rsidRPr="00EE60F3">
        <w:rPr>
          <w:color w:val="000000"/>
        </w:rPr>
        <w:t xml:space="preserve"> </w:t>
      </w:r>
      <w:r w:rsidRPr="00EE60F3">
        <w:rPr>
          <w:color w:val="000000"/>
        </w:rPr>
        <w:t>apportioned</w:t>
      </w:r>
      <w:r w:rsidR="00BF059B" w:rsidRPr="00EE60F3">
        <w:rPr>
          <w:color w:val="000000"/>
        </w:rPr>
        <w:t xml:space="preserve"> </w:t>
      </w:r>
      <w:r w:rsidRPr="00EE60F3">
        <w:rPr>
          <w:color w:val="000000"/>
        </w:rPr>
        <w:t>on</w:t>
      </w:r>
      <w:r w:rsidR="00BF059B" w:rsidRPr="00EE60F3">
        <w:rPr>
          <w:color w:val="000000"/>
        </w:rPr>
        <w:t xml:space="preserve"> </w:t>
      </w:r>
      <w:r w:rsidRPr="00EE60F3">
        <w:rPr>
          <w:color w:val="000000"/>
        </w:rPr>
        <w:t>a</w:t>
      </w:r>
      <w:r w:rsidR="00BF059B" w:rsidRPr="00EE60F3">
        <w:rPr>
          <w:color w:val="000000"/>
        </w:rPr>
        <w:t xml:space="preserve"> </w:t>
      </w:r>
      <w:r w:rsidRPr="00EE60F3">
        <w:rPr>
          <w:color w:val="000000"/>
        </w:rPr>
        <w:t>reasonable,</w:t>
      </w:r>
      <w:r w:rsidR="00BF059B" w:rsidRPr="00EE60F3">
        <w:rPr>
          <w:color w:val="000000"/>
        </w:rPr>
        <w:t xml:space="preserve"> </w:t>
      </w:r>
      <w:r w:rsidRPr="00EE60F3">
        <w:rPr>
          <w:color w:val="000000"/>
        </w:rPr>
        <w:t>justifiable</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consistent</w:t>
      </w:r>
      <w:r w:rsidR="00BF059B" w:rsidRPr="00EE60F3">
        <w:rPr>
          <w:color w:val="000000"/>
        </w:rPr>
        <w:t xml:space="preserve"> </w:t>
      </w:r>
      <w:r w:rsidRPr="00EE60F3">
        <w:rPr>
          <w:color w:val="000000"/>
        </w:rPr>
        <w:t>basis.</w:t>
      </w:r>
      <w:r w:rsidR="00BF059B" w:rsidRPr="00EE60F3">
        <w:rPr>
          <w:color w:val="000000"/>
        </w:rPr>
        <w:t xml:space="preserve"> </w:t>
      </w:r>
    </w:p>
    <w:p w14:paraId="7FC19AE0" w14:textId="77777777" w:rsidR="00EE60F3" w:rsidRPr="00EE60F3" w:rsidRDefault="00EE60F3" w:rsidP="00EE60F3">
      <w:pPr>
        <w:pBdr>
          <w:top w:val="nil"/>
          <w:left w:val="nil"/>
          <w:bottom w:val="nil"/>
          <w:right w:val="nil"/>
          <w:between w:val="nil"/>
        </w:pBdr>
        <w:rPr>
          <w:color w:val="000000"/>
        </w:rPr>
      </w:pPr>
    </w:p>
    <w:p w14:paraId="277CFA89" w14:textId="73617BA4" w:rsidR="00BE13A8" w:rsidRDefault="00D70530" w:rsidP="00EE60F3">
      <w:pPr>
        <w:pBdr>
          <w:top w:val="nil"/>
          <w:left w:val="nil"/>
          <w:bottom w:val="nil"/>
          <w:right w:val="nil"/>
          <w:between w:val="nil"/>
        </w:pBdr>
        <w:rPr>
          <w:color w:val="000000"/>
        </w:rPr>
      </w:pPr>
      <w:r w:rsidRPr="00EE60F3">
        <w:rPr>
          <w:color w:val="000000"/>
        </w:rPr>
        <w:t>Support</w:t>
      </w:r>
      <w:r w:rsidR="00BF059B" w:rsidRPr="00EE60F3">
        <w:rPr>
          <w:color w:val="000000"/>
        </w:rPr>
        <w:t xml:space="preserve"> </w:t>
      </w:r>
      <w:r w:rsidRPr="00EE60F3">
        <w:rPr>
          <w:color w:val="000000"/>
        </w:rPr>
        <w:t>costs</w:t>
      </w:r>
      <w:r w:rsidR="00BF059B" w:rsidRPr="00EE60F3">
        <w:rPr>
          <w:color w:val="000000"/>
        </w:rPr>
        <w:t xml:space="preserve"> </w:t>
      </w:r>
      <w:r w:rsidRPr="00EE60F3">
        <w:rPr>
          <w:color w:val="000000"/>
        </w:rPr>
        <w:t>represent</w:t>
      </w:r>
      <w:r w:rsidR="00BF059B" w:rsidRPr="00EE60F3">
        <w:rPr>
          <w:color w:val="000000"/>
        </w:rPr>
        <w:t xml:space="preserve"> </w:t>
      </w:r>
      <w:r w:rsidRPr="00EE60F3">
        <w:rPr>
          <w:color w:val="000000"/>
        </w:rPr>
        <w:t>governance</w:t>
      </w:r>
      <w:r w:rsidR="00BF059B" w:rsidRPr="00EE60F3">
        <w:rPr>
          <w:color w:val="000000"/>
        </w:rPr>
        <w:t xml:space="preserve"> </w:t>
      </w:r>
      <w:r w:rsidRPr="00EE60F3">
        <w:rPr>
          <w:color w:val="000000"/>
        </w:rPr>
        <w:t>costs</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staffing</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associated</w:t>
      </w:r>
      <w:r w:rsidR="00BF059B" w:rsidRPr="00EE60F3">
        <w:rPr>
          <w:color w:val="000000"/>
        </w:rPr>
        <w:t xml:space="preserve"> </w:t>
      </w:r>
      <w:r w:rsidRPr="00EE60F3">
        <w:rPr>
          <w:color w:val="000000"/>
        </w:rPr>
        <w:t>costs</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human</w:t>
      </w:r>
      <w:r w:rsidR="00BF059B" w:rsidRPr="00EE60F3">
        <w:rPr>
          <w:color w:val="000000"/>
        </w:rPr>
        <w:t xml:space="preserve"> </w:t>
      </w:r>
      <w:r w:rsidRPr="00EE60F3">
        <w:rPr>
          <w:color w:val="000000"/>
        </w:rPr>
        <w:t>resources,</w:t>
      </w:r>
      <w:r w:rsidR="00BF059B" w:rsidRPr="00EE60F3">
        <w:rPr>
          <w:color w:val="000000"/>
        </w:rPr>
        <w:t xml:space="preserve"> </w:t>
      </w:r>
      <w:r w:rsidRPr="00EE60F3">
        <w:rPr>
          <w:color w:val="000000"/>
        </w:rPr>
        <w:t>finance,</w:t>
      </w:r>
      <w:r w:rsidR="00BF059B" w:rsidRPr="00EE60F3">
        <w:rPr>
          <w:color w:val="000000"/>
        </w:rPr>
        <w:t xml:space="preserve"> </w:t>
      </w:r>
      <w:r w:rsidRPr="00EE60F3">
        <w:rPr>
          <w:color w:val="000000"/>
        </w:rPr>
        <w:t>estates</w:t>
      </w:r>
      <w:r w:rsidR="00BF059B" w:rsidRPr="00EE60F3">
        <w:rPr>
          <w:color w:val="000000"/>
        </w:rPr>
        <w:t xml:space="preserve"> </w:t>
      </w:r>
      <w:r w:rsidRPr="00EE60F3">
        <w:rPr>
          <w:color w:val="000000"/>
        </w:rPr>
        <w:t>management,</w:t>
      </w:r>
      <w:r w:rsidR="00BF059B" w:rsidRPr="00EE60F3">
        <w:rPr>
          <w:color w:val="000000"/>
        </w:rPr>
        <w:t xml:space="preserve"> </w:t>
      </w:r>
      <w:r w:rsidRPr="00EE60F3">
        <w:rPr>
          <w:color w:val="000000"/>
        </w:rPr>
        <w:t>IT</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general</w:t>
      </w:r>
      <w:r w:rsidR="00BF059B" w:rsidRPr="00EE60F3">
        <w:rPr>
          <w:color w:val="000000"/>
        </w:rPr>
        <w:t xml:space="preserve"> </w:t>
      </w:r>
      <w:r w:rsidRPr="00EE60F3">
        <w:rPr>
          <w:color w:val="000000"/>
        </w:rPr>
        <w:t>administration</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supporting</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operational</w:t>
      </w:r>
      <w:r w:rsidR="00BF059B" w:rsidRPr="00EE60F3">
        <w:rPr>
          <w:color w:val="000000"/>
        </w:rPr>
        <w:t xml:space="preserve"> </w:t>
      </w:r>
      <w:r w:rsidRPr="00EE60F3">
        <w:rPr>
          <w:color w:val="000000"/>
        </w:rPr>
        <w:t>programmes</w:t>
      </w:r>
      <w:r w:rsidR="00BF059B" w:rsidRPr="00EE60F3">
        <w:rPr>
          <w:color w:val="000000"/>
        </w:rPr>
        <w:t xml:space="preserve"> </w:t>
      </w:r>
      <w:r w:rsidRPr="00EE60F3">
        <w:rPr>
          <w:color w:val="000000"/>
        </w:rPr>
        <w:t>for</w:t>
      </w:r>
      <w:r w:rsidR="00BF059B" w:rsidRPr="00EE60F3">
        <w:rPr>
          <w:color w:val="000000"/>
        </w:rPr>
        <w:t xml:space="preserve"> </w:t>
      </w:r>
      <w:r w:rsidRPr="00EE60F3">
        <w:rPr>
          <w:color w:val="000000"/>
        </w:rPr>
        <w:t>which</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charity</w:t>
      </w:r>
      <w:r w:rsidR="00BF059B" w:rsidRPr="00EE60F3">
        <w:rPr>
          <w:color w:val="000000"/>
        </w:rPr>
        <w:t xml:space="preserve"> </w:t>
      </w:r>
      <w:r w:rsidRPr="00EE60F3">
        <w:rPr>
          <w:color w:val="000000"/>
        </w:rPr>
        <w:t>is</w:t>
      </w:r>
      <w:r w:rsidR="00BF059B" w:rsidRPr="00EE60F3">
        <w:rPr>
          <w:color w:val="000000"/>
        </w:rPr>
        <w:t xml:space="preserve"> </w:t>
      </w:r>
      <w:r w:rsidRPr="00EE60F3">
        <w:rPr>
          <w:color w:val="000000"/>
        </w:rPr>
        <w:t>responsible.</w:t>
      </w:r>
      <w:r w:rsidR="00BF059B" w:rsidRPr="00EE60F3">
        <w:rPr>
          <w:color w:val="000000"/>
        </w:rPr>
        <w:t xml:space="preserve"> </w:t>
      </w:r>
      <w:r w:rsidRPr="00EE60F3">
        <w:rPr>
          <w:color w:val="000000"/>
        </w:rPr>
        <w:t>These</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been</w:t>
      </w:r>
      <w:r w:rsidR="00BF059B" w:rsidRPr="00EE60F3">
        <w:rPr>
          <w:color w:val="000000"/>
        </w:rPr>
        <w:t xml:space="preserve"> </w:t>
      </w:r>
      <w:r w:rsidRPr="00EE60F3">
        <w:rPr>
          <w:color w:val="000000"/>
        </w:rPr>
        <w:t>allocated</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relevant</w:t>
      </w:r>
      <w:r w:rsidR="00BF059B" w:rsidRPr="00EE60F3">
        <w:rPr>
          <w:color w:val="000000"/>
        </w:rPr>
        <w:t xml:space="preserve"> </w:t>
      </w:r>
      <w:r w:rsidRPr="00EE60F3">
        <w:rPr>
          <w:color w:val="000000"/>
        </w:rPr>
        <w:t>cost</w:t>
      </w:r>
      <w:r w:rsidR="00BF059B" w:rsidRPr="00EE60F3">
        <w:rPr>
          <w:color w:val="000000"/>
        </w:rPr>
        <w:t xml:space="preserve"> </w:t>
      </w:r>
      <w:r w:rsidRPr="00EE60F3">
        <w:rPr>
          <w:color w:val="000000"/>
        </w:rPr>
        <w:t>area</w:t>
      </w:r>
      <w:r w:rsidR="00BF059B" w:rsidRPr="00EE60F3">
        <w:rPr>
          <w:color w:val="000000"/>
        </w:rPr>
        <w:t xml:space="preserve"> </w:t>
      </w:r>
      <w:r w:rsidRPr="00EE60F3">
        <w:rPr>
          <w:color w:val="000000"/>
        </w:rPr>
        <w:t>on</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basis</w:t>
      </w:r>
      <w:r w:rsidR="00BF059B" w:rsidRPr="00EE60F3">
        <w:rPr>
          <w:color w:val="000000"/>
        </w:rPr>
        <w:t xml:space="preserve"> </w:t>
      </w:r>
      <w:r w:rsidRPr="00EE60F3">
        <w:rPr>
          <w:color w:val="000000"/>
        </w:rPr>
        <w:t>considered</w:t>
      </w:r>
      <w:r w:rsidR="00BF059B" w:rsidRPr="00EE60F3">
        <w:rPr>
          <w:color w:val="000000"/>
        </w:rPr>
        <w:t xml:space="preserve"> </w:t>
      </w:r>
      <w:r w:rsidRPr="00EE60F3">
        <w:rPr>
          <w:color w:val="000000"/>
        </w:rPr>
        <w:t>most</w:t>
      </w:r>
      <w:r w:rsidR="00BF059B" w:rsidRPr="00EE60F3">
        <w:rPr>
          <w:color w:val="000000"/>
        </w:rPr>
        <w:t xml:space="preserve"> </w:t>
      </w:r>
      <w:r w:rsidRPr="00EE60F3">
        <w:rPr>
          <w:color w:val="000000"/>
        </w:rPr>
        <w:t>appropriate</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cost</w:t>
      </w:r>
      <w:r w:rsidR="00BF059B" w:rsidRPr="00EE60F3">
        <w:rPr>
          <w:color w:val="000000"/>
        </w:rPr>
        <w:t xml:space="preserve"> </w:t>
      </w:r>
      <w:r w:rsidRPr="00EE60F3">
        <w:rPr>
          <w:color w:val="000000"/>
        </w:rPr>
        <w:t>involved,</w:t>
      </w:r>
      <w:r w:rsidR="00BF059B" w:rsidRPr="00EE60F3">
        <w:rPr>
          <w:color w:val="000000"/>
        </w:rPr>
        <w:t xml:space="preserve"> </w:t>
      </w:r>
      <w:r w:rsidRPr="00EE60F3">
        <w:rPr>
          <w:color w:val="000000"/>
        </w:rPr>
        <w:t>as</w:t>
      </w:r>
      <w:r w:rsidR="00BF059B" w:rsidRPr="00EE60F3">
        <w:rPr>
          <w:color w:val="000000"/>
        </w:rPr>
        <w:t xml:space="preserve"> </w:t>
      </w:r>
      <w:r w:rsidRPr="00EE60F3">
        <w:rPr>
          <w:color w:val="000000"/>
        </w:rPr>
        <w:t>shown</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note</w:t>
      </w:r>
      <w:r w:rsidR="00BF059B" w:rsidRPr="00EE60F3">
        <w:rPr>
          <w:color w:val="000000"/>
        </w:rPr>
        <w:t xml:space="preserve"> </w:t>
      </w:r>
      <w:r w:rsidRPr="00EE60F3">
        <w:rPr>
          <w:color w:val="000000"/>
        </w:rPr>
        <w:t>8.</w:t>
      </w:r>
      <w:r w:rsidR="00BF059B" w:rsidRPr="00EE60F3">
        <w:rPr>
          <w:color w:val="000000"/>
        </w:rPr>
        <w:t xml:space="preserve"> </w:t>
      </w:r>
    </w:p>
    <w:p w14:paraId="0747C21A" w14:textId="77777777" w:rsidR="00EE60F3" w:rsidRPr="00EE60F3" w:rsidRDefault="00EE60F3" w:rsidP="00EE60F3">
      <w:pPr>
        <w:pBdr>
          <w:top w:val="nil"/>
          <w:left w:val="nil"/>
          <w:bottom w:val="nil"/>
          <w:right w:val="nil"/>
          <w:between w:val="nil"/>
        </w:pBdr>
        <w:rPr>
          <w:color w:val="000000"/>
        </w:rPr>
      </w:pPr>
    </w:p>
    <w:p w14:paraId="00A41A96" w14:textId="7E2FFD4E" w:rsidR="00BE13A8" w:rsidRPr="00EE60F3" w:rsidRDefault="00D70530" w:rsidP="00EE60F3">
      <w:pPr>
        <w:pBdr>
          <w:top w:val="nil"/>
          <w:left w:val="nil"/>
          <w:bottom w:val="nil"/>
          <w:right w:val="nil"/>
          <w:between w:val="nil"/>
        </w:pBdr>
        <w:rPr>
          <w:color w:val="000000"/>
        </w:rPr>
      </w:pPr>
      <w:r w:rsidRPr="00EE60F3">
        <w:rPr>
          <w:color w:val="000000"/>
        </w:rPr>
        <w:t>Depreciation,</w:t>
      </w:r>
      <w:r w:rsidR="00BF059B" w:rsidRPr="00EE60F3">
        <w:rPr>
          <w:color w:val="000000"/>
        </w:rPr>
        <w:t xml:space="preserve"> </w:t>
      </w:r>
      <w:r w:rsidRPr="00EE60F3">
        <w:rPr>
          <w:color w:val="000000"/>
        </w:rPr>
        <w:t>impairment</w:t>
      </w:r>
      <w:r w:rsidR="00BF059B" w:rsidRPr="00EE60F3">
        <w:rPr>
          <w:color w:val="000000"/>
        </w:rPr>
        <w:t xml:space="preserve"> </w:t>
      </w:r>
      <w:r w:rsidRPr="00EE60F3">
        <w:rPr>
          <w:color w:val="000000"/>
        </w:rPr>
        <w:t>losses</w:t>
      </w:r>
      <w:r w:rsidR="00BF059B" w:rsidRPr="00EE60F3">
        <w:rPr>
          <w:color w:val="000000"/>
        </w:rPr>
        <w:t xml:space="preserve"> </w:t>
      </w:r>
      <w:r w:rsidRPr="00EE60F3">
        <w:rPr>
          <w:color w:val="000000"/>
        </w:rPr>
        <w:t>and</w:t>
      </w:r>
      <w:r w:rsidR="00BF059B" w:rsidRPr="00EE60F3">
        <w:rPr>
          <w:color w:val="000000"/>
        </w:rPr>
        <w:t xml:space="preserve"> </w:t>
      </w:r>
      <w:r w:rsidRPr="00EE60F3">
        <w:rPr>
          <w:color w:val="000000"/>
        </w:rPr>
        <w:t>losses</w:t>
      </w:r>
      <w:r w:rsidR="00BF059B" w:rsidRPr="00EE60F3">
        <w:rPr>
          <w:color w:val="000000"/>
        </w:rPr>
        <w:t xml:space="preserve"> </w:t>
      </w:r>
      <w:r w:rsidRPr="00EE60F3">
        <w:rPr>
          <w:color w:val="000000"/>
        </w:rPr>
        <w:t>on</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disposal</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fixed</w:t>
      </w:r>
      <w:r w:rsidR="00BF059B" w:rsidRPr="00EE60F3">
        <w:rPr>
          <w:color w:val="000000"/>
        </w:rPr>
        <w:t xml:space="preserve"> </w:t>
      </w:r>
      <w:r w:rsidRPr="00EE60F3">
        <w:rPr>
          <w:color w:val="000000"/>
        </w:rPr>
        <w:t>assets</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been</w:t>
      </w:r>
      <w:r w:rsidR="00BF059B" w:rsidRPr="00EE60F3">
        <w:rPr>
          <w:color w:val="000000"/>
        </w:rPr>
        <w:t xml:space="preserve"> </w:t>
      </w:r>
      <w:r w:rsidRPr="00EE60F3">
        <w:rPr>
          <w:color w:val="000000"/>
        </w:rPr>
        <w:t>attributed</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accordance</w:t>
      </w:r>
      <w:r w:rsidR="00BF059B" w:rsidRPr="00EE60F3">
        <w:rPr>
          <w:color w:val="000000"/>
        </w:rPr>
        <w:t xml:space="preserve"> </w:t>
      </w:r>
      <w:r w:rsidRPr="00EE60F3">
        <w:rPr>
          <w:color w:val="000000"/>
        </w:rPr>
        <w:t>with</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same</w:t>
      </w:r>
      <w:r w:rsidR="00BF059B" w:rsidRPr="00EE60F3">
        <w:rPr>
          <w:color w:val="000000"/>
        </w:rPr>
        <w:t xml:space="preserve"> </w:t>
      </w:r>
      <w:r w:rsidRPr="00EE60F3">
        <w:rPr>
          <w:color w:val="000000"/>
        </w:rPr>
        <w:t>principles.</w:t>
      </w:r>
      <w:r w:rsidR="00BF059B" w:rsidRPr="00EE60F3">
        <w:rPr>
          <w:color w:val="000000"/>
        </w:rPr>
        <w:t xml:space="preserve"> </w:t>
      </w:r>
    </w:p>
    <w:p w14:paraId="329CA48A" w14:textId="77777777" w:rsidR="00BE13A8" w:rsidRPr="00EE60F3" w:rsidRDefault="00BE13A8" w:rsidP="00EE60F3">
      <w:pPr>
        <w:pBdr>
          <w:top w:val="nil"/>
          <w:left w:val="nil"/>
          <w:bottom w:val="nil"/>
          <w:right w:val="nil"/>
          <w:between w:val="nil"/>
        </w:pBdr>
        <w:rPr>
          <w:color w:val="000000"/>
        </w:rPr>
      </w:pPr>
    </w:p>
    <w:p w14:paraId="3E6116E1" w14:textId="7A4851C3" w:rsidR="00BE13A8" w:rsidRPr="00EE60F3" w:rsidRDefault="00D70530" w:rsidP="00EE60F3">
      <w:pPr>
        <w:pStyle w:val="Heading4"/>
      </w:pPr>
      <w:r w:rsidRPr="00EE60F3">
        <w:t>e)</w:t>
      </w:r>
      <w:r w:rsidR="00BF059B" w:rsidRPr="00EE60F3">
        <w:t xml:space="preserve"> </w:t>
      </w:r>
      <w:r w:rsidRPr="00EE60F3">
        <w:t>Fund</w:t>
      </w:r>
      <w:r w:rsidR="00BF059B" w:rsidRPr="00EE60F3">
        <w:t xml:space="preserve"> </w:t>
      </w:r>
      <w:r w:rsidRPr="00EE60F3">
        <w:t>accounting</w:t>
      </w:r>
    </w:p>
    <w:p w14:paraId="2DB7856D" w14:textId="36901019" w:rsidR="00BE13A8" w:rsidRPr="00EE60F3" w:rsidRDefault="00D70530" w:rsidP="00EE60F3">
      <w:pPr>
        <w:pBdr>
          <w:top w:val="nil"/>
          <w:left w:val="nil"/>
          <w:bottom w:val="nil"/>
          <w:right w:val="nil"/>
          <w:between w:val="nil"/>
        </w:pBdr>
        <w:rPr>
          <w:color w:val="000000"/>
        </w:rPr>
      </w:pPr>
      <w:r w:rsidRPr="00EE60F3">
        <w:rPr>
          <w:color w:val="000000"/>
        </w:rPr>
        <w:t>General</w:t>
      </w:r>
      <w:r w:rsidR="00BF059B" w:rsidRPr="00EE60F3">
        <w:rPr>
          <w:color w:val="000000"/>
        </w:rPr>
        <w:t xml:space="preserve"> </w:t>
      </w:r>
      <w:r w:rsidRPr="00EE60F3">
        <w:rPr>
          <w:color w:val="000000"/>
        </w:rPr>
        <w:t>funds</w:t>
      </w:r>
      <w:r w:rsidR="00BF059B" w:rsidRPr="00EE60F3">
        <w:rPr>
          <w:color w:val="000000"/>
        </w:rPr>
        <w:t xml:space="preserve"> </w:t>
      </w:r>
      <w:r w:rsidRPr="00EE60F3">
        <w:rPr>
          <w:color w:val="000000"/>
        </w:rPr>
        <w:t>are</w:t>
      </w:r>
      <w:r w:rsidR="00BF059B" w:rsidRPr="00EE60F3">
        <w:rPr>
          <w:color w:val="000000"/>
        </w:rPr>
        <w:t xml:space="preserve"> </w:t>
      </w:r>
      <w:r w:rsidRPr="00EE60F3">
        <w:rPr>
          <w:color w:val="000000"/>
        </w:rPr>
        <w:t>available</w:t>
      </w:r>
      <w:r w:rsidR="00BF059B" w:rsidRPr="00EE60F3">
        <w:rPr>
          <w:color w:val="000000"/>
        </w:rPr>
        <w:t xml:space="preserve"> </w:t>
      </w:r>
      <w:r w:rsidRPr="00EE60F3">
        <w:rPr>
          <w:color w:val="000000"/>
        </w:rPr>
        <w:t>for</w:t>
      </w:r>
      <w:r w:rsidR="00BF059B" w:rsidRPr="00EE60F3">
        <w:rPr>
          <w:color w:val="000000"/>
        </w:rPr>
        <w:t xml:space="preserve"> </w:t>
      </w:r>
      <w:r w:rsidRPr="00EE60F3">
        <w:rPr>
          <w:color w:val="000000"/>
        </w:rPr>
        <w:t>use</w:t>
      </w:r>
      <w:r w:rsidR="00BF059B" w:rsidRPr="00EE60F3">
        <w:rPr>
          <w:color w:val="000000"/>
        </w:rPr>
        <w:t xml:space="preserve"> </w:t>
      </w:r>
      <w:r w:rsidRPr="00EE60F3">
        <w:rPr>
          <w:color w:val="000000"/>
        </w:rPr>
        <w:t>at</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discretion</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Trustees</w:t>
      </w:r>
      <w:r w:rsidR="00BF059B" w:rsidRPr="00EE60F3">
        <w:rPr>
          <w:color w:val="000000"/>
        </w:rPr>
        <w:t xml:space="preserve"> </w:t>
      </w:r>
      <w:r w:rsidRPr="00EE60F3">
        <w:rPr>
          <w:color w:val="000000"/>
        </w:rPr>
        <w:t>in</w:t>
      </w:r>
      <w:r w:rsidR="00BF059B" w:rsidRPr="00EE60F3">
        <w:rPr>
          <w:color w:val="000000"/>
        </w:rPr>
        <w:t xml:space="preserve"> </w:t>
      </w:r>
      <w:r w:rsidRPr="00EE60F3">
        <w:rPr>
          <w:color w:val="000000"/>
        </w:rPr>
        <w:t>furtherance</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general</w:t>
      </w:r>
      <w:r w:rsidR="00BF059B" w:rsidRPr="00EE60F3">
        <w:rPr>
          <w:color w:val="000000"/>
        </w:rPr>
        <w:t xml:space="preserve"> </w:t>
      </w:r>
      <w:r w:rsidRPr="00EE60F3">
        <w:rPr>
          <w:color w:val="000000"/>
        </w:rPr>
        <w:t>objectives</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Museum.</w:t>
      </w:r>
      <w:r w:rsidR="00BF059B" w:rsidRPr="00EE60F3">
        <w:rPr>
          <w:color w:val="000000"/>
        </w:rPr>
        <w:t xml:space="preserve"> </w:t>
      </w:r>
      <w:r w:rsidRPr="00EE60F3">
        <w:rPr>
          <w:color w:val="000000"/>
        </w:rPr>
        <w:t>Designated</w:t>
      </w:r>
      <w:r w:rsidR="00BF059B" w:rsidRPr="00EE60F3">
        <w:rPr>
          <w:color w:val="000000"/>
        </w:rPr>
        <w:t xml:space="preserve"> </w:t>
      </w:r>
      <w:r w:rsidRPr="00EE60F3">
        <w:rPr>
          <w:color w:val="000000"/>
        </w:rPr>
        <w:t>funds</w:t>
      </w:r>
      <w:r w:rsidR="00BF059B" w:rsidRPr="00EE60F3">
        <w:rPr>
          <w:color w:val="000000"/>
        </w:rPr>
        <w:t xml:space="preserve"> </w:t>
      </w:r>
      <w:r w:rsidRPr="00EE60F3">
        <w:rPr>
          <w:color w:val="000000"/>
        </w:rPr>
        <w:t>are</w:t>
      </w:r>
      <w:r w:rsidR="00BF059B" w:rsidRPr="00EE60F3">
        <w:rPr>
          <w:color w:val="000000"/>
        </w:rPr>
        <w:t xml:space="preserve"> </w:t>
      </w:r>
      <w:r w:rsidRPr="00EE60F3">
        <w:rPr>
          <w:color w:val="000000"/>
        </w:rPr>
        <w:t>funds</w:t>
      </w:r>
      <w:r w:rsidR="00BF059B" w:rsidRPr="00EE60F3">
        <w:rPr>
          <w:color w:val="000000"/>
        </w:rPr>
        <w:t xml:space="preserve"> </w:t>
      </w:r>
      <w:r w:rsidRPr="00EE60F3">
        <w:rPr>
          <w:color w:val="000000"/>
        </w:rPr>
        <w:t>which</w:t>
      </w:r>
      <w:r w:rsidR="00BF059B" w:rsidRPr="00EE60F3">
        <w:rPr>
          <w:color w:val="000000"/>
        </w:rPr>
        <w:t xml:space="preserve"> </w:t>
      </w:r>
      <w:r w:rsidRPr="00EE60F3">
        <w:rPr>
          <w:color w:val="000000"/>
        </w:rPr>
        <w:t>have</w:t>
      </w:r>
      <w:r w:rsidR="00BF059B" w:rsidRPr="00EE60F3">
        <w:rPr>
          <w:color w:val="000000"/>
        </w:rPr>
        <w:t xml:space="preserve"> </w:t>
      </w:r>
      <w:r w:rsidRPr="00EE60F3">
        <w:rPr>
          <w:color w:val="000000"/>
        </w:rPr>
        <w:t>been</w:t>
      </w:r>
      <w:r w:rsidR="00BF059B" w:rsidRPr="00EE60F3">
        <w:rPr>
          <w:color w:val="000000"/>
        </w:rPr>
        <w:t xml:space="preserve"> </w:t>
      </w:r>
      <w:r w:rsidRPr="00EE60F3">
        <w:rPr>
          <w:color w:val="000000"/>
        </w:rPr>
        <w:t>set</w:t>
      </w:r>
      <w:r w:rsidR="00BF059B" w:rsidRPr="00EE60F3">
        <w:rPr>
          <w:color w:val="000000"/>
        </w:rPr>
        <w:t xml:space="preserve"> </w:t>
      </w:r>
      <w:r w:rsidRPr="00EE60F3">
        <w:rPr>
          <w:color w:val="000000"/>
        </w:rPr>
        <w:t>aside</w:t>
      </w:r>
      <w:r w:rsidR="00BF059B" w:rsidRPr="00EE60F3">
        <w:rPr>
          <w:color w:val="000000"/>
        </w:rPr>
        <w:t xml:space="preserve"> </w:t>
      </w:r>
      <w:r w:rsidRPr="00EE60F3">
        <w:rPr>
          <w:color w:val="000000"/>
        </w:rPr>
        <w:t>at</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discretion</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Trustees</w:t>
      </w:r>
      <w:r w:rsidR="00BF059B" w:rsidRPr="00EE60F3">
        <w:rPr>
          <w:color w:val="000000"/>
        </w:rPr>
        <w:t xml:space="preserve"> </w:t>
      </w:r>
      <w:r w:rsidRPr="00EE60F3">
        <w:rPr>
          <w:color w:val="000000"/>
        </w:rPr>
        <w:t>for</w:t>
      </w:r>
      <w:r w:rsidR="00BF059B" w:rsidRPr="00EE60F3">
        <w:rPr>
          <w:color w:val="000000"/>
        </w:rPr>
        <w:t xml:space="preserve"> </w:t>
      </w:r>
      <w:r w:rsidRPr="00EE60F3">
        <w:rPr>
          <w:color w:val="000000"/>
        </w:rPr>
        <w:t>specific</w:t>
      </w:r>
      <w:r w:rsidR="00BF059B" w:rsidRPr="00EE60F3">
        <w:rPr>
          <w:color w:val="000000"/>
        </w:rPr>
        <w:t xml:space="preserve"> </w:t>
      </w:r>
      <w:r w:rsidRPr="00EE60F3">
        <w:rPr>
          <w:color w:val="000000"/>
        </w:rPr>
        <w:t>purposes.</w:t>
      </w:r>
      <w:r w:rsidR="00BF059B" w:rsidRPr="00EE60F3">
        <w:rPr>
          <w:color w:val="000000"/>
        </w:rPr>
        <w:t xml:space="preserve"> </w:t>
      </w:r>
      <w:r w:rsidRPr="00EE60F3">
        <w:rPr>
          <w:color w:val="000000"/>
        </w:rPr>
        <w:t>Restricted</w:t>
      </w:r>
      <w:r w:rsidR="00BF059B" w:rsidRPr="00EE60F3">
        <w:rPr>
          <w:color w:val="000000"/>
        </w:rPr>
        <w:t xml:space="preserve"> </w:t>
      </w:r>
      <w:r w:rsidRPr="00EE60F3">
        <w:rPr>
          <w:color w:val="000000"/>
        </w:rPr>
        <w:t>funds</w:t>
      </w:r>
      <w:r w:rsidR="00BF059B" w:rsidRPr="00EE60F3">
        <w:rPr>
          <w:color w:val="000000"/>
        </w:rPr>
        <w:t xml:space="preserve"> </w:t>
      </w:r>
      <w:r w:rsidRPr="00EE60F3">
        <w:rPr>
          <w:color w:val="000000"/>
        </w:rPr>
        <w:t>are</w:t>
      </w:r>
      <w:r w:rsidR="00BF059B" w:rsidRPr="00EE60F3">
        <w:rPr>
          <w:color w:val="000000"/>
        </w:rPr>
        <w:t xml:space="preserve"> </w:t>
      </w:r>
      <w:r w:rsidRPr="00EE60F3">
        <w:rPr>
          <w:color w:val="000000"/>
        </w:rPr>
        <w:t>funds</w:t>
      </w:r>
      <w:r w:rsidR="00BF059B" w:rsidRPr="00EE60F3">
        <w:rPr>
          <w:color w:val="000000"/>
        </w:rPr>
        <w:t xml:space="preserve"> </w:t>
      </w:r>
      <w:r w:rsidRPr="00EE60F3">
        <w:rPr>
          <w:color w:val="000000"/>
        </w:rPr>
        <w:t>subject</w:t>
      </w:r>
      <w:r w:rsidR="00BF059B" w:rsidRPr="00EE60F3">
        <w:rPr>
          <w:color w:val="000000"/>
        </w:rPr>
        <w:t xml:space="preserve"> </w:t>
      </w:r>
      <w:r w:rsidRPr="00EE60F3">
        <w:rPr>
          <w:color w:val="000000"/>
        </w:rPr>
        <w:t>to</w:t>
      </w:r>
      <w:r w:rsidR="00BF059B" w:rsidRPr="00EE60F3">
        <w:rPr>
          <w:color w:val="000000"/>
        </w:rPr>
        <w:t xml:space="preserve"> </w:t>
      </w:r>
      <w:r w:rsidRPr="00EE60F3">
        <w:rPr>
          <w:color w:val="000000"/>
        </w:rPr>
        <w:t>restriction</w:t>
      </w:r>
      <w:r w:rsidR="00BF059B" w:rsidRPr="00EE60F3">
        <w:rPr>
          <w:color w:val="000000"/>
        </w:rPr>
        <w:t xml:space="preserve"> </w:t>
      </w:r>
      <w:r w:rsidRPr="00EE60F3">
        <w:rPr>
          <w:color w:val="000000"/>
        </w:rPr>
        <w:t>imposed</w:t>
      </w:r>
      <w:r w:rsidR="00BF059B" w:rsidRPr="00EE60F3">
        <w:rPr>
          <w:color w:val="000000"/>
        </w:rPr>
        <w:t xml:space="preserve"> </w:t>
      </w:r>
      <w:r w:rsidRPr="00EE60F3">
        <w:rPr>
          <w:color w:val="000000"/>
        </w:rPr>
        <w:t>by</w:t>
      </w:r>
      <w:r w:rsidR="00BF059B" w:rsidRPr="00EE60F3">
        <w:rPr>
          <w:color w:val="000000"/>
        </w:rPr>
        <w:t xml:space="preserve"> </w:t>
      </w:r>
      <w:r w:rsidRPr="00EE60F3">
        <w:rPr>
          <w:color w:val="000000"/>
        </w:rPr>
        <w:t>donors</w:t>
      </w:r>
      <w:r w:rsidR="00BF059B" w:rsidRPr="00EE60F3">
        <w:rPr>
          <w:color w:val="000000"/>
        </w:rPr>
        <w:t xml:space="preserve"> </w:t>
      </w:r>
      <w:r w:rsidRPr="00EE60F3">
        <w:rPr>
          <w:color w:val="000000"/>
        </w:rPr>
        <w:t>or</w:t>
      </w:r>
      <w:r w:rsidR="00BF059B" w:rsidRPr="00EE60F3">
        <w:rPr>
          <w:color w:val="000000"/>
        </w:rPr>
        <w:t xml:space="preserve"> </w:t>
      </w:r>
      <w:r w:rsidRPr="00EE60F3">
        <w:rPr>
          <w:color w:val="000000"/>
        </w:rPr>
        <w:t>by</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purpose</w:t>
      </w:r>
      <w:r w:rsidR="00BF059B" w:rsidRPr="00EE60F3">
        <w:rPr>
          <w:color w:val="000000"/>
        </w:rPr>
        <w:t xml:space="preserve"> </w:t>
      </w:r>
      <w:r w:rsidRPr="00EE60F3">
        <w:rPr>
          <w:color w:val="000000"/>
        </w:rPr>
        <w:t>of</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appeal.</w:t>
      </w:r>
    </w:p>
    <w:p w14:paraId="748673EC" w14:textId="77777777" w:rsidR="00BE13A8" w:rsidRPr="00EE60F3" w:rsidRDefault="00BE13A8" w:rsidP="00EE60F3">
      <w:pPr>
        <w:pBdr>
          <w:top w:val="nil"/>
          <w:left w:val="nil"/>
          <w:bottom w:val="nil"/>
          <w:right w:val="nil"/>
          <w:between w:val="nil"/>
        </w:pBdr>
        <w:rPr>
          <w:color w:val="000000"/>
        </w:rPr>
      </w:pPr>
    </w:p>
    <w:p w14:paraId="651A0FF4" w14:textId="08F5CCC7" w:rsidR="00BE13A8" w:rsidRPr="00EE60F3" w:rsidRDefault="00D70530" w:rsidP="00EE60F3">
      <w:pPr>
        <w:pStyle w:val="Heading4"/>
      </w:pPr>
      <w:r w:rsidRPr="00EE60F3">
        <w:t>f)</w:t>
      </w:r>
      <w:r w:rsidR="00BF059B" w:rsidRPr="00EE60F3">
        <w:t xml:space="preserve"> </w:t>
      </w:r>
      <w:r w:rsidRPr="00EE60F3">
        <w:t>Critical</w:t>
      </w:r>
      <w:r w:rsidR="00BF059B" w:rsidRPr="00EE60F3">
        <w:t xml:space="preserve"> </w:t>
      </w:r>
      <w:r w:rsidRPr="00EE60F3">
        <w:t>accounting</w:t>
      </w:r>
      <w:r w:rsidR="00BF059B" w:rsidRPr="00EE60F3">
        <w:t xml:space="preserve"> </w:t>
      </w:r>
      <w:r w:rsidRPr="00EE60F3">
        <w:t>estimates</w:t>
      </w:r>
      <w:r w:rsidR="00BF059B" w:rsidRPr="00EE60F3">
        <w:t xml:space="preserve"> </w:t>
      </w:r>
      <w:r w:rsidRPr="00EE60F3">
        <w:t>and</w:t>
      </w:r>
      <w:r w:rsidR="00BF059B" w:rsidRPr="00EE60F3">
        <w:t xml:space="preserve"> </w:t>
      </w:r>
      <w:r w:rsidRPr="00EE60F3">
        <w:t>areas</w:t>
      </w:r>
      <w:r w:rsidR="00BF059B" w:rsidRPr="00EE60F3">
        <w:t xml:space="preserve"> </w:t>
      </w:r>
      <w:r w:rsidRPr="00EE60F3">
        <w:t>of</w:t>
      </w:r>
      <w:r w:rsidR="00BF059B" w:rsidRPr="00EE60F3">
        <w:t xml:space="preserve"> </w:t>
      </w:r>
      <w:r w:rsidRPr="00EE60F3">
        <w:t>judgement</w:t>
      </w:r>
    </w:p>
    <w:p w14:paraId="33E30126" w14:textId="000B1A37" w:rsidR="00BE13A8" w:rsidRDefault="00D70530" w:rsidP="00EE60F3">
      <w:r w:rsidRPr="00EE60F3">
        <w:t>In</w:t>
      </w:r>
      <w:r w:rsidR="00BF059B" w:rsidRPr="00EE60F3">
        <w:t xml:space="preserve"> </w:t>
      </w:r>
      <w:r w:rsidRPr="00EE60F3">
        <w:t>the</w:t>
      </w:r>
      <w:r w:rsidR="00BF059B" w:rsidRPr="00EE60F3">
        <w:t xml:space="preserve"> </w:t>
      </w:r>
      <w:r w:rsidRPr="00EE60F3">
        <w:t>view</w:t>
      </w:r>
      <w:r w:rsidR="00BF059B" w:rsidRPr="00EE60F3">
        <w:t xml:space="preserve"> </w:t>
      </w:r>
      <w:r w:rsidRPr="00EE60F3">
        <w:t>of</w:t>
      </w:r>
      <w:r w:rsidR="00BF059B" w:rsidRPr="00EE60F3">
        <w:t xml:space="preserve"> </w:t>
      </w:r>
      <w:r w:rsidRPr="00EE60F3">
        <w:t>the</w:t>
      </w:r>
      <w:r w:rsidR="00BF059B" w:rsidRPr="00EE60F3">
        <w:t xml:space="preserve"> </w:t>
      </w:r>
      <w:r w:rsidRPr="00EE60F3">
        <w:t>Trustees</w:t>
      </w:r>
      <w:r w:rsidR="00BF059B" w:rsidRPr="00EE60F3">
        <w:t xml:space="preserve"> </w:t>
      </w:r>
      <w:r w:rsidRPr="00EE60F3">
        <w:t>in</w:t>
      </w:r>
      <w:r w:rsidR="00BF059B" w:rsidRPr="00EE60F3">
        <w:t xml:space="preserve"> </w:t>
      </w:r>
      <w:r w:rsidRPr="00EE60F3">
        <w:t>applying</w:t>
      </w:r>
      <w:r w:rsidR="00BF059B" w:rsidRPr="00EE60F3">
        <w:t xml:space="preserve"> </w:t>
      </w:r>
      <w:r w:rsidRPr="00EE60F3">
        <w:t>the</w:t>
      </w:r>
      <w:r w:rsidR="00BF059B" w:rsidRPr="00EE60F3">
        <w:t xml:space="preserve"> </w:t>
      </w:r>
      <w:r w:rsidRPr="00EE60F3">
        <w:t>accounting</w:t>
      </w:r>
      <w:r w:rsidR="00BF059B" w:rsidRPr="00EE60F3">
        <w:t xml:space="preserve"> </w:t>
      </w:r>
      <w:r w:rsidRPr="00EE60F3">
        <w:t>policies</w:t>
      </w:r>
      <w:r w:rsidR="00BF059B" w:rsidRPr="00EE60F3">
        <w:t xml:space="preserve"> </w:t>
      </w:r>
      <w:r w:rsidRPr="00EE60F3">
        <w:t>adopted,</w:t>
      </w:r>
      <w:r w:rsidR="00BF059B" w:rsidRPr="00EE60F3">
        <w:t xml:space="preserve"> </w:t>
      </w:r>
      <w:r w:rsidRPr="00EE60F3">
        <w:t>no</w:t>
      </w:r>
      <w:r w:rsidR="00BF059B" w:rsidRPr="00EE60F3">
        <w:t xml:space="preserve"> </w:t>
      </w:r>
      <w:r w:rsidRPr="00EE60F3">
        <w:t>judgements</w:t>
      </w:r>
      <w:r w:rsidR="00BF059B" w:rsidRPr="00EE60F3">
        <w:t xml:space="preserve"> </w:t>
      </w:r>
      <w:r w:rsidRPr="00EE60F3">
        <w:t>were</w:t>
      </w:r>
      <w:r w:rsidR="00BF059B" w:rsidRPr="00EE60F3">
        <w:t xml:space="preserve"> </w:t>
      </w:r>
      <w:r w:rsidRPr="00EE60F3">
        <w:t>required</w:t>
      </w:r>
      <w:r w:rsidR="00BF059B" w:rsidRPr="00EE60F3">
        <w:t xml:space="preserve"> </w:t>
      </w:r>
      <w:r w:rsidRPr="00EE60F3">
        <w:t>that</w:t>
      </w:r>
      <w:r w:rsidR="00BF059B" w:rsidRPr="00EE60F3">
        <w:t xml:space="preserve"> </w:t>
      </w:r>
      <w:r w:rsidRPr="00EE60F3">
        <w:t>have</w:t>
      </w:r>
      <w:r w:rsidR="00BF059B" w:rsidRPr="00EE60F3">
        <w:t xml:space="preserve"> </w:t>
      </w:r>
      <w:r w:rsidRPr="00EE60F3">
        <w:t>a</w:t>
      </w:r>
      <w:r w:rsidR="00BF059B" w:rsidRPr="00EE60F3">
        <w:t xml:space="preserve"> </w:t>
      </w:r>
      <w:r w:rsidRPr="00EE60F3">
        <w:t>significant</w:t>
      </w:r>
      <w:r w:rsidR="00BF059B" w:rsidRPr="00EE60F3">
        <w:t xml:space="preserve"> </w:t>
      </w:r>
      <w:r w:rsidRPr="00EE60F3">
        <w:t>effect</w:t>
      </w:r>
      <w:r w:rsidR="00BF059B" w:rsidRPr="00EE60F3">
        <w:t xml:space="preserve"> </w:t>
      </w:r>
      <w:r w:rsidRPr="00EE60F3">
        <w:t>on</w:t>
      </w:r>
      <w:r w:rsidR="00BF059B" w:rsidRPr="00EE60F3">
        <w:t xml:space="preserve"> </w:t>
      </w:r>
      <w:r w:rsidRPr="00EE60F3">
        <w:t>the</w:t>
      </w:r>
      <w:r w:rsidR="00BF059B" w:rsidRPr="00EE60F3">
        <w:t xml:space="preserve"> </w:t>
      </w:r>
      <w:r w:rsidRPr="00EE60F3">
        <w:t>amounts</w:t>
      </w:r>
      <w:r w:rsidR="00BF059B" w:rsidRPr="00EE60F3">
        <w:t xml:space="preserve"> </w:t>
      </w:r>
      <w:r w:rsidRPr="00EE60F3">
        <w:t>recognised</w:t>
      </w:r>
      <w:r w:rsidR="00BF059B" w:rsidRPr="00EE60F3">
        <w:t xml:space="preserve"> </w:t>
      </w:r>
      <w:r w:rsidRPr="00EE60F3">
        <w:t>in</w:t>
      </w:r>
      <w:r w:rsidR="00BF059B" w:rsidRPr="00EE60F3">
        <w:t xml:space="preserve"> </w:t>
      </w:r>
      <w:r w:rsidRPr="00EE60F3">
        <w:t>the</w:t>
      </w:r>
      <w:r w:rsidR="00BF059B" w:rsidRPr="00EE60F3">
        <w:t xml:space="preserve"> </w:t>
      </w:r>
      <w:r w:rsidRPr="00EE60F3">
        <w:t>financial</w:t>
      </w:r>
      <w:r w:rsidR="00BF059B" w:rsidRPr="00EE60F3">
        <w:t xml:space="preserve"> </w:t>
      </w:r>
      <w:r w:rsidRPr="00EE60F3">
        <w:t>statements</w:t>
      </w:r>
      <w:r w:rsidR="00BF059B" w:rsidRPr="00EE60F3">
        <w:t xml:space="preserve"> </w:t>
      </w:r>
      <w:r w:rsidRPr="00EE60F3">
        <w:t>nor</w:t>
      </w:r>
      <w:r w:rsidR="00BF059B" w:rsidRPr="00EE60F3">
        <w:t xml:space="preserve"> </w:t>
      </w:r>
      <w:r w:rsidRPr="00EE60F3">
        <w:t>do</w:t>
      </w:r>
      <w:r w:rsidR="00BF059B" w:rsidRPr="00EE60F3">
        <w:t xml:space="preserve"> </w:t>
      </w:r>
      <w:r w:rsidRPr="00EE60F3">
        <w:t>any</w:t>
      </w:r>
      <w:r w:rsidR="00BF059B" w:rsidRPr="00EE60F3">
        <w:t xml:space="preserve"> </w:t>
      </w:r>
      <w:r w:rsidRPr="00EE60F3">
        <w:t>estimates</w:t>
      </w:r>
      <w:r w:rsidR="00BF059B" w:rsidRPr="00EE60F3">
        <w:t xml:space="preserve"> </w:t>
      </w:r>
      <w:r w:rsidRPr="00EE60F3">
        <w:t>or</w:t>
      </w:r>
      <w:r w:rsidR="00BF059B" w:rsidRPr="00EE60F3">
        <w:t xml:space="preserve"> </w:t>
      </w:r>
      <w:r w:rsidRPr="00EE60F3">
        <w:t>assumptions</w:t>
      </w:r>
      <w:r w:rsidR="00BF059B" w:rsidRPr="00EE60F3">
        <w:t xml:space="preserve"> </w:t>
      </w:r>
      <w:r w:rsidRPr="00EE60F3">
        <w:t>made</w:t>
      </w:r>
      <w:r w:rsidR="00BF059B" w:rsidRPr="00EE60F3">
        <w:t xml:space="preserve"> </w:t>
      </w:r>
      <w:r w:rsidRPr="00EE60F3">
        <w:t>carry</w:t>
      </w:r>
      <w:r w:rsidR="00BF059B" w:rsidRPr="00EE60F3">
        <w:t xml:space="preserve"> </w:t>
      </w:r>
      <w:r w:rsidRPr="00EE60F3">
        <w:t>a</w:t>
      </w:r>
      <w:r w:rsidR="00BF059B" w:rsidRPr="00EE60F3">
        <w:t xml:space="preserve"> </w:t>
      </w:r>
      <w:r w:rsidRPr="00EE60F3">
        <w:t>significant</w:t>
      </w:r>
      <w:r w:rsidR="00BF059B" w:rsidRPr="00EE60F3">
        <w:t xml:space="preserve"> </w:t>
      </w:r>
      <w:r w:rsidRPr="00EE60F3">
        <w:t>risk</w:t>
      </w:r>
      <w:r w:rsidR="00BF059B" w:rsidRPr="00EE60F3">
        <w:t xml:space="preserve"> </w:t>
      </w:r>
      <w:r w:rsidRPr="00EE60F3">
        <w:t>of</w:t>
      </w:r>
      <w:r w:rsidR="00BF059B" w:rsidRPr="00EE60F3">
        <w:t xml:space="preserve"> </w:t>
      </w:r>
      <w:r w:rsidRPr="00EE60F3">
        <w:t>material</w:t>
      </w:r>
      <w:r w:rsidR="00BF059B" w:rsidRPr="00EE60F3">
        <w:t xml:space="preserve"> </w:t>
      </w:r>
      <w:r w:rsidRPr="00EE60F3">
        <w:t>adjustment</w:t>
      </w:r>
      <w:r w:rsidR="00BF059B" w:rsidRPr="00EE60F3">
        <w:t xml:space="preserve"> </w:t>
      </w:r>
      <w:r w:rsidRPr="00EE60F3">
        <w:t>in</w:t>
      </w:r>
      <w:r w:rsidR="00BF059B" w:rsidRPr="00EE60F3">
        <w:t xml:space="preserve"> </w:t>
      </w:r>
      <w:r w:rsidRPr="00EE60F3">
        <w:t>the</w:t>
      </w:r>
      <w:r w:rsidR="00BF059B" w:rsidRPr="00EE60F3">
        <w:t xml:space="preserve"> </w:t>
      </w:r>
      <w:r w:rsidRPr="00EE60F3">
        <w:t>next</w:t>
      </w:r>
      <w:r w:rsidR="00BF059B" w:rsidRPr="00EE60F3">
        <w:t xml:space="preserve"> </w:t>
      </w:r>
      <w:r w:rsidRPr="00EE60F3">
        <w:t>financial</w:t>
      </w:r>
      <w:r w:rsidR="00BF059B" w:rsidRPr="00EE60F3">
        <w:t xml:space="preserve"> </w:t>
      </w:r>
      <w:r w:rsidRPr="00EE60F3">
        <w:t>year.</w:t>
      </w:r>
    </w:p>
    <w:p w14:paraId="74231C0C" w14:textId="77777777" w:rsidR="00EE60F3" w:rsidRPr="00EE60F3" w:rsidRDefault="00EE60F3" w:rsidP="00EE60F3"/>
    <w:p w14:paraId="26AFCBCC" w14:textId="26A4D0BE" w:rsidR="00BE13A8" w:rsidRPr="00EE60F3" w:rsidRDefault="00D70530" w:rsidP="00EE60F3">
      <w:pPr>
        <w:pStyle w:val="Heading4"/>
      </w:pPr>
      <w:r w:rsidRPr="00EE60F3">
        <w:t>g)</w:t>
      </w:r>
      <w:r w:rsidR="00BF059B" w:rsidRPr="00EE60F3">
        <w:t xml:space="preserve"> </w:t>
      </w:r>
      <w:r w:rsidRPr="00EE60F3">
        <w:t>Heritage</w:t>
      </w:r>
      <w:r w:rsidR="00BF059B" w:rsidRPr="00EE60F3">
        <w:t xml:space="preserve"> </w:t>
      </w:r>
      <w:r w:rsidRPr="00EE60F3">
        <w:t>assets</w:t>
      </w:r>
    </w:p>
    <w:p w14:paraId="412A2567" w14:textId="18217FE7" w:rsidR="00BE13A8" w:rsidRPr="00EE60F3" w:rsidRDefault="00D70530" w:rsidP="00EE60F3">
      <w:r w:rsidRPr="00EE60F3">
        <w:t>Heritage</w:t>
      </w:r>
      <w:r w:rsidR="00BF059B" w:rsidRPr="00EE60F3">
        <w:t xml:space="preserve"> </w:t>
      </w:r>
      <w:r w:rsidRPr="00EE60F3">
        <w:t>assets</w:t>
      </w:r>
      <w:r w:rsidR="00BF059B" w:rsidRPr="00EE60F3">
        <w:t xml:space="preserve"> </w:t>
      </w:r>
      <w:r w:rsidRPr="00EE60F3">
        <w:t>acquired</w:t>
      </w:r>
      <w:r w:rsidR="00BF059B" w:rsidRPr="00EE60F3">
        <w:t xml:space="preserve"> </w:t>
      </w:r>
      <w:r w:rsidRPr="00EE60F3">
        <w:t>since</w:t>
      </w:r>
      <w:r w:rsidR="00BF059B" w:rsidRPr="00EE60F3">
        <w:t xml:space="preserve"> </w:t>
      </w:r>
      <w:r w:rsidRPr="00EE60F3">
        <w:t>April</w:t>
      </w:r>
      <w:r w:rsidR="00BF059B" w:rsidRPr="00EE60F3">
        <w:t xml:space="preserve"> </w:t>
      </w:r>
      <w:r w:rsidRPr="00EE60F3">
        <w:t>2001</w:t>
      </w:r>
      <w:r w:rsidR="00BF059B" w:rsidRPr="00EE60F3">
        <w:t xml:space="preserve"> </w:t>
      </w:r>
      <w:r w:rsidRPr="00EE60F3">
        <w:t>are</w:t>
      </w:r>
      <w:r w:rsidR="00BF059B" w:rsidRPr="00EE60F3">
        <w:t xml:space="preserve"> </w:t>
      </w:r>
      <w:r w:rsidRPr="00EE60F3">
        <w:t>reported</w:t>
      </w:r>
      <w:r w:rsidR="00BF059B" w:rsidRPr="00EE60F3">
        <w:t xml:space="preserve"> </w:t>
      </w:r>
      <w:r w:rsidRPr="00EE60F3">
        <w:t>in</w:t>
      </w:r>
      <w:r w:rsidR="00BF059B" w:rsidRPr="00EE60F3">
        <w:t xml:space="preserve"> </w:t>
      </w:r>
      <w:r w:rsidRPr="00EE60F3">
        <w:t>the</w:t>
      </w:r>
      <w:r w:rsidR="00BF059B" w:rsidRPr="00EE60F3">
        <w:t xml:space="preserve"> </w:t>
      </w:r>
      <w:r w:rsidRPr="00EE60F3">
        <w:t>balance</w:t>
      </w:r>
      <w:r w:rsidR="00BF059B" w:rsidRPr="00EE60F3">
        <w:t xml:space="preserve"> </w:t>
      </w:r>
      <w:r w:rsidRPr="00EE60F3">
        <w:t>sheet</w:t>
      </w:r>
      <w:r w:rsidR="00BF059B" w:rsidRPr="00EE60F3">
        <w:t xml:space="preserve"> </w:t>
      </w:r>
      <w:r w:rsidRPr="00EE60F3">
        <w:t>at</w:t>
      </w:r>
      <w:r w:rsidR="00BF059B" w:rsidRPr="00EE60F3">
        <w:t xml:space="preserve"> </w:t>
      </w:r>
      <w:r w:rsidRPr="00EE60F3">
        <w:t>cost</w:t>
      </w:r>
      <w:r w:rsidR="00BF059B" w:rsidRPr="00EE60F3">
        <w:t xml:space="preserve"> </w:t>
      </w:r>
      <w:r w:rsidRPr="00EE60F3">
        <w:t>or,</w:t>
      </w:r>
      <w:r w:rsidR="00BF059B" w:rsidRPr="00EE60F3">
        <w:t xml:space="preserve"> </w:t>
      </w:r>
      <w:r w:rsidRPr="00EE60F3">
        <w:t>in</w:t>
      </w:r>
      <w:r w:rsidR="00BF059B" w:rsidRPr="00EE60F3">
        <w:t xml:space="preserve"> </w:t>
      </w:r>
      <w:r w:rsidRPr="00EE60F3">
        <w:t>the</w:t>
      </w:r>
      <w:r w:rsidR="00BF059B" w:rsidRPr="00EE60F3">
        <w:t xml:space="preserve"> </w:t>
      </w:r>
      <w:r w:rsidRPr="00EE60F3">
        <w:t>case</w:t>
      </w:r>
      <w:r w:rsidR="00BF059B" w:rsidRPr="00EE60F3">
        <w:t xml:space="preserve"> </w:t>
      </w:r>
      <w:r w:rsidRPr="00EE60F3">
        <w:t>of</w:t>
      </w:r>
      <w:r w:rsidR="00BF059B" w:rsidRPr="00EE60F3">
        <w:t xml:space="preserve"> </w:t>
      </w:r>
      <w:r w:rsidRPr="00EE60F3">
        <w:t>donated</w:t>
      </w:r>
      <w:r w:rsidR="00BF059B" w:rsidRPr="00EE60F3">
        <w:t xml:space="preserve"> </w:t>
      </w:r>
      <w:r w:rsidRPr="00EE60F3">
        <w:t>assets,</w:t>
      </w:r>
      <w:r w:rsidR="00BF059B" w:rsidRPr="00EE60F3">
        <w:t xml:space="preserve"> </w:t>
      </w:r>
      <w:r w:rsidRPr="00EE60F3">
        <w:t>an</w:t>
      </w:r>
      <w:r w:rsidR="00BF059B" w:rsidRPr="00EE60F3">
        <w:t xml:space="preserve"> </w:t>
      </w:r>
      <w:r w:rsidRPr="00EE60F3">
        <w:t>internally</w:t>
      </w:r>
      <w:r w:rsidR="00BF059B" w:rsidRPr="00EE60F3">
        <w:t xml:space="preserve"> </w:t>
      </w:r>
      <w:r w:rsidRPr="00EE60F3">
        <w:t>generated</w:t>
      </w:r>
      <w:r w:rsidR="00BF059B" w:rsidRPr="00EE60F3">
        <w:t xml:space="preserve"> </w:t>
      </w:r>
      <w:r w:rsidRPr="00EE60F3">
        <w:t>valuation.</w:t>
      </w:r>
      <w:r w:rsidR="00BF059B" w:rsidRPr="00EE60F3">
        <w:t xml:space="preserve"> </w:t>
      </w:r>
    </w:p>
    <w:p w14:paraId="08E9C786" w14:textId="4C4B432E" w:rsidR="00BE13A8" w:rsidRDefault="00D70530" w:rsidP="00EE60F3">
      <w:r w:rsidRPr="00EE60F3">
        <w:t>For</w:t>
      </w:r>
      <w:r w:rsidR="00BF059B" w:rsidRPr="00EE60F3">
        <w:t xml:space="preserve"> </w:t>
      </w:r>
      <w:r w:rsidRPr="00EE60F3">
        <w:t>the</w:t>
      </w:r>
      <w:r w:rsidR="00BF059B" w:rsidRPr="00EE60F3">
        <w:t xml:space="preserve"> </w:t>
      </w:r>
      <w:r w:rsidRPr="00EE60F3">
        <w:t>Collections</w:t>
      </w:r>
      <w:r w:rsidR="00BF059B" w:rsidRPr="00EE60F3">
        <w:t xml:space="preserve"> </w:t>
      </w:r>
      <w:r w:rsidRPr="00EE60F3">
        <w:t>that</w:t>
      </w:r>
      <w:r w:rsidR="00BF059B" w:rsidRPr="00EE60F3">
        <w:t xml:space="preserve"> </w:t>
      </w:r>
      <w:r w:rsidRPr="00EE60F3">
        <w:t>existed</w:t>
      </w:r>
      <w:r w:rsidR="00BF059B" w:rsidRPr="00EE60F3">
        <w:t xml:space="preserve"> </w:t>
      </w:r>
      <w:proofErr w:type="gramStart"/>
      <w:r w:rsidRPr="00EE60F3">
        <w:t>at</w:t>
      </w:r>
      <w:proofErr w:type="gramEnd"/>
      <w:r w:rsidR="00BF059B" w:rsidRPr="00EE60F3">
        <w:t xml:space="preserve"> </w:t>
      </w:r>
      <w:r w:rsidRPr="00EE60F3">
        <w:t>March</w:t>
      </w:r>
      <w:r w:rsidR="00BF059B" w:rsidRPr="00EE60F3">
        <w:t xml:space="preserve"> </w:t>
      </w:r>
      <w:r w:rsidRPr="00EE60F3">
        <w:t>2001</w:t>
      </w:r>
      <w:r w:rsidR="00BF059B" w:rsidRPr="00EE60F3">
        <w:t xml:space="preserve"> </w:t>
      </w:r>
      <w:r w:rsidRPr="00EE60F3">
        <w:t>the</w:t>
      </w:r>
      <w:r w:rsidR="00BF059B" w:rsidRPr="00EE60F3">
        <w:t xml:space="preserve"> </w:t>
      </w:r>
      <w:r w:rsidRPr="00EE60F3">
        <w:t>Trust</w:t>
      </w:r>
      <w:r w:rsidR="00BF059B" w:rsidRPr="00EE60F3">
        <w:t xml:space="preserve"> </w:t>
      </w:r>
      <w:r w:rsidRPr="00EE60F3">
        <w:t>has</w:t>
      </w:r>
      <w:r w:rsidR="00BF059B" w:rsidRPr="00EE60F3">
        <w:t xml:space="preserve"> </w:t>
      </w:r>
      <w:r w:rsidRPr="00EE60F3">
        <w:t>demonstrated</w:t>
      </w:r>
      <w:r w:rsidR="00BF059B" w:rsidRPr="00EE60F3">
        <w:t xml:space="preserve"> </w:t>
      </w:r>
      <w:r w:rsidRPr="00EE60F3">
        <w:t>that</w:t>
      </w:r>
      <w:r w:rsidR="00BF059B" w:rsidRPr="00EE60F3">
        <w:t xml:space="preserve"> </w:t>
      </w:r>
      <w:r w:rsidRPr="00EE60F3">
        <w:t>reliable</w:t>
      </w:r>
      <w:r w:rsidR="00BF059B" w:rsidRPr="00EE60F3">
        <w:t xml:space="preserve"> </w:t>
      </w:r>
      <w:r w:rsidRPr="00EE60F3">
        <w:t>cost</w:t>
      </w:r>
      <w:r w:rsidR="00BF059B" w:rsidRPr="00EE60F3">
        <w:t xml:space="preserve"> </w:t>
      </w:r>
      <w:r w:rsidRPr="00EE60F3">
        <w:t>or</w:t>
      </w:r>
      <w:r w:rsidR="00BF059B" w:rsidRPr="00EE60F3">
        <w:t xml:space="preserve"> </w:t>
      </w:r>
      <w:r w:rsidRPr="00EE60F3">
        <w:t>valuation</w:t>
      </w:r>
      <w:r w:rsidR="00BF059B" w:rsidRPr="00EE60F3">
        <w:t xml:space="preserve"> </w:t>
      </w:r>
      <w:r w:rsidRPr="00EE60F3">
        <w:t>information</w:t>
      </w:r>
      <w:r w:rsidR="00BF059B" w:rsidRPr="00EE60F3">
        <w:t xml:space="preserve"> </w:t>
      </w:r>
      <w:r w:rsidRPr="00EE60F3">
        <w:t>cannot</w:t>
      </w:r>
      <w:r w:rsidR="00BF059B" w:rsidRPr="00EE60F3">
        <w:t xml:space="preserve"> </w:t>
      </w:r>
      <w:r w:rsidRPr="00EE60F3">
        <w:t>be</w:t>
      </w:r>
      <w:r w:rsidR="00BF059B" w:rsidRPr="00EE60F3">
        <w:t xml:space="preserve"> </w:t>
      </w:r>
      <w:r w:rsidRPr="00EE60F3">
        <w:t>obtained</w:t>
      </w:r>
      <w:r w:rsidR="00BF059B" w:rsidRPr="00EE60F3">
        <w:t xml:space="preserve"> </w:t>
      </w:r>
      <w:r w:rsidRPr="00EE60F3">
        <w:t>at</w:t>
      </w:r>
      <w:r w:rsidR="00BF059B" w:rsidRPr="00EE60F3">
        <w:t xml:space="preserve"> </w:t>
      </w:r>
      <w:r w:rsidRPr="00EE60F3">
        <w:t>a</w:t>
      </w:r>
      <w:r w:rsidR="00BF059B" w:rsidRPr="00EE60F3">
        <w:t xml:space="preserve"> </w:t>
      </w:r>
      <w:r w:rsidRPr="00EE60F3">
        <w:t>cost</w:t>
      </w:r>
      <w:r w:rsidR="00BF059B" w:rsidRPr="00EE60F3">
        <w:t xml:space="preserve"> </w:t>
      </w:r>
      <w:r w:rsidRPr="00EE60F3">
        <w:t>commensurate</w:t>
      </w:r>
      <w:r w:rsidR="00BF059B" w:rsidRPr="00EE60F3">
        <w:t xml:space="preserve"> </w:t>
      </w:r>
      <w:r w:rsidRPr="00EE60F3">
        <w:t>with</w:t>
      </w:r>
      <w:r w:rsidR="00BF059B" w:rsidRPr="00EE60F3">
        <w:t xml:space="preserve"> </w:t>
      </w:r>
      <w:r w:rsidRPr="00EE60F3">
        <w:t>the</w:t>
      </w:r>
      <w:r w:rsidR="00BF059B" w:rsidRPr="00EE60F3">
        <w:t xml:space="preserve"> </w:t>
      </w:r>
      <w:r w:rsidRPr="00EE60F3">
        <w:t>benefits</w:t>
      </w:r>
      <w:r w:rsidR="00BF059B" w:rsidRPr="00EE60F3">
        <w:t xml:space="preserve"> </w:t>
      </w:r>
      <w:r w:rsidRPr="00EE60F3">
        <w:t>to</w:t>
      </w:r>
      <w:r w:rsidR="00BF059B" w:rsidRPr="00EE60F3">
        <w:t xml:space="preserve"> </w:t>
      </w:r>
      <w:r w:rsidRPr="00EE60F3">
        <w:t>users</w:t>
      </w:r>
      <w:r w:rsidR="00BF059B" w:rsidRPr="00EE60F3">
        <w:t xml:space="preserve"> </w:t>
      </w:r>
      <w:r w:rsidRPr="00EE60F3">
        <w:t>of</w:t>
      </w:r>
      <w:r w:rsidR="00BF059B" w:rsidRPr="00EE60F3">
        <w:t xml:space="preserve"> </w:t>
      </w:r>
      <w:r w:rsidRPr="00EE60F3">
        <w:t>the</w:t>
      </w:r>
      <w:r w:rsidR="00BF059B" w:rsidRPr="00EE60F3">
        <w:t xml:space="preserve"> </w:t>
      </w:r>
      <w:r w:rsidRPr="00EE60F3">
        <w:t>financial</w:t>
      </w:r>
      <w:r w:rsidR="00BF059B" w:rsidRPr="00EE60F3">
        <w:t xml:space="preserve"> </w:t>
      </w:r>
      <w:r w:rsidRPr="00EE60F3">
        <w:t>statements</w:t>
      </w:r>
      <w:r w:rsidR="00BF059B" w:rsidRPr="00EE60F3">
        <w:t xml:space="preserve"> </w:t>
      </w:r>
      <w:r w:rsidRPr="00EE60F3">
        <w:t>and</w:t>
      </w:r>
      <w:r w:rsidR="00BF059B" w:rsidRPr="00EE60F3">
        <w:t xml:space="preserve"> </w:t>
      </w:r>
      <w:r w:rsidRPr="00EE60F3">
        <w:t>so</w:t>
      </w:r>
      <w:r w:rsidR="00BF059B" w:rsidRPr="00EE60F3">
        <w:t xml:space="preserve"> </w:t>
      </w:r>
      <w:r w:rsidRPr="00EE60F3">
        <w:t>the</w:t>
      </w:r>
      <w:r w:rsidR="00BF059B" w:rsidRPr="00EE60F3">
        <w:t xml:space="preserve"> </w:t>
      </w:r>
      <w:r w:rsidRPr="00EE60F3">
        <w:t>Trust</w:t>
      </w:r>
      <w:r w:rsidR="00BF059B" w:rsidRPr="00EE60F3">
        <w:t xml:space="preserve"> </w:t>
      </w:r>
      <w:r w:rsidRPr="00EE60F3">
        <w:t>has</w:t>
      </w:r>
      <w:r w:rsidR="00BF059B" w:rsidRPr="00EE60F3">
        <w:t xml:space="preserve"> </w:t>
      </w:r>
      <w:r w:rsidRPr="00EE60F3">
        <w:t>adopted</w:t>
      </w:r>
      <w:r w:rsidR="00BF059B" w:rsidRPr="00EE60F3">
        <w:t xml:space="preserve"> </w:t>
      </w:r>
      <w:r w:rsidRPr="00EE60F3">
        <w:t>a</w:t>
      </w:r>
      <w:r w:rsidR="00BF059B" w:rsidRPr="00EE60F3">
        <w:t xml:space="preserve"> </w:t>
      </w:r>
      <w:r w:rsidRPr="00EE60F3">
        <w:t>non-recognition</w:t>
      </w:r>
      <w:r w:rsidR="00BF059B" w:rsidRPr="00EE60F3">
        <w:t xml:space="preserve"> </w:t>
      </w:r>
      <w:r w:rsidRPr="00EE60F3">
        <w:t>approach</w:t>
      </w:r>
      <w:r w:rsidR="00BF059B" w:rsidRPr="00EE60F3">
        <w:t xml:space="preserve"> </w:t>
      </w:r>
      <w:r w:rsidRPr="00EE60F3">
        <w:t>as</w:t>
      </w:r>
      <w:r w:rsidR="00BF059B" w:rsidRPr="00EE60F3">
        <w:t xml:space="preserve"> </w:t>
      </w:r>
      <w:r w:rsidRPr="00EE60F3">
        <w:t>permitted</w:t>
      </w:r>
      <w:r w:rsidR="00BF059B" w:rsidRPr="00EE60F3">
        <w:t xml:space="preserve"> </w:t>
      </w:r>
      <w:r w:rsidRPr="00EE60F3">
        <w:t>by</w:t>
      </w:r>
      <w:r w:rsidR="00BF059B" w:rsidRPr="00EE60F3">
        <w:t xml:space="preserve"> </w:t>
      </w:r>
      <w:r w:rsidRPr="00EE60F3">
        <w:t>FRS102.</w:t>
      </w:r>
      <w:r w:rsidR="00BF059B" w:rsidRPr="00EE60F3">
        <w:t xml:space="preserve"> </w:t>
      </w:r>
    </w:p>
    <w:p w14:paraId="00ED9C73" w14:textId="77777777" w:rsidR="00EE60F3" w:rsidRPr="00EE60F3" w:rsidRDefault="00EE60F3" w:rsidP="00EE60F3"/>
    <w:p w14:paraId="0B9810C3" w14:textId="28F438F7" w:rsidR="00BE13A8" w:rsidRPr="00EE60F3" w:rsidRDefault="00D70530" w:rsidP="00EE60F3">
      <w:r w:rsidRPr="00EE60F3">
        <w:t>Although</w:t>
      </w:r>
      <w:r w:rsidR="00BF059B" w:rsidRPr="00EE60F3">
        <w:t xml:space="preserve"> </w:t>
      </w:r>
      <w:r w:rsidRPr="00EE60F3">
        <w:t>insurance</w:t>
      </w:r>
      <w:r w:rsidR="00BF059B" w:rsidRPr="00EE60F3">
        <w:t xml:space="preserve"> </w:t>
      </w:r>
      <w:r w:rsidRPr="00EE60F3">
        <w:t>valuations</w:t>
      </w:r>
      <w:r w:rsidR="00BF059B" w:rsidRPr="00EE60F3">
        <w:t xml:space="preserve"> </w:t>
      </w:r>
      <w:r w:rsidRPr="00EE60F3">
        <w:t>are</w:t>
      </w:r>
      <w:r w:rsidR="00BF059B" w:rsidRPr="00EE60F3">
        <w:t xml:space="preserve"> </w:t>
      </w:r>
      <w:r w:rsidRPr="00EE60F3">
        <w:t>available</w:t>
      </w:r>
      <w:r w:rsidR="00BF059B" w:rsidRPr="00EE60F3">
        <w:t xml:space="preserve"> </w:t>
      </w:r>
      <w:r w:rsidRPr="00EE60F3">
        <w:t>for</w:t>
      </w:r>
      <w:r w:rsidR="00BF059B" w:rsidRPr="00EE60F3">
        <w:t xml:space="preserve"> </w:t>
      </w:r>
      <w:r w:rsidRPr="00EE60F3">
        <w:t>some</w:t>
      </w:r>
      <w:r w:rsidR="00BF059B" w:rsidRPr="00EE60F3">
        <w:t xml:space="preserve"> </w:t>
      </w:r>
      <w:r w:rsidRPr="00EE60F3">
        <w:t>items</w:t>
      </w:r>
      <w:r w:rsidR="00BF059B" w:rsidRPr="00EE60F3">
        <w:t xml:space="preserve"> </w:t>
      </w:r>
      <w:r w:rsidRPr="00EE60F3">
        <w:t>which</w:t>
      </w:r>
      <w:r w:rsidR="00BF059B" w:rsidRPr="00EE60F3">
        <w:t xml:space="preserve"> </w:t>
      </w:r>
      <w:r w:rsidRPr="00EE60F3">
        <w:t>have</w:t>
      </w:r>
      <w:r w:rsidR="00BF059B" w:rsidRPr="00EE60F3">
        <w:t xml:space="preserve"> </w:t>
      </w:r>
      <w:r w:rsidRPr="00EE60F3">
        <w:t>been</w:t>
      </w:r>
      <w:r w:rsidR="00BF059B" w:rsidRPr="00EE60F3">
        <w:t xml:space="preserve"> </w:t>
      </w:r>
      <w:r w:rsidRPr="00EE60F3">
        <w:t>loaned,</w:t>
      </w:r>
      <w:r w:rsidR="00BF059B" w:rsidRPr="00EE60F3">
        <w:t xml:space="preserve"> </w:t>
      </w:r>
      <w:r w:rsidRPr="00EE60F3">
        <w:t>these</w:t>
      </w:r>
      <w:r w:rsidR="00BF059B" w:rsidRPr="00EE60F3">
        <w:t xml:space="preserve"> </w:t>
      </w:r>
      <w:r w:rsidRPr="00EE60F3">
        <w:t>are</w:t>
      </w:r>
      <w:r w:rsidR="00BF059B" w:rsidRPr="00EE60F3">
        <w:t xml:space="preserve"> </w:t>
      </w:r>
      <w:r w:rsidRPr="00EE60F3">
        <w:t>not</w:t>
      </w:r>
      <w:r w:rsidR="00BF059B" w:rsidRPr="00EE60F3">
        <w:t xml:space="preserve"> </w:t>
      </w:r>
      <w:r w:rsidRPr="00EE60F3">
        <w:t>reliable</w:t>
      </w:r>
      <w:r w:rsidR="00BF059B" w:rsidRPr="00EE60F3">
        <w:t xml:space="preserve"> </w:t>
      </w:r>
      <w:r w:rsidRPr="00EE60F3">
        <w:t>for</w:t>
      </w:r>
      <w:r w:rsidR="00BF059B" w:rsidRPr="00EE60F3">
        <w:t xml:space="preserve"> </w:t>
      </w:r>
      <w:r w:rsidRPr="00EE60F3">
        <w:t>the</w:t>
      </w:r>
      <w:r w:rsidR="00BF059B" w:rsidRPr="00EE60F3">
        <w:t xml:space="preserve"> </w:t>
      </w:r>
      <w:r w:rsidRPr="00EE60F3">
        <w:t>purposes</w:t>
      </w:r>
      <w:r w:rsidR="00BF059B" w:rsidRPr="00EE60F3">
        <w:t xml:space="preserve"> </w:t>
      </w:r>
      <w:r w:rsidRPr="00EE60F3">
        <w:t>of</w:t>
      </w:r>
      <w:r w:rsidR="00BF059B" w:rsidRPr="00EE60F3">
        <w:t xml:space="preserve"> </w:t>
      </w:r>
      <w:r w:rsidRPr="00EE60F3">
        <w:t>recognition</w:t>
      </w:r>
      <w:r w:rsidR="00BF059B" w:rsidRPr="00EE60F3">
        <w:t xml:space="preserve"> </w:t>
      </w:r>
      <w:r w:rsidRPr="00EE60F3">
        <w:t>in</w:t>
      </w:r>
      <w:r w:rsidR="00BF059B" w:rsidRPr="00EE60F3">
        <w:t xml:space="preserve"> </w:t>
      </w:r>
      <w:r w:rsidRPr="00EE60F3">
        <w:t>the</w:t>
      </w:r>
      <w:r w:rsidR="00BF059B" w:rsidRPr="00EE60F3">
        <w:t xml:space="preserve"> </w:t>
      </w:r>
      <w:r w:rsidRPr="00EE60F3">
        <w:t>accounts</w:t>
      </w:r>
      <w:r w:rsidR="00BF059B" w:rsidRPr="00EE60F3">
        <w:t xml:space="preserve"> </w:t>
      </w:r>
      <w:r w:rsidRPr="00EE60F3">
        <w:t>as</w:t>
      </w:r>
      <w:r w:rsidR="00BF059B" w:rsidRPr="00EE60F3">
        <w:t xml:space="preserve"> </w:t>
      </w:r>
      <w:r w:rsidRPr="00EE60F3">
        <w:t>the</w:t>
      </w:r>
      <w:r w:rsidR="00BF059B" w:rsidRPr="00EE60F3">
        <w:t xml:space="preserve"> </w:t>
      </w:r>
      <w:r w:rsidRPr="00EE60F3">
        <w:t>valuations</w:t>
      </w:r>
      <w:r w:rsidR="00BF059B" w:rsidRPr="00EE60F3">
        <w:t xml:space="preserve"> </w:t>
      </w:r>
      <w:r w:rsidRPr="00EE60F3">
        <w:t>have</w:t>
      </w:r>
      <w:r w:rsidR="00BF059B" w:rsidRPr="00EE60F3">
        <w:t xml:space="preserve"> </w:t>
      </w:r>
      <w:r w:rsidRPr="00EE60F3">
        <w:t>been</w:t>
      </w:r>
      <w:r w:rsidR="00BF059B" w:rsidRPr="00EE60F3">
        <w:t xml:space="preserve"> </w:t>
      </w:r>
      <w:r w:rsidRPr="00EE60F3">
        <w:t>specifically</w:t>
      </w:r>
      <w:r w:rsidR="00BF059B" w:rsidRPr="00EE60F3">
        <w:t xml:space="preserve"> </w:t>
      </w:r>
      <w:r w:rsidRPr="00EE60F3">
        <w:t>obtained</w:t>
      </w:r>
      <w:r w:rsidR="00BF059B" w:rsidRPr="00EE60F3">
        <w:t xml:space="preserve"> </w:t>
      </w:r>
      <w:r w:rsidRPr="00EE60F3">
        <w:t>for</w:t>
      </w:r>
      <w:r w:rsidR="00BF059B" w:rsidRPr="00EE60F3">
        <w:t xml:space="preserve"> </w:t>
      </w:r>
      <w:r w:rsidRPr="00EE60F3">
        <w:t>the</w:t>
      </w:r>
      <w:r w:rsidR="00BF059B" w:rsidRPr="00EE60F3">
        <w:t xml:space="preserve"> </w:t>
      </w:r>
      <w:r w:rsidRPr="00EE60F3">
        <w:t>loan</w:t>
      </w:r>
      <w:r w:rsidR="00BF059B" w:rsidRPr="00EE60F3">
        <w:t xml:space="preserve"> </w:t>
      </w:r>
      <w:r w:rsidRPr="00EE60F3">
        <w:t>purposes,</w:t>
      </w:r>
      <w:r w:rsidR="00BF059B" w:rsidRPr="00EE60F3">
        <w:t xml:space="preserve"> </w:t>
      </w:r>
      <w:proofErr w:type="gramStart"/>
      <w:r w:rsidRPr="00EE60F3">
        <w:t>taking</w:t>
      </w:r>
      <w:r w:rsidR="00BF059B" w:rsidRPr="00EE60F3">
        <w:t xml:space="preserve"> </w:t>
      </w:r>
      <w:r w:rsidRPr="00EE60F3">
        <w:t>into</w:t>
      </w:r>
      <w:r w:rsidR="00BF059B" w:rsidRPr="00EE60F3">
        <w:t xml:space="preserve"> </w:t>
      </w:r>
      <w:r w:rsidRPr="00EE60F3">
        <w:t>account</w:t>
      </w:r>
      <w:proofErr w:type="gramEnd"/>
      <w:r w:rsidR="00BF059B" w:rsidRPr="00EE60F3">
        <w:t xml:space="preserve"> </w:t>
      </w:r>
      <w:r w:rsidRPr="00EE60F3">
        <w:t>of</w:t>
      </w:r>
      <w:r w:rsidR="00BF059B" w:rsidRPr="00EE60F3">
        <w:t xml:space="preserve"> </w:t>
      </w:r>
      <w:r w:rsidRPr="00EE60F3">
        <w:t>specific</w:t>
      </w:r>
      <w:r w:rsidR="00BF059B" w:rsidRPr="00EE60F3">
        <w:t xml:space="preserve"> </w:t>
      </w:r>
      <w:r w:rsidRPr="00EE60F3">
        <w:t>circumstances.</w:t>
      </w:r>
    </w:p>
    <w:p w14:paraId="63C7BB57" w14:textId="6C6039AA" w:rsidR="00BE13A8" w:rsidRDefault="00D70530" w:rsidP="00EE60F3">
      <w:r w:rsidRPr="00EE60F3">
        <w:t>An</w:t>
      </w:r>
      <w:r w:rsidR="00BF059B" w:rsidRPr="00EE60F3">
        <w:t xml:space="preserve"> </w:t>
      </w:r>
      <w:r w:rsidRPr="00EE60F3">
        <w:t>overview</w:t>
      </w:r>
      <w:r w:rsidR="00BF059B" w:rsidRPr="00EE60F3">
        <w:t xml:space="preserve"> </w:t>
      </w:r>
      <w:r w:rsidRPr="00EE60F3">
        <w:t>of</w:t>
      </w:r>
      <w:r w:rsidR="00BF059B" w:rsidRPr="00EE60F3">
        <w:t xml:space="preserve"> </w:t>
      </w:r>
      <w:r w:rsidRPr="00EE60F3">
        <w:t>the</w:t>
      </w:r>
      <w:r w:rsidR="00BF059B" w:rsidRPr="00EE60F3">
        <w:t xml:space="preserve"> </w:t>
      </w:r>
      <w:r w:rsidRPr="00EE60F3">
        <w:t>scope</w:t>
      </w:r>
      <w:r w:rsidR="00BF059B" w:rsidRPr="00EE60F3">
        <w:t xml:space="preserve"> </w:t>
      </w:r>
      <w:r w:rsidRPr="00EE60F3">
        <w:t>of</w:t>
      </w:r>
      <w:r w:rsidR="00BF059B" w:rsidRPr="00EE60F3">
        <w:t xml:space="preserve"> </w:t>
      </w:r>
      <w:r w:rsidRPr="00EE60F3">
        <w:t>the</w:t>
      </w:r>
      <w:r w:rsidR="00BF059B" w:rsidRPr="00EE60F3">
        <w:t xml:space="preserve"> </w:t>
      </w:r>
      <w:r w:rsidRPr="00EE60F3">
        <w:t>Horniman’s</w:t>
      </w:r>
      <w:r w:rsidR="00BF059B" w:rsidRPr="00EE60F3">
        <w:t xml:space="preserve"> </w:t>
      </w:r>
      <w:r w:rsidRPr="00EE60F3">
        <w:t>Collections</w:t>
      </w:r>
      <w:r w:rsidR="00BF059B" w:rsidRPr="00EE60F3">
        <w:t xml:space="preserve"> </w:t>
      </w:r>
      <w:r w:rsidRPr="00EE60F3">
        <w:t>is</w:t>
      </w:r>
      <w:r w:rsidR="00BF059B" w:rsidRPr="00EE60F3">
        <w:t xml:space="preserve"> </w:t>
      </w:r>
      <w:r w:rsidRPr="00EE60F3">
        <w:t>set</w:t>
      </w:r>
      <w:r w:rsidR="00BF059B" w:rsidRPr="00EE60F3">
        <w:t xml:space="preserve"> </w:t>
      </w:r>
      <w:r w:rsidRPr="00EE60F3">
        <w:t>out</w:t>
      </w:r>
      <w:r w:rsidR="00BF059B" w:rsidRPr="00EE60F3">
        <w:t xml:space="preserve"> </w:t>
      </w:r>
      <w:r w:rsidRPr="00EE60F3">
        <w:t>at</w:t>
      </w:r>
      <w:r w:rsidR="00BF059B" w:rsidRPr="00EE60F3">
        <w:t xml:space="preserve"> </w:t>
      </w:r>
      <w:r w:rsidRPr="00EE60F3">
        <w:t>note</w:t>
      </w:r>
      <w:r w:rsidR="00BF059B" w:rsidRPr="00EE60F3">
        <w:t xml:space="preserve"> </w:t>
      </w:r>
      <w:r w:rsidRPr="00EE60F3">
        <w:t>16.</w:t>
      </w:r>
      <w:r w:rsidR="00BF059B" w:rsidRPr="00EE60F3">
        <w:t xml:space="preserve"> </w:t>
      </w:r>
    </w:p>
    <w:p w14:paraId="735F44F0" w14:textId="77777777" w:rsidR="00EE60F3" w:rsidRPr="00EE60F3" w:rsidRDefault="00EE60F3" w:rsidP="00EE60F3"/>
    <w:p w14:paraId="006AE2C8" w14:textId="5C27EE0F" w:rsidR="00BE13A8" w:rsidRDefault="00D70530" w:rsidP="00EE60F3">
      <w:r w:rsidRPr="00EE60F3">
        <w:t>Heritage</w:t>
      </w:r>
      <w:r w:rsidR="00BF059B" w:rsidRPr="00EE60F3">
        <w:t xml:space="preserve"> </w:t>
      </w:r>
      <w:r w:rsidRPr="00EE60F3">
        <w:t>assets</w:t>
      </w:r>
      <w:r w:rsidR="00BF059B" w:rsidRPr="00EE60F3">
        <w:t xml:space="preserve"> </w:t>
      </w:r>
      <w:r w:rsidRPr="00EE60F3">
        <w:t>which</w:t>
      </w:r>
      <w:r w:rsidR="00BF059B" w:rsidRPr="00EE60F3">
        <w:t xml:space="preserve"> </w:t>
      </w:r>
      <w:r w:rsidRPr="00EE60F3">
        <w:t>are</w:t>
      </w:r>
      <w:r w:rsidR="00BF059B" w:rsidRPr="00EE60F3">
        <w:t xml:space="preserve"> </w:t>
      </w:r>
      <w:r w:rsidRPr="00EE60F3">
        <w:t>stated</w:t>
      </w:r>
      <w:r w:rsidR="00BF059B" w:rsidRPr="00EE60F3">
        <w:t xml:space="preserve"> </w:t>
      </w:r>
      <w:r w:rsidRPr="00EE60F3">
        <w:t>at</w:t>
      </w:r>
      <w:r w:rsidR="00BF059B" w:rsidRPr="00EE60F3">
        <w:t xml:space="preserve"> </w:t>
      </w:r>
      <w:r w:rsidRPr="00EE60F3">
        <w:t>cost</w:t>
      </w:r>
      <w:r w:rsidR="00BF059B" w:rsidRPr="00EE60F3">
        <w:t xml:space="preserve"> </w:t>
      </w:r>
      <w:r w:rsidRPr="00EE60F3">
        <w:t>are</w:t>
      </w:r>
      <w:r w:rsidR="00BF059B" w:rsidRPr="00EE60F3">
        <w:t xml:space="preserve"> </w:t>
      </w:r>
      <w:r w:rsidRPr="00EE60F3">
        <w:t>not</w:t>
      </w:r>
      <w:r w:rsidR="00BF059B" w:rsidRPr="00EE60F3">
        <w:t xml:space="preserve"> </w:t>
      </w:r>
      <w:r w:rsidRPr="00EE60F3">
        <w:t>subject</w:t>
      </w:r>
      <w:r w:rsidR="00BF059B" w:rsidRPr="00EE60F3">
        <w:t xml:space="preserve"> </w:t>
      </w:r>
      <w:r w:rsidRPr="00EE60F3">
        <w:t>to</w:t>
      </w:r>
      <w:r w:rsidR="00BF059B" w:rsidRPr="00EE60F3">
        <w:t xml:space="preserve"> </w:t>
      </w:r>
      <w:r w:rsidRPr="00EE60F3">
        <w:t>depreciation.</w:t>
      </w:r>
      <w:r w:rsidR="00BF059B" w:rsidRPr="00EE60F3">
        <w:t xml:space="preserve"> </w:t>
      </w:r>
      <w:r w:rsidRPr="00EE60F3">
        <w:t>Heritage</w:t>
      </w:r>
      <w:r w:rsidR="00BF059B" w:rsidRPr="00EE60F3">
        <w:t xml:space="preserve"> </w:t>
      </w:r>
      <w:r w:rsidRPr="00EE60F3">
        <w:t>assets</w:t>
      </w:r>
      <w:r w:rsidR="00BF059B" w:rsidRPr="00EE60F3">
        <w:t xml:space="preserve"> </w:t>
      </w:r>
      <w:r w:rsidRPr="00EE60F3">
        <w:t>stated</w:t>
      </w:r>
      <w:r w:rsidR="00BF059B" w:rsidRPr="00EE60F3">
        <w:t xml:space="preserve"> </w:t>
      </w:r>
      <w:r w:rsidRPr="00EE60F3">
        <w:t>at</w:t>
      </w:r>
      <w:r w:rsidR="00BF059B" w:rsidRPr="00EE60F3">
        <w:t xml:space="preserve"> </w:t>
      </w:r>
      <w:r w:rsidRPr="00EE60F3">
        <w:t>valuation</w:t>
      </w:r>
      <w:r w:rsidR="00BF059B" w:rsidRPr="00EE60F3">
        <w:t xml:space="preserve"> </w:t>
      </w:r>
      <w:r w:rsidRPr="00EE60F3">
        <w:t>are</w:t>
      </w:r>
      <w:r w:rsidR="00BF059B" w:rsidRPr="00EE60F3">
        <w:t xml:space="preserve"> </w:t>
      </w:r>
      <w:r w:rsidRPr="00EE60F3">
        <w:t>adjusted</w:t>
      </w:r>
      <w:r w:rsidR="00BF059B" w:rsidRPr="00EE60F3">
        <w:t xml:space="preserve"> </w:t>
      </w:r>
      <w:r w:rsidRPr="00EE60F3">
        <w:t>each</w:t>
      </w:r>
      <w:r w:rsidR="00BF059B" w:rsidRPr="00EE60F3">
        <w:t xml:space="preserve"> </w:t>
      </w:r>
      <w:r w:rsidRPr="00EE60F3">
        <w:t>year</w:t>
      </w:r>
      <w:r w:rsidR="00BF059B" w:rsidRPr="00EE60F3">
        <w:t xml:space="preserve"> </w:t>
      </w:r>
      <w:r w:rsidRPr="00EE60F3">
        <w:t>for</w:t>
      </w:r>
      <w:r w:rsidR="00BF059B" w:rsidRPr="00EE60F3">
        <w:t xml:space="preserve"> </w:t>
      </w:r>
      <w:r w:rsidRPr="00EE60F3">
        <w:t>the</w:t>
      </w:r>
      <w:r w:rsidR="00BF059B" w:rsidRPr="00EE60F3">
        <w:t xml:space="preserve"> </w:t>
      </w:r>
      <w:r w:rsidRPr="00EE60F3">
        <w:t>change</w:t>
      </w:r>
      <w:r w:rsidR="00BF059B" w:rsidRPr="00EE60F3">
        <w:t xml:space="preserve"> </w:t>
      </w:r>
      <w:r w:rsidRPr="00EE60F3">
        <w:t>in</w:t>
      </w:r>
      <w:r w:rsidR="00BF059B" w:rsidRPr="00EE60F3">
        <w:t xml:space="preserve"> </w:t>
      </w:r>
      <w:r w:rsidRPr="00EE60F3">
        <w:t>RPI.</w:t>
      </w:r>
      <w:r w:rsidR="00BF059B" w:rsidRPr="00EE60F3">
        <w:t xml:space="preserve"> </w:t>
      </w:r>
      <w:r w:rsidRPr="00EE60F3">
        <w:t>Impairments</w:t>
      </w:r>
      <w:r w:rsidR="00BF059B" w:rsidRPr="00EE60F3">
        <w:t xml:space="preserve"> </w:t>
      </w:r>
      <w:r w:rsidRPr="00EE60F3">
        <w:t>in</w:t>
      </w:r>
      <w:r w:rsidR="00BF059B" w:rsidRPr="00EE60F3">
        <w:t xml:space="preserve"> </w:t>
      </w:r>
      <w:r w:rsidRPr="00EE60F3">
        <w:t>the</w:t>
      </w:r>
      <w:r w:rsidR="00BF059B" w:rsidRPr="00EE60F3">
        <w:t xml:space="preserve"> </w:t>
      </w:r>
      <w:r w:rsidRPr="00EE60F3">
        <w:t>carrying</w:t>
      </w:r>
      <w:r w:rsidR="00BF059B" w:rsidRPr="00EE60F3">
        <w:t xml:space="preserve"> </w:t>
      </w:r>
      <w:r w:rsidRPr="00EE60F3">
        <w:t>value</w:t>
      </w:r>
      <w:r w:rsidR="00BF059B" w:rsidRPr="00EE60F3">
        <w:t xml:space="preserve"> </w:t>
      </w:r>
      <w:r w:rsidRPr="00EE60F3">
        <w:t>of</w:t>
      </w:r>
      <w:r w:rsidR="00BF059B" w:rsidRPr="00EE60F3">
        <w:t xml:space="preserve"> </w:t>
      </w:r>
      <w:r w:rsidRPr="00EE60F3">
        <w:t>heritage</w:t>
      </w:r>
      <w:r w:rsidR="00BF059B" w:rsidRPr="00EE60F3">
        <w:t xml:space="preserve"> </w:t>
      </w:r>
      <w:r w:rsidRPr="00EE60F3">
        <w:t>assets</w:t>
      </w:r>
      <w:r w:rsidR="00BF059B" w:rsidRPr="00EE60F3">
        <w:t xml:space="preserve"> </w:t>
      </w:r>
      <w:r w:rsidRPr="00EE60F3">
        <w:t>are</w:t>
      </w:r>
      <w:r w:rsidR="00BF059B" w:rsidRPr="00EE60F3">
        <w:t xml:space="preserve"> </w:t>
      </w:r>
      <w:r w:rsidRPr="00EE60F3">
        <w:t>recognised</w:t>
      </w:r>
      <w:r w:rsidR="00BF059B" w:rsidRPr="00EE60F3">
        <w:t xml:space="preserve"> </w:t>
      </w:r>
      <w:r w:rsidRPr="00EE60F3">
        <w:t>if</w:t>
      </w:r>
      <w:r w:rsidR="00BF059B" w:rsidRPr="00EE60F3">
        <w:t xml:space="preserve"> </w:t>
      </w:r>
      <w:r w:rsidRPr="00EE60F3">
        <w:t>they</w:t>
      </w:r>
      <w:r w:rsidR="00BF059B" w:rsidRPr="00EE60F3">
        <w:t xml:space="preserve"> </w:t>
      </w:r>
      <w:r w:rsidRPr="00EE60F3">
        <w:t>have</w:t>
      </w:r>
      <w:r w:rsidR="00BF059B" w:rsidRPr="00EE60F3">
        <w:t xml:space="preserve"> </w:t>
      </w:r>
      <w:r w:rsidRPr="00EE60F3">
        <w:t>suffered</w:t>
      </w:r>
      <w:r w:rsidR="00BF059B" w:rsidRPr="00EE60F3">
        <w:t xml:space="preserve"> </w:t>
      </w:r>
      <w:r w:rsidRPr="00EE60F3">
        <w:t>physical</w:t>
      </w:r>
      <w:r w:rsidR="00BF059B" w:rsidRPr="00EE60F3">
        <w:t xml:space="preserve"> </w:t>
      </w:r>
      <w:r w:rsidRPr="00EE60F3">
        <w:t>deterioration</w:t>
      </w:r>
      <w:r w:rsidR="00BF059B" w:rsidRPr="00EE60F3">
        <w:t xml:space="preserve"> </w:t>
      </w:r>
      <w:r w:rsidRPr="00EE60F3">
        <w:t>or</w:t>
      </w:r>
      <w:r w:rsidR="00BF059B" w:rsidRPr="00EE60F3">
        <w:t xml:space="preserve"> </w:t>
      </w:r>
      <w:r w:rsidRPr="00EE60F3">
        <w:t>if</w:t>
      </w:r>
      <w:r w:rsidR="00BF059B" w:rsidRPr="00EE60F3">
        <w:t xml:space="preserve"> </w:t>
      </w:r>
      <w:r w:rsidRPr="00EE60F3">
        <w:t>new</w:t>
      </w:r>
      <w:r w:rsidR="00BF059B" w:rsidRPr="00EE60F3">
        <w:t xml:space="preserve"> </w:t>
      </w:r>
      <w:r w:rsidRPr="00EE60F3">
        <w:t>doubts</w:t>
      </w:r>
      <w:r w:rsidR="00BF059B" w:rsidRPr="00EE60F3">
        <w:t xml:space="preserve"> </w:t>
      </w:r>
      <w:r w:rsidRPr="00EE60F3">
        <w:t>arise</w:t>
      </w:r>
      <w:r w:rsidR="00BF059B" w:rsidRPr="00EE60F3">
        <w:t xml:space="preserve"> </w:t>
      </w:r>
      <w:r w:rsidRPr="00EE60F3">
        <w:t>as</w:t>
      </w:r>
      <w:r w:rsidR="00BF059B" w:rsidRPr="00EE60F3">
        <w:t xml:space="preserve"> </w:t>
      </w:r>
      <w:r w:rsidRPr="00EE60F3">
        <w:t>to</w:t>
      </w:r>
      <w:r w:rsidR="00BF059B" w:rsidRPr="00EE60F3">
        <w:t xml:space="preserve"> </w:t>
      </w:r>
      <w:r w:rsidRPr="00EE60F3">
        <w:t>their</w:t>
      </w:r>
      <w:r w:rsidR="00BF059B" w:rsidRPr="00EE60F3">
        <w:t xml:space="preserve"> </w:t>
      </w:r>
      <w:r w:rsidRPr="00EE60F3">
        <w:t>identity,</w:t>
      </w:r>
      <w:r w:rsidR="00BF059B" w:rsidRPr="00EE60F3">
        <w:t xml:space="preserve"> </w:t>
      </w:r>
      <w:r w:rsidRPr="00EE60F3">
        <w:t>authenticity</w:t>
      </w:r>
      <w:r w:rsidR="00BF059B" w:rsidRPr="00EE60F3">
        <w:t xml:space="preserve"> </w:t>
      </w:r>
      <w:r w:rsidRPr="00EE60F3">
        <w:t>or</w:t>
      </w:r>
      <w:r w:rsidR="00BF059B" w:rsidRPr="00EE60F3">
        <w:t xml:space="preserve"> </w:t>
      </w:r>
      <w:r w:rsidRPr="00EE60F3">
        <w:t>provenance.</w:t>
      </w:r>
    </w:p>
    <w:p w14:paraId="63263FF9" w14:textId="77777777" w:rsidR="00EE60F3" w:rsidRPr="00EE60F3" w:rsidRDefault="00EE60F3" w:rsidP="00EE60F3"/>
    <w:p w14:paraId="1F8AD4E5" w14:textId="6D5D8C55" w:rsidR="00BE13A8" w:rsidRPr="00EE60F3" w:rsidRDefault="00D70530" w:rsidP="00EE60F3">
      <w:r w:rsidRPr="00EE60F3">
        <w:t>Expenditure</w:t>
      </w:r>
      <w:r w:rsidR="00BF059B" w:rsidRPr="00EE60F3">
        <w:t xml:space="preserve"> </w:t>
      </w:r>
      <w:r w:rsidRPr="00EE60F3">
        <w:t>which</w:t>
      </w:r>
      <w:r w:rsidR="00BF059B" w:rsidRPr="00EE60F3">
        <w:t xml:space="preserve"> </w:t>
      </w:r>
      <w:r w:rsidRPr="00EE60F3">
        <w:t>is</w:t>
      </w:r>
      <w:r w:rsidR="00BF059B" w:rsidRPr="00EE60F3">
        <w:t xml:space="preserve"> </w:t>
      </w:r>
      <w:r w:rsidRPr="00EE60F3">
        <w:t>required</w:t>
      </w:r>
      <w:r w:rsidR="00BF059B" w:rsidRPr="00EE60F3">
        <w:t xml:space="preserve"> </w:t>
      </w:r>
      <w:r w:rsidRPr="00EE60F3">
        <w:t>to</w:t>
      </w:r>
      <w:r w:rsidR="00BF059B" w:rsidRPr="00EE60F3">
        <w:t xml:space="preserve"> </w:t>
      </w:r>
      <w:r w:rsidRPr="00EE60F3">
        <w:t>preserve</w:t>
      </w:r>
      <w:r w:rsidR="00BF059B" w:rsidRPr="00EE60F3">
        <w:t xml:space="preserve"> </w:t>
      </w:r>
      <w:r w:rsidRPr="00EE60F3">
        <w:t>or</w:t>
      </w:r>
      <w:r w:rsidR="00BF059B" w:rsidRPr="00EE60F3">
        <w:t xml:space="preserve"> </w:t>
      </w:r>
      <w:r w:rsidRPr="00EE60F3">
        <w:t>prevent</w:t>
      </w:r>
      <w:r w:rsidR="00BF059B" w:rsidRPr="00EE60F3">
        <w:t xml:space="preserve"> </w:t>
      </w:r>
      <w:r w:rsidRPr="00EE60F3">
        <w:t>further</w:t>
      </w:r>
      <w:r w:rsidR="00BF059B" w:rsidRPr="00EE60F3">
        <w:t xml:space="preserve"> </w:t>
      </w:r>
      <w:r w:rsidRPr="00EE60F3">
        <w:t>deterioration</w:t>
      </w:r>
      <w:r w:rsidR="00BF059B" w:rsidRPr="00EE60F3">
        <w:t xml:space="preserve"> </w:t>
      </w:r>
      <w:r w:rsidRPr="00EE60F3">
        <w:t>of</w:t>
      </w:r>
      <w:r w:rsidR="00BF059B" w:rsidRPr="00EE60F3">
        <w:t xml:space="preserve"> </w:t>
      </w:r>
      <w:r w:rsidRPr="00EE60F3">
        <w:t>individual</w:t>
      </w:r>
      <w:r w:rsidR="00BF059B" w:rsidRPr="00EE60F3">
        <w:t xml:space="preserve"> </w:t>
      </w:r>
      <w:r w:rsidRPr="00EE60F3">
        <w:t>collection</w:t>
      </w:r>
      <w:r w:rsidR="00BF059B" w:rsidRPr="00EE60F3">
        <w:t xml:space="preserve"> </w:t>
      </w:r>
      <w:r w:rsidRPr="00EE60F3">
        <w:t>items</w:t>
      </w:r>
      <w:r w:rsidR="00BF059B" w:rsidRPr="00EE60F3">
        <w:t xml:space="preserve"> </w:t>
      </w:r>
      <w:r w:rsidRPr="00EE60F3">
        <w:t>is</w:t>
      </w:r>
      <w:r w:rsidR="00BF059B" w:rsidRPr="00EE60F3">
        <w:t xml:space="preserve"> </w:t>
      </w:r>
      <w:r w:rsidRPr="00EE60F3">
        <w:t>recognised</w:t>
      </w:r>
      <w:r w:rsidR="00BF059B" w:rsidRPr="00EE60F3">
        <w:t xml:space="preserve"> </w:t>
      </w:r>
      <w:r w:rsidRPr="00EE60F3">
        <w:t>in</w:t>
      </w:r>
      <w:r w:rsidR="00BF059B" w:rsidRPr="00EE60F3">
        <w:t xml:space="preserve"> </w:t>
      </w:r>
      <w:r w:rsidRPr="00EE60F3">
        <w:t>the</w:t>
      </w:r>
      <w:r w:rsidR="00BF059B" w:rsidRPr="00EE60F3">
        <w:t xml:space="preserve"> </w:t>
      </w:r>
      <w:r w:rsidRPr="00EE60F3">
        <w:t>Statement</w:t>
      </w:r>
      <w:r w:rsidR="00BF059B" w:rsidRPr="00EE60F3">
        <w:t xml:space="preserve"> </w:t>
      </w:r>
      <w:r w:rsidRPr="00EE60F3">
        <w:t>of</w:t>
      </w:r>
      <w:r w:rsidR="00BF059B" w:rsidRPr="00EE60F3">
        <w:t xml:space="preserve"> </w:t>
      </w:r>
      <w:r w:rsidRPr="00EE60F3">
        <w:t>Financial</w:t>
      </w:r>
      <w:r w:rsidR="00BF059B" w:rsidRPr="00EE60F3">
        <w:t xml:space="preserve"> </w:t>
      </w:r>
      <w:r w:rsidRPr="00EE60F3">
        <w:t>Activities</w:t>
      </w:r>
      <w:r w:rsidR="00BF059B" w:rsidRPr="00EE60F3">
        <w:t xml:space="preserve"> </w:t>
      </w:r>
      <w:r w:rsidRPr="00EE60F3">
        <w:t>when</w:t>
      </w:r>
      <w:r w:rsidR="00BF059B" w:rsidRPr="00EE60F3">
        <w:t xml:space="preserve"> </w:t>
      </w:r>
      <w:r w:rsidRPr="00EE60F3">
        <w:t>it</w:t>
      </w:r>
      <w:r w:rsidR="00BF059B" w:rsidRPr="00EE60F3">
        <w:t xml:space="preserve"> </w:t>
      </w:r>
      <w:r w:rsidRPr="00EE60F3">
        <w:t>is</w:t>
      </w:r>
      <w:r w:rsidR="00BF059B" w:rsidRPr="00EE60F3">
        <w:t xml:space="preserve"> </w:t>
      </w:r>
      <w:r w:rsidRPr="00EE60F3">
        <w:t>incurred.</w:t>
      </w:r>
    </w:p>
    <w:p w14:paraId="2C161E8D" w14:textId="77777777" w:rsidR="00BE13A8" w:rsidRPr="00EE60F3" w:rsidRDefault="00BE13A8" w:rsidP="00EE60F3">
      <w:pPr>
        <w:keepNext/>
        <w:keepLines/>
        <w:rPr>
          <w:b/>
        </w:rPr>
      </w:pPr>
    </w:p>
    <w:p w14:paraId="679EBF87" w14:textId="0BA013B2" w:rsidR="00BE13A8" w:rsidRPr="00EE60F3" w:rsidRDefault="00D70530" w:rsidP="00EE60F3">
      <w:pPr>
        <w:pStyle w:val="Heading4"/>
      </w:pPr>
      <w:r w:rsidRPr="00EE60F3">
        <w:t>h)</w:t>
      </w:r>
      <w:r w:rsidR="00BF059B" w:rsidRPr="00EE60F3">
        <w:t xml:space="preserve"> </w:t>
      </w:r>
      <w:r w:rsidRPr="00EE60F3">
        <w:t>Tangible</w:t>
      </w:r>
      <w:r w:rsidR="00BF059B" w:rsidRPr="00EE60F3">
        <w:t xml:space="preserve"> </w:t>
      </w:r>
      <w:r w:rsidRPr="00EE60F3">
        <w:t>fixed</w:t>
      </w:r>
      <w:r w:rsidR="00BF059B" w:rsidRPr="00EE60F3">
        <w:t xml:space="preserve"> </w:t>
      </w:r>
      <w:r w:rsidRPr="00EE60F3">
        <w:t>assets</w:t>
      </w:r>
    </w:p>
    <w:p w14:paraId="50269E5B" w14:textId="0D1E0358" w:rsidR="00BE13A8" w:rsidRPr="00EE60F3" w:rsidRDefault="00D70530" w:rsidP="00EE60F3">
      <w:r w:rsidRPr="00EE60F3">
        <w:t>Assets</w:t>
      </w:r>
      <w:r w:rsidR="00BF059B" w:rsidRPr="00EE60F3">
        <w:t xml:space="preserve"> </w:t>
      </w:r>
      <w:r w:rsidRPr="00EE60F3">
        <w:t>comprising</w:t>
      </w:r>
      <w:r w:rsidR="00BF059B" w:rsidRPr="00EE60F3">
        <w:t xml:space="preserve"> </w:t>
      </w:r>
      <w:r w:rsidRPr="00EE60F3">
        <w:t>the</w:t>
      </w:r>
      <w:r w:rsidR="00BF059B" w:rsidRPr="00EE60F3">
        <w:t xml:space="preserve"> </w:t>
      </w:r>
      <w:r w:rsidRPr="00EE60F3">
        <w:t>freehold</w:t>
      </w:r>
      <w:r w:rsidR="00BF059B" w:rsidRPr="00EE60F3">
        <w:t xml:space="preserve"> </w:t>
      </w:r>
      <w:r w:rsidRPr="00EE60F3">
        <w:t>land</w:t>
      </w:r>
      <w:r w:rsidR="00BF059B" w:rsidRPr="00EE60F3">
        <w:t xml:space="preserve"> </w:t>
      </w:r>
      <w:r w:rsidRPr="00EE60F3">
        <w:t>and</w:t>
      </w:r>
      <w:r w:rsidR="00BF059B" w:rsidRPr="00EE60F3">
        <w:t xml:space="preserve"> </w:t>
      </w:r>
      <w:r w:rsidRPr="00EE60F3">
        <w:t>main</w:t>
      </w:r>
      <w:r w:rsidR="00BF059B" w:rsidRPr="00EE60F3">
        <w:t xml:space="preserve"> </w:t>
      </w:r>
      <w:r w:rsidRPr="00EE60F3">
        <w:t>museum</w:t>
      </w:r>
      <w:r w:rsidR="00BF059B" w:rsidRPr="00EE60F3">
        <w:t xml:space="preserve"> </w:t>
      </w:r>
      <w:r w:rsidRPr="00EE60F3">
        <w:t>buildings</w:t>
      </w:r>
      <w:r w:rsidR="00BF059B" w:rsidRPr="00EE60F3">
        <w:t xml:space="preserve"> </w:t>
      </w:r>
      <w:r w:rsidRPr="00EE60F3">
        <w:t>at</w:t>
      </w:r>
      <w:r w:rsidR="00BF059B" w:rsidRPr="00EE60F3">
        <w:t xml:space="preserve"> </w:t>
      </w:r>
      <w:r w:rsidRPr="00EE60F3">
        <w:t>100</w:t>
      </w:r>
      <w:r w:rsidR="00BF059B" w:rsidRPr="00EE60F3">
        <w:t xml:space="preserve"> </w:t>
      </w:r>
      <w:r w:rsidRPr="00EE60F3">
        <w:t>London</w:t>
      </w:r>
      <w:r w:rsidR="00BF059B" w:rsidRPr="00EE60F3">
        <w:t xml:space="preserve"> </w:t>
      </w:r>
      <w:r w:rsidRPr="00EE60F3">
        <w:t>Road,</w:t>
      </w:r>
      <w:r w:rsidR="00BF059B" w:rsidRPr="00EE60F3">
        <w:t xml:space="preserve"> </w:t>
      </w:r>
      <w:r w:rsidRPr="00EE60F3">
        <w:t>Forest</w:t>
      </w:r>
      <w:r w:rsidR="00BF059B" w:rsidRPr="00EE60F3">
        <w:t xml:space="preserve"> </w:t>
      </w:r>
      <w:r w:rsidRPr="00EE60F3">
        <w:t>Hill,</w:t>
      </w:r>
      <w:r w:rsidR="00BF059B" w:rsidRPr="00EE60F3">
        <w:t xml:space="preserve"> </w:t>
      </w:r>
      <w:r w:rsidRPr="00EE60F3">
        <w:t>London</w:t>
      </w:r>
      <w:r w:rsidR="00BF059B" w:rsidRPr="00EE60F3">
        <w:t xml:space="preserve"> </w:t>
      </w:r>
      <w:r w:rsidRPr="00EE60F3">
        <w:t>SE23</w:t>
      </w:r>
      <w:r w:rsidR="00BF059B" w:rsidRPr="00EE60F3">
        <w:t xml:space="preserve"> </w:t>
      </w:r>
      <w:r w:rsidRPr="00EE60F3">
        <w:t>3PQ</w:t>
      </w:r>
      <w:r w:rsidR="00BF059B" w:rsidRPr="00EE60F3">
        <w:t xml:space="preserve"> </w:t>
      </w:r>
      <w:r w:rsidRPr="00EE60F3">
        <w:t>are</w:t>
      </w:r>
      <w:r w:rsidR="00BF059B" w:rsidRPr="00EE60F3">
        <w:t xml:space="preserve"> </w:t>
      </w:r>
      <w:r w:rsidRPr="00EE60F3">
        <w:t>used</w:t>
      </w:r>
      <w:r w:rsidR="00BF059B" w:rsidRPr="00EE60F3">
        <w:t xml:space="preserve"> </w:t>
      </w:r>
      <w:r w:rsidRPr="00EE60F3">
        <w:t>to</w:t>
      </w:r>
      <w:r w:rsidR="00BF059B" w:rsidRPr="00EE60F3">
        <w:t xml:space="preserve"> </w:t>
      </w:r>
      <w:r w:rsidRPr="00EE60F3">
        <w:t>provide</w:t>
      </w:r>
      <w:r w:rsidR="00BF059B" w:rsidRPr="00EE60F3">
        <w:t xml:space="preserve"> </w:t>
      </w:r>
      <w:r w:rsidRPr="00EE60F3">
        <w:t>museum</w:t>
      </w:r>
      <w:r w:rsidR="00BF059B" w:rsidRPr="00EE60F3">
        <w:t xml:space="preserve"> </w:t>
      </w:r>
      <w:r w:rsidRPr="00EE60F3">
        <w:t>and</w:t>
      </w:r>
      <w:r w:rsidR="00BF059B" w:rsidRPr="00EE60F3">
        <w:t xml:space="preserve"> </w:t>
      </w:r>
      <w:r w:rsidRPr="00EE60F3">
        <w:t>garden</w:t>
      </w:r>
      <w:r w:rsidR="00BF059B" w:rsidRPr="00EE60F3">
        <w:t xml:space="preserve"> </w:t>
      </w:r>
      <w:r w:rsidRPr="00EE60F3">
        <w:t>services</w:t>
      </w:r>
      <w:r w:rsidR="00BF059B" w:rsidRPr="00EE60F3">
        <w:t xml:space="preserve"> </w:t>
      </w:r>
      <w:r w:rsidRPr="00EE60F3">
        <w:t>and</w:t>
      </w:r>
      <w:r w:rsidR="00BF059B" w:rsidRPr="00EE60F3">
        <w:t xml:space="preserve"> </w:t>
      </w:r>
      <w:r w:rsidRPr="00EE60F3">
        <w:t>together</w:t>
      </w:r>
      <w:r w:rsidR="00BF059B" w:rsidRPr="00EE60F3">
        <w:t xml:space="preserve"> </w:t>
      </w:r>
      <w:r w:rsidRPr="00EE60F3">
        <w:t>with</w:t>
      </w:r>
      <w:r w:rsidR="00BF059B" w:rsidRPr="00EE60F3">
        <w:t xml:space="preserve"> </w:t>
      </w:r>
      <w:r w:rsidRPr="00EE60F3">
        <w:t>certain</w:t>
      </w:r>
      <w:r w:rsidR="00BF059B" w:rsidRPr="00EE60F3">
        <w:t xml:space="preserve"> </w:t>
      </w:r>
      <w:r w:rsidRPr="00EE60F3">
        <w:t>museum</w:t>
      </w:r>
      <w:r w:rsidR="00BF059B" w:rsidRPr="00EE60F3">
        <w:t xml:space="preserve"> </w:t>
      </w:r>
      <w:r w:rsidRPr="00EE60F3">
        <w:t>artifacts</w:t>
      </w:r>
      <w:r w:rsidR="00BF059B" w:rsidRPr="00EE60F3">
        <w:t xml:space="preserve"> </w:t>
      </w:r>
      <w:r w:rsidRPr="00EE60F3">
        <w:t>and</w:t>
      </w:r>
      <w:r w:rsidR="00BF059B" w:rsidRPr="00EE60F3">
        <w:t xml:space="preserve"> </w:t>
      </w:r>
      <w:r w:rsidRPr="00EE60F3">
        <w:t>fixed</w:t>
      </w:r>
      <w:r w:rsidR="00BF059B" w:rsidRPr="00EE60F3">
        <w:t xml:space="preserve"> </w:t>
      </w:r>
      <w:r w:rsidRPr="00EE60F3">
        <w:t>assets</w:t>
      </w:r>
      <w:r w:rsidR="00BF059B" w:rsidRPr="00EE60F3">
        <w:t xml:space="preserve"> </w:t>
      </w:r>
      <w:r w:rsidRPr="00EE60F3">
        <w:t>form</w:t>
      </w:r>
      <w:r w:rsidR="00BF059B" w:rsidRPr="00EE60F3">
        <w:t xml:space="preserve"> </w:t>
      </w:r>
      <w:r w:rsidRPr="00EE60F3">
        <w:t>the</w:t>
      </w:r>
      <w:r w:rsidR="00BF059B" w:rsidRPr="00EE60F3">
        <w:t xml:space="preserve"> </w:t>
      </w:r>
      <w:r w:rsidRPr="00EE60F3">
        <w:t>permanent</w:t>
      </w:r>
      <w:r w:rsidR="00BF059B" w:rsidRPr="00EE60F3">
        <w:t xml:space="preserve"> </w:t>
      </w:r>
      <w:r w:rsidRPr="00EE60F3">
        <w:t>endowment</w:t>
      </w:r>
      <w:r w:rsidR="00BF059B" w:rsidRPr="00EE60F3">
        <w:t xml:space="preserve"> </w:t>
      </w:r>
      <w:r w:rsidRPr="00EE60F3">
        <w:t>of</w:t>
      </w:r>
      <w:r w:rsidR="00BF059B" w:rsidRPr="00EE60F3">
        <w:t xml:space="preserve"> </w:t>
      </w:r>
      <w:r w:rsidRPr="00EE60F3">
        <w:t>the</w:t>
      </w:r>
      <w:r w:rsidR="00BF059B" w:rsidRPr="00EE60F3">
        <w:t xml:space="preserve"> </w:t>
      </w:r>
      <w:r w:rsidRPr="00EE60F3">
        <w:t>Foundation.</w:t>
      </w:r>
      <w:r w:rsidR="00BF059B" w:rsidRPr="00EE60F3">
        <w:t xml:space="preserve"> </w:t>
      </w:r>
    </w:p>
    <w:p w14:paraId="7495F866" w14:textId="2CFE2EDB" w:rsidR="00BE13A8" w:rsidRDefault="00D70530" w:rsidP="00EE60F3">
      <w:r w:rsidRPr="00EE60F3">
        <w:lastRenderedPageBreak/>
        <w:t>In</w:t>
      </w:r>
      <w:r w:rsidR="00BF059B" w:rsidRPr="00EE60F3">
        <w:t xml:space="preserve"> </w:t>
      </w:r>
      <w:r w:rsidRPr="00EE60F3">
        <w:t>accordance</w:t>
      </w:r>
      <w:r w:rsidR="00BF059B" w:rsidRPr="00EE60F3">
        <w:t xml:space="preserve"> </w:t>
      </w:r>
      <w:r w:rsidRPr="00EE60F3">
        <w:t>with</w:t>
      </w:r>
      <w:r w:rsidR="00BF059B" w:rsidRPr="00EE60F3">
        <w:t xml:space="preserve"> </w:t>
      </w:r>
      <w:r w:rsidRPr="00EE60F3">
        <w:t>“Executive</w:t>
      </w:r>
      <w:r w:rsidR="00BF059B" w:rsidRPr="00EE60F3">
        <w:t xml:space="preserve"> </w:t>
      </w:r>
      <w:r w:rsidRPr="00EE60F3">
        <w:t>NDPB</w:t>
      </w:r>
      <w:r w:rsidR="00BF059B" w:rsidRPr="00EE60F3">
        <w:t xml:space="preserve"> </w:t>
      </w:r>
      <w:r w:rsidRPr="00EE60F3">
        <w:t>Annual</w:t>
      </w:r>
      <w:r w:rsidR="00BF059B" w:rsidRPr="00EE60F3">
        <w:t xml:space="preserve"> </w:t>
      </w:r>
      <w:r w:rsidRPr="00EE60F3">
        <w:t>Reports</w:t>
      </w:r>
      <w:r w:rsidR="00BF059B" w:rsidRPr="00EE60F3">
        <w:t xml:space="preserve"> </w:t>
      </w:r>
      <w:r w:rsidRPr="00EE60F3">
        <w:t>and</w:t>
      </w:r>
      <w:r w:rsidR="00BF059B" w:rsidRPr="00EE60F3">
        <w:t xml:space="preserve"> </w:t>
      </w:r>
      <w:r w:rsidRPr="00EE60F3">
        <w:t>Accounts</w:t>
      </w:r>
      <w:r w:rsidR="00BF059B" w:rsidRPr="00EE60F3">
        <w:t xml:space="preserve"> </w:t>
      </w:r>
      <w:r w:rsidRPr="00EE60F3">
        <w:t>Guidance”</w:t>
      </w:r>
      <w:r w:rsidR="00BF059B" w:rsidRPr="00EE60F3">
        <w:t xml:space="preserve"> </w:t>
      </w:r>
      <w:r w:rsidRPr="00EE60F3">
        <w:t>the</w:t>
      </w:r>
      <w:r w:rsidR="00BF059B" w:rsidRPr="00EE60F3">
        <w:t xml:space="preserve"> </w:t>
      </w:r>
      <w:r w:rsidRPr="00EE60F3">
        <w:t>value</w:t>
      </w:r>
      <w:r w:rsidR="00BF059B" w:rsidRPr="00EE60F3">
        <w:t xml:space="preserve"> </w:t>
      </w:r>
      <w:r w:rsidRPr="00EE60F3">
        <w:t>of</w:t>
      </w:r>
      <w:r w:rsidR="00BF059B" w:rsidRPr="00EE60F3">
        <w:t xml:space="preserve"> </w:t>
      </w:r>
      <w:r w:rsidRPr="00EE60F3">
        <w:t>land</w:t>
      </w:r>
      <w:r w:rsidR="00BF059B" w:rsidRPr="00EE60F3">
        <w:t xml:space="preserve"> </w:t>
      </w:r>
      <w:r w:rsidRPr="00EE60F3">
        <w:t>surrounding</w:t>
      </w:r>
      <w:r w:rsidR="00BF059B" w:rsidRPr="00EE60F3">
        <w:t xml:space="preserve"> </w:t>
      </w:r>
      <w:r w:rsidRPr="00EE60F3">
        <w:t>the</w:t>
      </w:r>
      <w:r w:rsidR="00BF059B" w:rsidRPr="00EE60F3">
        <w:t xml:space="preserve"> </w:t>
      </w:r>
      <w:r w:rsidRPr="00EE60F3">
        <w:t>Museum’s</w:t>
      </w:r>
      <w:r w:rsidR="00BF059B" w:rsidRPr="00EE60F3">
        <w:t xml:space="preserve"> </w:t>
      </w:r>
      <w:r w:rsidRPr="00EE60F3">
        <w:t>freehold</w:t>
      </w:r>
      <w:r w:rsidR="00BF059B" w:rsidRPr="00EE60F3">
        <w:t xml:space="preserve"> </w:t>
      </w:r>
      <w:r w:rsidRPr="00EE60F3">
        <w:t>properties</w:t>
      </w:r>
      <w:r w:rsidR="00BF059B" w:rsidRPr="00EE60F3">
        <w:t xml:space="preserve"> </w:t>
      </w:r>
      <w:r w:rsidRPr="00EE60F3">
        <w:t>(principally</w:t>
      </w:r>
      <w:r w:rsidR="00BF059B" w:rsidRPr="00EE60F3">
        <w:t xml:space="preserve"> </w:t>
      </w:r>
      <w:r w:rsidRPr="00EE60F3">
        <w:t>the</w:t>
      </w:r>
      <w:r w:rsidR="00BF059B" w:rsidRPr="00EE60F3">
        <w:t xml:space="preserve"> </w:t>
      </w:r>
      <w:r w:rsidRPr="00EE60F3">
        <w:t>Gardens)</w:t>
      </w:r>
      <w:r w:rsidR="00BF059B" w:rsidRPr="00EE60F3">
        <w:t xml:space="preserve"> </w:t>
      </w:r>
      <w:r w:rsidRPr="00EE60F3">
        <w:t>is</w:t>
      </w:r>
      <w:r w:rsidR="00BF059B" w:rsidRPr="00EE60F3">
        <w:t xml:space="preserve"> </w:t>
      </w:r>
      <w:r w:rsidRPr="00EE60F3">
        <w:t>now</w:t>
      </w:r>
      <w:r w:rsidR="00BF059B" w:rsidRPr="00EE60F3">
        <w:t xml:space="preserve"> </w:t>
      </w:r>
      <w:r w:rsidRPr="00EE60F3">
        <w:t>capitalised.</w:t>
      </w:r>
      <w:r w:rsidR="00BF059B" w:rsidRPr="00EE60F3">
        <w:t xml:space="preserve"> </w:t>
      </w:r>
      <w:r w:rsidRPr="00EE60F3">
        <w:t>A</w:t>
      </w:r>
      <w:r w:rsidR="00BF059B" w:rsidRPr="00EE60F3">
        <w:t xml:space="preserve"> </w:t>
      </w:r>
      <w:r w:rsidRPr="00EE60F3">
        <w:t>revaluation</w:t>
      </w:r>
      <w:r w:rsidR="00BF059B" w:rsidRPr="00EE60F3">
        <w:t xml:space="preserve"> </w:t>
      </w:r>
      <w:r w:rsidRPr="00EE60F3">
        <w:t>of</w:t>
      </w:r>
      <w:r w:rsidR="00BF059B" w:rsidRPr="00EE60F3">
        <w:t xml:space="preserve"> </w:t>
      </w:r>
      <w:r w:rsidRPr="00EE60F3">
        <w:t>all</w:t>
      </w:r>
      <w:r w:rsidR="00BF059B" w:rsidRPr="00EE60F3">
        <w:t xml:space="preserve"> </w:t>
      </w:r>
      <w:r w:rsidRPr="00EE60F3">
        <w:t>the</w:t>
      </w:r>
      <w:r w:rsidR="00BF059B" w:rsidRPr="00EE60F3">
        <w:t xml:space="preserve"> </w:t>
      </w:r>
      <w:r w:rsidRPr="00EE60F3">
        <w:t>Museum’s</w:t>
      </w:r>
      <w:r w:rsidR="00BF059B" w:rsidRPr="00EE60F3">
        <w:t xml:space="preserve"> </w:t>
      </w:r>
      <w:r w:rsidRPr="00EE60F3">
        <w:t>freehold</w:t>
      </w:r>
      <w:r w:rsidR="00BF059B" w:rsidRPr="00EE60F3">
        <w:t xml:space="preserve"> </w:t>
      </w:r>
      <w:r w:rsidRPr="00EE60F3">
        <w:t>land</w:t>
      </w:r>
      <w:r w:rsidR="00BF059B" w:rsidRPr="00EE60F3">
        <w:t xml:space="preserve"> </w:t>
      </w:r>
      <w:r w:rsidRPr="00EE60F3">
        <w:t>and</w:t>
      </w:r>
      <w:r w:rsidR="00BF059B" w:rsidRPr="00EE60F3">
        <w:t xml:space="preserve"> </w:t>
      </w:r>
      <w:r w:rsidRPr="00EE60F3">
        <w:t>buildings</w:t>
      </w:r>
      <w:r w:rsidR="00BF059B" w:rsidRPr="00EE60F3">
        <w:t xml:space="preserve"> </w:t>
      </w:r>
      <w:r w:rsidRPr="00EE60F3">
        <w:t>was</w:t>
      </w:r>
      <w:r w:rsidR="00BF059B" w:rsidRPr="00EE60F3">
        <w:t xml:space="preserve"> </w:t>
      </w:r>
      <w:r w:rsidRPr="00EE60F3">
        <w:t>carried</w:t>
      </w:r>
      <w:r w:rsidR="00BF059B" w:rsidRPr="00EE60F3">
        <w:t xml:space="preserve"> </w:t>
      </w:r>
      <w:r w:rsidRPr="00EE60F3">
        <w:t>out</w:t>
      </w:r>
      <w:r w:rsidR="00BF059B" w:rsidRPr="00EE60F3">
        <w:t xml:space="preserve"> </w:t>
      </w:r>
      <w:proofErr w:type="gramStart"/>
      <w:r w:rsidRPr="00EE60F3">
        <w:t>at</w:t>
      </w:r>
      <w:proofErr w:type="gramEnd"/>
      <w:r w:rsidR="00BF059B" w:rsidRPr="00EE60F3">
        <w:t xml:space="preserve"> </w:t>
      </w:r>
      <w:r w:rsidRPr="00EE60F3">
        <w:t>31</w:t>
      </w:r>
      <w:r w:rsidR="00BF059B" w:rsidRPr="00EE60F3">
        <w:t xml:space="preserve"> </w:t>
      </w:r>
      <w:r w:rsidRPr="00EE60F3">
        <w:t>March</w:t>
      </w:r>
      <w:r w:rsidR="00BF059B" w:rsidRPr="00EE60F3">
        <w:t xml:space="preserve"> </w:t>
      </w:r>
      <w:r w:rsidRPr="00EE60F3">
        <w:t>2023</w:t>
      </w:r>
      <w:r w:rsidR="00BF059B" w:rsidRPr="00EE60F3">
        <w:t xml:space="preserve"> </w:t>
      </w:r>
      <w:r w:rsidRPr="00EE60F3">
        <w:t>by</w:t>
      </w:r>
      <w:r w:rsidR="00BF059B" w:rsidRPr="00EE60F3">
        <w:t xml:space="preserve"> </w:t>
      </w:r>
      <w:r w:rsidRPr="00EE60F3">
        <w:t>external</w:t>
      </w:r>
      <w:r w:rsidR="00BF059B" w:rsidRPr="00EE60F3">
        <w:t xml:space="preserve"> </w:t>
      </w:r>
      <w:r w:rsidRPr="00EE60F3">
        <w:t>valuers</w:t>
      </w:r>
      <w:r w:rsidR="00BF059B" w:rsidRPr="00EE60F3">
        <w:t xml:space="preserve"> </w:t>
      </w:r>
      <w:r w:rsidRPr="00EE60F3">
        <w:t>from</w:t>
      </w:r>
      <w:r w:rsidR="00BF059B" w:rsidRPr="00EE60F3">
        <w:t xml:space="preserve"> </w:t>
      </w:r>
      <w:r w:rsidRPr="00EE60F3">
        <w:t>Wilks,</w:t>
      </w:r>
      <w:r w:rsidR="00BF059B" w:rsidRPr="00EE60F3">
        <w:t xml:space="preserve"> </w:t>
      </w:r>
      <w:r w:rsidRPr="00EE60F3">
        <w:t>Head</w:t>
      </w:r>
      <w:r w:rsidR="00BF059B" w:rsidRPr="00EE60F3">
        <w:t xml:space="preserve"> </w:t>
      </w:r>
      <w:r w:rsidRPr="00EE60F3">
        <w:t>and</w:t>
      </w:r>
      <w:r w:rsidR="00BF059B" w:rsidRPr="00EE60F3">
        <w:t xml:space="preserve"> </w:t>
      </w:r>
      <w:r w:rsidRPr="00EE60F3">
        <w:t>Eve,</w:t>
      </w:r>
      <w:r w:rsidR="00BF059B" w:rsidRPr="00EE60F3">
        <w:t xml:space="preserve"> </w:t>
      </w:r>
      <w:r w:rsidRPr="00EE60F3">
        <w:t>Chartered</w:t>
      </w:r>
      <w:r w:rsidR="00BF059B" w:rsidRPr="00EE60F3">
        <w:t xml:space="preserve"> </w:t>
      </w:r>
      <w:r w:rsidRPr="00EE60F3">
        <w:t>Surveyors,</w:t>
      </w:r>
      <w:r w:rsidR="00BF059B" w:rsidRPr="00EE60F3">
        <w:t xml:space="preserve"> </w:t>
      </w:r>
      <w:r w:rsidRPr="00EE60F3">
        <w:t>in</w:t>
      </w:r>
      <w:r w:rsidR="00BF059B" w:rsidRPr="00EE60F3">
        <w:t xml:space="preserve"> </w:t>
      </w:r>
      <w:r w:rsidRPr="00EE60F3">
        <w:t>accordance</w:t>
      </w:r>
      <w:r w:rsidR="00BF059B" w:rsidRPr="00EE60F3">
        <w:t xml:space="preserve"> </w:t>
      </w:r>
      <w:r w:rsidRPr="00EE60F3">
        <w:t>with</w:t>
      </w:r>
      <w:r w:rsidR="00BF059B" w:rsidRPr="00EE60F3">
        <w:t xml:space="preserve"> </w:t>
      </w:r>
      <w:r w:rsidRPr="00EE60F3">
        <w:t>the</w:t>
      </w:r>
      <w:r w:rsidR="00BF059B" w:rsidRPr="00EE60F3">
        <w:t xml:space="preserve"> </w:t>
      </w:r>
      <w:r w:rsidRPr="00EE60F3">
        <w:t>Statement</w:t>
      </w:r>
      <w:r w:rsidR="00BF059B" w:rsidRPr="00EE60F3">
        <w:t xml:space="preserve"> </w:t>
      </w:r>
      <w:r w:rsidRPr="00EE60F3">
        <w:t>of</w:t>
      </w:r>
      <w:r w:rsidR="00BF059B" w:rsidRPr="00EE60F3">
        <w:t xml:space="preserve"> </w:t>
      </w:r>
      <w:r w:rsidRPr="00EE60F3">
        <w:t>Assets</w:t>
      </w:r>
      <w:r w:rsidR="00BF059B" w:rsidRPr="00EE60F3">
        <w:t xml:space="preserve"> </w:t>
      </w:r>
      <w:r w:rsidRPr="00EE60F3">
        <w:t>Valuation</w:t>
      </w:r>
      <w:r w:rsidR="00BF059B" w:rsidRPr="00EE60F3">
        <w:t xml:space="preserve"> </w:t>
      </w:r>
      <w:r w:rsidRPr="00EE60F3">
        <w:t>Practice</w:t>
      </w:r>
      <w:r w:rsidR="00BF059B" w:rsidRPr="00EE60F3">
        <w:t xml:space="preserve"> </w:t>
      </w:r>
      <w:r w:rsidRPr="00EE60F3">
        <w:t>and</w:t>
      </w:r>
      <w:r w:rsidR="00BF059B" w:rsidRPr="00EE60F3">
        <w:t xml:space="preserve"> </w:t>
      </w:r>
      <w:r w:rsidRPr="00EE60F3">
        <w:t>Guidance</w:t>
      </w:r>
      <w:r w:rsidR="00BF059B" w:rsidRPr="00EE60F3">
        <w:t xml:space="preserve"> </w:t>
      </w:r>
      <w:r w:rsidRPr="00EE60F3">
        <w:t>Notes</w:t>
      </w:r>
      <w:r w:rsidR="00BF059B" w:rsidRPr="00EE60F3">
        <w:t xml:space="preserve"> </w:t>
      </w:r>
      <w:r w:rsidRPr="00EE60F3">
        <w:t>of</w:t>
      </w:r>
      <w:r w:rsidR="00BF059B" w:rsidRPr="00EE60F3">
        <w:t xml:space="preserve"> </w:t>
      </w:r>
      <w:r w:rsidRPr="00EE60F3">
        <w:t>the</w:t>
      </w:r>
      <w:r w:rsidR="00BF059B" w:rsidRPr="00EE60F3">
        <w:t xml:space="preserve"> </w:t>
      </w:r>
      <w:r w:rsidRPr="00EE60F3">
        <w:t>Royal</w:t>
      </w:r>
      <w:r w:rsidR="00BF059B" w:rsidRPr="00EE60F3">
        <w:t xml:space="preserve"> </w:t>
      </w:r>
      <w:r w:rsidRPr="00EE60F3">
        <w:t>Institution</w:t>
      </w:r>
      <w:r w:rsidR="00BF059B" w:rsidRPr="00EE60F3">
        <w:t xml:space="preserve"> </w:t>
      </w:r>
      <w:r w:rsidRPr="00EE60F3">
        <w:t>of</w:t>
      </w:r>
      <w:r w:rsidR="00BF059B" w:rsidRPr="00EE60F3">
        <w:t xml:space="preserve"> </w:t>
      </w:r>
      <w:r w:rsidRPr="00EE60F3">
        <w:t>Chartered</w:t>
      </w:r>
      <w:r w:rsidR="00BF059B" w:rsidRPr="00EE60F3">
        <w:t xml:space="preserve"> </w:t>
      </w:r>
      <w:r w:rsidRPr="00EE60F3">
        <w:t>Surveyors.</w:t>
      </w:r>
      <w:r w:rsidR="00BF059B" w:rsidRPr="00EE60F3">
        <w:t xml:space="preserve"> </w:t>
      </w:r>
    </w:p>
    <w:p w14:paraId="671BD0F0" w14:textId="77777777" w:rsidR="00EE60F3" w:rsidRPr="00EE60F3" w:rsidRDefault="00EE60F3" w:rsidP="00EE60F3"/>
    <w:p w14:paraId="38675E1C" w14:textId="31F3E1CA" w:rsidR="00BE13A8" w:rsidRDefault="00D70530" w:rsidP="00EE60F3">
      <w:r w:rsidRPr="00EE60F3">
        <w:t>The</w:t>
      </w:r>
      <w:r w:rsidR="00BF059B" w:rsidRPr="00EE60F3">
        <w:t xml:space="preserve"> </w:t>
      </w:r>
      <w:r w:rsidRPr="00EE60F3">
        <w:t>combined</w:t>
      </w:r>
      <w:r w:rsidR="00BF059B" w:rsidRPr="00EE60F3">
        <w:t xml:space="preserve"> </w:t>
      </w:r>
      <w:r w:rsidRPr="00EE60F3">
        <w:t>gain</w:t>
      </w:r>
      <w:r w:rsidR="00BF059B" w:rsidRPr="00EE60F3">
        <w:t xml:space="preserve"> </w:t>
      </w:r>
      <w:r w:rsidRPr="00EE60F3">
        <w:t>on</w:t>
      </w:r>
      <w:r w:rsidR="00BF059B" w:rsidRPr="00EE60F3">
        <w:t xml:space="preserve"> </w:t>
      </w:r>
      <w:r w:rsidRPr="00EE60F3">
        <w:t>the</w:t>
      </w:r>
      <w:r w:rsidR="00BF059B" w:rsidRPr="00EE60F3">
        <w:t xml:space="preserve"> </w:t>
      </w:r>
      <w:r w:rsidRPr="00EE60F3">
        <w:t>revaluation</w:t>
      </w:r>
      <w:r w:rsidR="00BF059B" w:rsidRPr="00EE60F3">
        <w:t xml:space="preserve"> </w:t>
      </w:r>
      <w:r w:rsidRPr="00EE60F3">
        <w:t>of</w:t>
      </w:r>
      <w:r w:rsidR="00BF059B" w:rsidRPr="00EE60F3">
        <w:t xml:space="preserve"> </w:t>
      </w:r>
      <w:r w:rsidRPr="00EE60F3">
        <w:t>all</w:t>
      </w:r>
      <w:r w:rsidR="00BF059B" w:rsidRPr="00EE60F3">
        <w:t xml:space="preserve"> </w:t>
      </w:r>
      <w:r w:rsidRPr="00EE60F3">
        <w:t>the</w:t>
      </w:r>
      <w:r w:rsidR="00BF059B" w:rsidRPr="00EE60F3">
        <w:t xml:space="preserve"> </w:t>
      </w:r>
      <w:r w:rsidRPr="00EE60F3">
        <w:t>land</w:t>
      </w:r>
      <w:r w:rsidR="00BF059B" w:rsidRPr="00EE60F3">
        <w:t xml:space="preserve"> </w:t>
      </w:r>
      <w:r w:rsidRPr="00EE60F3">
        <w:t>and</w:t>
      </w:r>
      <w:r w:rsidR="00BF059B" w:rsidRPr="00EE60F3">
        <w:t xml:space="preserve"> </w:t>
      </w:r>
      <w:r w:rsidRPr="00EE60F3">
        <w:t>buildings</w:t>
      </w:r>
      <w:r w:rsidR="00BF059B" w:rsidRPr="00EE60F3">
        <w:t xml:space="preserve"> </w:t>
      </w:r>
      <w:r w:rsidRPr="00EE60F3">
        <w:t>has</w:t>
      </w:r>
      <w:r w:rsidR="00BF059B" w:rsidRPr="00EE60F3">
        <w:t xml:space="preserve"> </w:t>
      </w:r>
      <w:r w:rsidRPr="00EE60F3">
        <w:t>been</w:t>
      </w:r>
      <w:r w:rsidR="00BF059B" w:rsidRPr="00EE60F3">
        <w:t xml:space="preserve"> </w:t>
      </w:r>
      <w:r w:rsidRPr="00EE60F3">
        <w:t>taken</w:t>
      </w:r>
      <w:r w:rsidR="00BF059B" w:rsidRPr="00EE60F3">
        <w:t xml:space="preserve"> </w:t>
      </w:r>
      <w:r w:rsidRPr="00EE60F3">
        <w:t>directly</w:t>
      </w:r>
      <w:r w:rsidR="00BF059B" w:rsidRPr="00EE60F3">
        <w:t xml:space="preserve"> </w:t>
      </w:r>
      <w:r w:rsidRPr="00EE60F3">
        <w:t>to</w:t>
      </w:r>
      <w:r w:rsidR="00BF059B" w:rsidRPr="00EE60F3">
        <w:t xml:space="preserve"> </w:t>
      </w:r>
      <w:r w:rsidRPr="00EE60F3">
        <w:t>the</w:t>
      </w:r>
      <w:r w:rsidR="00BF059B" w:rsidRPr="00EE60F3">
        <w:t xml:space="preserve"> </w:t>
      </w:r>
      <w:r w:rsidRPr="00EE60F3">
        <w:t>Revaluation</w:t>
      </w:r>
      <w:r w:rsidR="00BF059B" w:rsidRPr="00EE60F3">
        <w:t xml:space="preserve"> </w:t>
      </w:r>
      <w:r w:rsidRPr="00EE60F3">
        <w:t>Reserve.</w:t>
      </w:r>
      <w:r w:rsidR="00BF059B" w:rsidRPr="00EE60F3">
        <w:t xml:space="preserve"> </w:t>
      </w:r>
      <w:r w:rsidRPr="00EE60F3">
        <w:t>The</w:t>
      </w:r>
      <w:r w:rsidR="00BF059B" w:rsidRPr="00EE60F3">
        <w:t xml:space="preserve"> </w:t>
      </w:r>
      <w:r w:rsidRPr="00EE60F3">
        <w:t>valuations</w:t>
      </w:r>
      <w:r w:rsidR="00BF059B" w:rsidRPr="00EE60F3">
        <w:t xml:space="preserve"> </w:t>
      </w:r>
      <w:r w:rsidRPr="00EE60F3">
        <w:t>and</w:t>
      </w:r>
      <w:r w:rsidR="00BF059B" w:rsidRPr="00EE60F3">
        <w:t xml:space="preserve"> </w:t>
      </w:r>
      <w:r w:rsidRPr="00EE60F3">
        <w:t>the</w:t>
      </w:r>
      <w:r w:rsidR="00BF059B" w:rsidRPr="00EE60F3">
        <w:t xml:space="preserve"> </w:t>
      </w:r>
      <w:r w:rsidRPr="00EE60F3">
        <w:t>treatment</w:t>
      </w:r>
      <w:r w:rsidR="00BF059B" w:rsidRPr="00EE60F3">
        <w:t xml:space="preserve"> </w:t>
      </w:r>
      <w:r w:rsidRPr="00EE60F3">
        <w:t>of</w:t>
      </w:r>
      <w:r w:rsidR="00BF059B" w:rsidRPr="00EE60F3">
        <w:t xml:space="preserve"> </w:t>
      </w:r>
      <w:r w:rsidRPr="00EE60F3">
        <w:t>the</w:t>
      </w:r>
      <w:r w:rsidR="00BF059B" w:rsidRPr="00EE60F3">
        <w:t xml:space="preserve"> </w:t>
      </w:r>
      <w:r w:rsidRPr="00EE60F3">
        <w:t>resulting</w:t>
      </w:r>
      <w:r w:rsidR="00BF059B" w:rsidRPr="00EE60F3">
        <w:t xml:space="preserve"> </w:t>
      </w:r>
      <w:r w:rsidRPr="00EE60F3">
        <w:t>surpluses</w:t>
      </w:r>
      <w:r w:rsidR="00BF059B" w:rsidRPr="00EE60F3">
        <w:t xml:space="preserve"> </w:t>
      </w:r>
      <w:r w:rsidRPr="00EE60F3">
        <w:t>are</w:t>
      </w:r>
      <w:r w:rsidR="00BF059B" w:rsidRPr="00EE60F3">
        <w:t xml:space="preserve"> </w:t>
      </w:r>
      <w:r w:rsidRPr="00EE60F3">
        <w:t>in</w:t>
      </w:r>
      <w:r w:rsidR="00BF059B" w:rsidRPr="00EE60F3">
        <w:t xml:space="preserve"> </w:t>
      </w:r>
      <w:r w:rsidRPr="00EE60F3">
        <w:t>accordance</w:t>
      </w:r>
      <w:r w:rsidR="00BF059B" w:rsidRPr="00EE60F3">
        <w:t xml:space="preserve"> </w:t>
      </w:r>
      <w:r w:rsidRPr="00EE60F3">
        <w:t>with</w:t>
      </w:r>
      <w:r w:rsidR="00BF059B" w:rsidRPr="00EE60F3">
        <w:t xml:space="preserve"> </w:t>
      </w:r>
      <w:r w:rsidRPr="00EE60F3">
        <w:t>FRS102.</w:t>
      </w:r>
      <w:r w:rsidR="00BF059B" w:rsidRPr="00EE60F3">
        <w:t xml:space="preserve"> </w:t>
      </w:r>
      <w:r w:rsidRPr="00EE60F3">
        <w:t>Improvements</w:t>
      </w:r>
      <w:r w:rsidR="00BF059B" w:rsidRPr="00EE60F3">
        <w:t xml:space="preserve"> </w:t>
      </w:r>
      <w:r w:rsidRPr="00EE60F3">
        <w:t>to</w:t>
      </w:r>
      <w:r w:rsidR="00BF059B" w:rsidRPr="00EE60F3">
        <w:t xml:space="preserve"> </w:t>
      </w:r>
      <w:r w:rsidRPr="00EE60F3">
        <w:t>all</w:t>
      </w:r>
      <w:r w:rsidR="00BF059B" w:rsidRPr="00EE60F3">
        <w:t xml:space="preserve"> </w:t>
      </w:r>
      <w:r w:rsidRPr="00EE60F3">
        <w:t>buildings</w:t>
      </w:r>
      <w:r w:rsidR="00BF059B" w:rsidRPr="00EE60F3">
        <w:t xml:space="preserve"> </w:t>
      </w:r>
      <w:r w:rsidRPr="00EE60F3">
        <w:t>are</w:t>
      </w:r>
      <w:r w:rsidR="00BF059B" w:rsidRPr="00EE60F3">
        <w:t xml:space="preserve"> </w:t>
      </w:r>
      <w:r w:rsidRPr="00EE60F3">
        <w:t>capitalised</w:t>
      </w:r>
      <w:r w:rsidR="00BF059B" w:rsidRPr="00EE60F3">
        <w:t xml:space="preserve"> </w:t>
      </w:r>
      <w:r w:rsidRPr="00EE60F3">
        <w:t>where</w:t>
      </w:r>
      <w:r w:rsidR="00BF059B" w:rsidRPr="00EE60F3">
        <w:t xml:space="preserve"> </w:t>
      </w:r>
      <w:r w:rsidRPr="00EE60F3">
        <w:t>it</w:t>
      </w:r>
      <w:r w:rsidR="00BF059B" w:rsidRPr="00EE60F3">
        <w:t xml:space="preserve"> </w:t>
      </w:r>
      <w:r w:rsidRPr="00EE60F3">
        <w:t>is</w:t>
      </w:r>
      <w:r w:rsidR="00BF059B" w:rsidRPr="00EE60F3">
        <w:t xml:space="preserve"> </w:t>
      </w:r>
      <w:r w:rsidRPr="00EE60F3">
        <w:t>considered</w:t>
      </w:r>
      <w:r w:rsidR="00BF059B" w:rsidRPr="00EE60F3">
        <w:t xml:space="preserve"> </w:t>
      </w:r>
      <w:r w:rsidRPr="00EE60F3">
        <w:t>that</w:t>
      </w:r>
      <w:r w:rsidR="00BF059B" w:rsidRPr="00EE60F3">
        <w:t xml:space="preserve"> </w:t>
      </w:r>
      <w:r w:rsidRPr="00EE60F3">
        <w:t>future</w:t>
      </w:r>
      <w:r w:rsidR="00BF059B" w:rsidRPr="00EE60F3">
        <w:t xml:space="preserve"> </w:t>
      </w:r>
      <w:r w:rsidRPr="00EE60F3">
        <w:t>economic</w:t>
      </w:r>
      <w:r w:rsidR="00BF059B" w:rsidRPr="00EE60F3">
        <w:t xml:space="preserve"> </w:t>
      </w:r>
      <w:r w:rsidRPr="00EE60F3">
        <w:t>benefits</w:t>
      </w:r>
      <w:r w:rsidR="00BF059B" w:rsidRPr="00EE60F3">
        <w:t xml:space="preserve"> </w:t>
      </w:r>
      <w:r w:rsidRPr="00EE60F3">
        <w:t>in</w:t>
      </w:r>
      <w:r w:rsidR="00BF059B" w:rsidRPr="00EE60F3">
        <w:t xml:space="preserve"> </w:t>
      </w:r>
      <w:r w:rsidRPr="00EE60F3">
        <w:t>excess</w:t>
      </w:r>
      <w:r w:rsidR="00BF059B" w:rsidRPr="00EE60F3">
        <w:t xml:space="preserve"> </w:t>
      </w:r>
      <w:r w:rsidRPr="00EE60F3">
        <w:t>of</w:t>
      </w:r>
      <w:r w:rsidR="00BF059B" w:rsidRPr="00EE60F3">
        <w:t xml:space="preserve"> </w:t>
      </w:r>
      <w:r w:rsidRPr="00EE60F3">
        <w:t>the</w:t>
      </w:r>
      <w:r w:rsidR="00BF059B" w:rsidRPr="00EE60F3">
        <w:t xml:space="preserve"> </w:t>
      </w:r>
      <w:r w:rsidRPr="00EE60F3">
        <w:t>originally</w:t>
      </w:r>
      <w:r w:rsidR="00BF059B" w:rsidRPr="00EE60F3">
        <w:t xml:space="preserve"> </w:t>
      </w:r>
      <w:r w:rsidRPr="00EE60F3">
        <w:t>assessed</w:t>
      </w:r>
      <w:r w:rsidR="00BF059B" w:rsidRPr="00EE60F3">
        <w:t xml:space="preserve"> </w:t>
      </w:r>
      <w:r w:rsidRPr="00EE60F3">
        <w:t>standard</w:t>
      </w:r>
      <w:r w:rsidR="00BF059B" w:rsidRPr="00EE60F3">
        <w:t xml:space="preserve"> </w:t>
      </w:r>
      <w:r w:rsidRPr="00EE60F3">
        <w:t>of</w:t>
      </w:r>
      <w:r w:rsidR="00BF059B" w:rsidRPr="00EE60F3">
        <w:t xml:space="preserve"> </w:t>
      </w:r>
      <w:r w:rsidRPr="00EE60F3">
        <w:t>performance</w:t>
      </w:r>
      <w:r w:rsidR="00BF059B" w:rsidRPr="00EE60F3">
        <w:t xml:space="preserve"> </w:t>
      </w:r>
      <w:r w:rsidRPr="00EE60F3">
        <w:t>will</w:t>
      </w:r>
      <w:r w:rsidR="00BF059B" w:rsidRPr="00EE60F3">
        <w:t xml:space="preserve"> </w:t>
      </w:r>
      <w:r w:rsidRPr="00EE60F3">
        <w:t>flow</w:t>
      </w:r>
      <w:r w:rsidR="00BF059B" w:rsidRPr="00EE60F3">
        <w:t xml:space="preserve"> </w:t>
      </w:r>
      <w:r w:rsidRPr="00EE60F3">
        <w:t>as</w:t>
      </w:r>
      <w:r w:rsidR="00BF059B" w:rsidRPr="00EE60F3">
        <w:t xml:space="preserve"> </w:t>
      </w:r>
      <w:r w:rsidRPr="00EE60F3">
        <w:t>a</w:t>
      </w:r>
      <w:r w:rsidR="00BF059B" w:rsidRPr="00EE60F3">
        <w:t xml:space="preserve"> </w:t>
      </w:r>
      <w:r w:rsidRPr="00EE60F3">
        <w:t>result</w:t>
      </w:r>
      <w:r w:rsidR="00BF059B" w:rsidRPr="00EE60F3">
        <w:t xml:space="preserve"> </w:t>
      </w:r>
      <w:r w:rsidRPr="00EE60F3">
        <w:t>of</w:t>
      </w:r>
      <w:r w:rsidR="00BF059B" w:rsidRPr="00EE60F3">
        <w:t xml:space="preserve"> </w:t>
      </w:r>
      <w:r w:rsidRPr="00EE60F3">
        <w:t>that</w:t>
      </w:r>
      <w:r w:rsidR="00BF059B" w:rsidRPr="00EE60F3">
        <w:t xml:space="preserve"> </w:t>
      </w:r>
      <w:r w:rsidRPr="00EE60F3">
        <w:t>expenditure.</w:t>
      </w:r>
      <w:r w:rsidR="00BF059B" w:rsidRPr="00EE60F3">
        <w:t xml:space="preserve"> </w:t>
      </w:r>
    </w:p>
    <w:p w14:paraId="6A2D32F7" w14:textId="77777777" w:rsidR="00EE60F3" w:rsidRPr="00EE60F3" w:rsidRDefault="00EE60F3" w:rsidP="00EE60F3"/>
    <w:p w14:paraId="70923827" w14:textId="56E1374B" w:rsidR="00BE13A8" w:rsidRDefault="00D70530" w:rsidP="00EE60F3">
      <w:r w:rsidRPr="00EE60F3">
        <w:t>The</w:t>
      </w:r>
      <w:r w:rsidR="00BF059B" w:rsidRPr="00EE60F3">
        <w:t xml:space="preserve"> </w:t>
      </w:r>
      <w:r w:rsidRPr="00EE60F3">
        <w:t>capitalisation</w:t>
      </w:r>
      <w:r w:rsidR="00BF059B" w:rsidRPr="00EE60F3">
        <w:t xml:space="preserve"> </w:t>
      </w:r>
      <w:r w:rsidRPr="00EE60F3">
        <w:t>threshold</w:t>
      </w:r>
      <w:r w:rsidR="00BF059B" w:rsidRPr="00EE60F3">
        <w:t xml:space="preserve"> </w:t>
      </w:r>
      <w:r w:rsidRPr="00EE60F3">
        <w:t>is</w:t>
      </w:r>
      <w:r w:rsidR="00BF059B" w:rsidRPr="00EE60F3">
        <w:t xml:space="preserve"> </w:t>
      </w:r>
      <w:r w:rsidRPr="00EE60F3">
        <w:t>£10,000</w:t>
      </w:r>
      <w:r w:rsidR="00BF059B" w:rsidRPr="00EE60F3">
        <w:t xml:space="preserve"> </w:t>
      </w:r>
      <w:r w:rsidRPr="00EE60F3">
        <w:t>for</w:t>
      </w:r>
      <w:r w:rsidR="00BF059B" w:rsidRPr="00EE60F3">
        <w:t xml:space="preserve"> </w:t>
      </w:r>
      <w:r w:rsidRPr="00EE60F3">
        <w:t>heritage</w:t>
      </w:r>
      <w:r w:rsidR="00BF059B" w:rsidRPr="00EE60F3">
        <w:t xml:space="preserve"> </w:t>
      </w:r>
      <w:r w:rsidRPr="00EE60F3">
        <w:t>assets</w:t>
      </w:r>
      <w:r w:rsidR="00BF059B" w:rsidRPr="00EE60F3">
        <w:t xml:space="preserve"> </w:t>
      </w:r>
      <w:r w:rsidRPr="00EE60F3">
        <w:t>and</w:t>
      </w:r>
      <w:r w:rsidR="00BF059B" w:rsidRPr="00EE60F3">
        <w:t xml:space="preserve"> </w:t>
      </w:r>
      <w:r w:rsidRPr="00EE60F3">
        <w:t>£5,000</w:t>
      </w:r>
      <w:r w:rsidR="00BF059B" w:rsidRPr="00EE60F3">
        <w:t xml:space="preserve"> </w:t>
      </w:r>
      <w:r w:rsidRPr="00EE60F3">
        <w:t>for</w:t>
      </w:r>
      <w:r w:rsidR="00BF059B" w:rsidRPr="00EE60F3">
        <w:t xml:space="preserve"> </w:t>
      </w:r>
      <w:r w:rsidRPr="00EE60F3">
        <w:t>all</w:t>
      </w:r>
      <w:r w:rsidR="00BF059B" w:rsidRPr="00EE60F3">
        <w:t xml:space="preserve"> </w:t>
      </w:r>
      <w:r w:rsidRPr="00EE60F3">
        <w:t>other</w:t>
      </w:r>
      <w:r w:rsidR="00BF059B" w:rsidRPr="00EE60F3">
        <w:t xml:space="preserve"> </w:t>
      </w:r>
      <w:r w:rsidRPr="00EE60F3">
        <w:t>assets</w:t>
      </w:r>
      <w:r w:rsidR="00BF059B" w:rsidRPr="00EE60F3">
        <w:t xml:space="preserve"> </w:t>
      </w:r>
      <w:r w:rsidRPr="00EE60F3">
        <w:t>(£2,000</w:t>
      </w:r>
      <w:r w:rsidR="00BF059B" w:rsidRPr="00EE60F3">
        <w:t xml:space="preserve"> </w:t>
      </w:r>
      <w:r w:rsidRPr="00EE60F3">
        <w:t>before</w:t>
      </w:r>
      <w:r w:rsidR="00BF059B" w:rsidRPr="00EE60F3">
        <w:t xml:space="preserve"> </w:t>
      </w:r>
      <w:r w:rsidRPr="00EE60F3">
        <w:t>1</w:t>
      </w:r>
      <w:r w:rsidR="00BF059B" w:rsidRPr="00EE60F3">
        <w:t xml:space="preserve"> </w:t>
      </w:r>
      <w:r w:rsidRPr="00EE60F3">
        <w:t>April</w:t>
      </w:r>
      <w:r w:rsidR="00BF059B" w:rsidRPr="00EE60F3">
        <w:t xml:space="preserve"> </w:t>
      </w:r>
      <w:r w:rsidRPr="00EE60F3">
        <w:t>2010).</w:t>
      </w:r>
    </w:p>
    <w:p w14:paraId="7292D73A" w14:textId="77777777" w:rsidR="00EE60F3" w:rsidRPr="00EE60F3" w:rsidRDefault="00EE60F3" w:rsidP="00EE60F3"/>
    <w:p w14:paraId="34812428" w14:textId="3A16AF63" w:rsidR="00BE13A8" w:rsidRDefault="00D70530" w:rsidP="00EE60F3">
      <w:r w:rsidRPr="00EE60F3">
        <w:t>Other</w:t>
      </w:r>
      <w:r w:rsidR="00BF059B" w:rsidRPr="00EE60F3">
        <w:t xml:space="preserve"> </w:t>
      </w:r>
      <w:r w:rsidRPr="00EE60F3">
        <w:t>tangible</w:t>
      </w:r>
      <w:r w:rsidR="00BF059B" w:rsidRPr="00EE60F3">
        <w:t xml:space="preserve"> </w:t>
      </w:r>
      <w:r w:rsidRPr="00EE60F3">
        <w:t>fixed</w:t>
      </w:r>
      <w:r w:rsidR="00BF059B" w:rsidRPr="00EE60F3">
        <w:t xml:space="preserve"> </w:t>
      </w:r>
      <w:r w:rsidRPr="00EE60F3">
        <w:t>assets</w:t>
      </w:r>
      <w:r w:rsidR="00BF059B" w:rsidRPr="00EE60F3">
        <w:t xml:space="preserve"> </w:t>
      </w:r>
      <w:r w:rsidRPr="00EE60F3">
        <w:t>are</w:t>
      </w:r>
      <w:r w:rsidR="00BF059B" w:rsidRPr="00EE60F3">
        <w:t xml:space="preserve"> </w:t>
      </w:r>
      <w:r w:rsidRPr="00EE60F3">
        <w:t>stated</w:t>
      </w:r>
      <w:r w:rsidR="00BF059B" w:rsidRPr="00EE60F3">
        <w:t xml:space="preserve"> </w:t>
      </w:r>
      <w:r w:rsidRPr="00EE60F3">
        <w:t>at</w:t>
      </w:r>
      <w:r w:rsidR="00BF059B" w:rsidRPr="00EE60F3">
        <w:t xml:space="preserve"> </w:t>
      </w:r>
      <w:r w:rsidRPr="00EE60F3">
        <w:t>modified</w:t>
      </w:r>
      <w:r w:rsidR="00BF059B" w:rsidRPr="00EE60F3">
        <w:t xml:space="preserve"> </w:t>
      </w:r>
      <w:r w:rsidRPr="00EE60F3">
        <w:t>historical</w:t>
      </w:r>
      <w:r w:rsidR="00BF059B" w:rsidRPr="00EE60F3">
        <w:t xml:space="preserve"> </w:t>
      </w:r>
      <w:r w:rsidRPr="00EE60F3">
        <w:t>cost</w:t>
      </w:r>
      <w:r w:rsidR="00BF059B" w:rsidRPr="00EE60F3">
        <w:t xml:space="preserve"> </w:t>
      </w:r>
      <w:r w:rsidRPr="00EE60F3">
        <w:t>as</w:t>
      </w:r>
      <w:r w:rsidR="00BF059B" w:rsidRPr="00EE60F3">
        <w:t xml:space="preserve"> </w:t>
      </w:r>
      <w:r w:rsidRPr="00EE60F3">
        <w:t>permitted</w:t>
      </w:r>
      <w:r w:rsidR="00BF059B" w:rsidRPr="00EE60F3">
        <w:t xml:space="preserve"> </w:t>
      </w:r>
      <w:r w:rsidRPr="00EE60F3">
        <w:t>under</w:t>
      </w:r>
      <w:r w:rsidR="00BF059B" w:rsidRPr="00EE60F3">
        <w:t xml:space="preserve"> </w:t>
      </w:r>
      <w:r w:rsidRPr="00EE60F3">
        <w:t>FRS102.</w:t>
      </w:r>
      <w:r w:rsidR="00BF059B" w:rsidRPr="00EE60F3">
        <w:t xml:space="preserve"> </w:t>
      </w:r>
      <w:r w:rsidRPr="00EE60F3">
        <w:t>The</w:t>
      </w:r>
      <w:r w:rsidR="00BF059B" w:rsidRPr="00EE60F3">
        <w:t xml:space="preserve"> </w:t>
      </w:r>
      <w:r w:rsidRPr="00EE60F3">
        <w:t>resulting</w:t>
      </w:r>
      <w:r w:rsidR="00BF059B" w:rsidRPr="00EE60F3">
        <w:t xml:space="preserve"> </w:t>
      </w:r>
      <w:r w:rsidRPr="00EE60F3">
        <w:t>gains</w:t>
      </w:r>
      <w:r w:rsidR="00BF059B" w:rsidRPr="00EE60F3">
        <w:t xml:space="preserve"> </w:t>
      </w:r>
      <w:r w:rsidRPr="00EE60F3">
        <w:t>and</w:t>
      </w:r>
      <w:r w:rsidR="00BF059B" w:rsidRPr="00EE60F3">
        <w:t xml:space="preserve"> </w:t>
      </w:r>
      <w:r w:rsidRPr="00EE60F3">
        <w:t>losses</w:t>
      </w:r>
      <w:r w:rsidR="00BF059B" w:rsidRPr="00EE60F3">
        <w:t xml:space="preserve"> </w:t>
      </w:r>
      <w:r w:rsidRPr="00EE60F3">
        <w:t>have</w:t>
      </w:r>
      <w:r w:rsidR="00BF059B" w:rsidRPr="00EE60F3">
        <w:t xml:space="preserve"> </w:t>
      </w:r>
      <w:r w:rsidRPr="00EE60F3">
        <w:t>been</w:t>
      </w:r>
      <w:r w:rsidR="00BF059B" w:rsidRPr="00EE60F3">
        <w:t xml:space="preserve"> </w:t>
      </w:r>
      <w:r w:rsidRPr="00EE60F3">
        <w:t>taken</w:t>
      </w:r>
      <w:r w:rsidR="00BF059B" w:rsidRPr="00EE60F3">
        <w:t xml:space="preserve"> </w:t>
      </w:r>
      <w:r w:rsidRPr="00EE60F3">
        <w:t>directly</w:t>
      </w:r>
      <w:r w:rsidR="00BF059B" w:rsidRPr="00EE60F3">
        <w:t xml:space="preserve"> </w:t>
      </w:r>
      <w:r w:rsidRPr="00EE60F3">
        <w:t>to</w:t>
      </w:r>
      <w:r w:rsidR="00BF059B" w:rsidRPr="00EE60F3">
        <w:t xml:space="preserve"> </w:t>
      </w:r>
      <w:r w:rsidRPr="00EE60F3">
        <w:t>the</w:t>
      </w:r>
      <w:r w:rsidR="00BF059B" w:rsidRPr="00EE60F3">
        <w:t xml:space="preserve"> </w:t>
      </w:r>
      <w:r w:rsidRPr="00EE60F3">
        <w:t>Revaluation</w:t>
      </w:r>
      <w:r w:rsidR="00BF059B" w:rsidRPr="00EE60F3">
        <w:t xml:space="preserve"> </w:t>
      </w:r>
      <w:r w:rsidRPr="00EE60F3">
        <w:t>Reserve,</w:t>
      </w:r>
      <w:r w:rsidR="00BF059B" w:rsidRPr="00EE60F3">
        <w:t xml:space="preserve"> </w:t>
      </w:r>
      <w:r w:rsidRPr="00EE60F3">
        <w:t>in</w:t>
      </w:r>
      <w:r w:rsidR="00BF059B" w:rsidRPr="00EE60F3">
        <w:t xml:space="preserve"> </w:t>
      </w:r>
      <w:r w:rsidRPr="00EE60F3">
        <w:t>accordance</w:t>
      </w:r>
      <w:r w:rsidR="00BF059B" w:rsidRPr="00EE60F3">
        <w:t xml:space="preserve"> </w:t>
      </w:r>
      <w:r w:rsidRPr="00EE60F3">
        <w:t>with</w:t>
      </w:r>
      <w:r w:rsidR="00BF059B" w:rsidRPr="00EE60F3">
        <w:t xml:space="preserve"> </w:t>
      </w:r>
      <w:r w:rsidRPr="00EE60F3">
        <w:t>FRS102.</w:t>
      </w:r>
      <w:r w:rsidR="00BF059B" w:rsidRPr="00EE60F3">
        <w:t xml:space="preserve"> </w:t>
      </w:r>
    </w:p>
    <w:p w14:paraId="6E11301B" w14:textId="77777777" w:rsidR="00EE60F3" w:rsidRPr="00EE60F3" w:rsidRDefault="00EE60F3" w:rsidP="00EE60F3">
      <w:pPr>
        <w:rPr>
          <w:b/>
        </w:rPr>
      </w:pPr>
    </w:p>
    <w:p w14:paraId="5954F343" w14:textId="2C4DC0FD" w:rsidR="00BE13A8" w:rsidRPr="00EE60F3" w:rsidRDefault="00D70530" w:rsidP="00EE60F3">
      <w:r w:rsidRPr="00EE60F3">
        <w:t>Donated</w:t>
      </w:r>
      <w:r w:rsidR="00BF059B" w:rsidRPr="00EE60F3">
        <w:t xml:space="preserve"> </w:t>
      </w:r>
      <w:r w:rsidRPr="00EE60F3">
        <w:t>assets,</w:t>
      </w:r>
      <w:r w:rsidR="00BF059B" w:rsidRPr="00EE60F3">
        <w:t xml:space="preserve"> </w:t>
      </w:r>
      <w:r w:rsidRPr="00EE60F3">
        <w:t>qualifying</w:t>
      </w:r>
      <w:r w:rsidR="00BF059B" w:rsidRPr="00EE60F3">
        <w:t xml:space="preserve"> </w:t>
      </w:r>
      <w:r w:rsidRPr="00EE60F3">
        <w:t>as</w:t>
      </w:r>
      <w:r w:rsidR="00BF059B" w:rsidRPr="00EE60F3">
        <w:t xml:space="preserve"> </w:t>
      </w:r>
      <w:r w:rsidRPr="00EE60F3">
        <w:t>fixed</w:t>
      </w:r>
      <w:r w:rsidR="00BF059B" w:rsidRPr="00EE60F3">
        <w:t xml:space="preserve"> </w:t>
      </w:r>
      <w:r w:rsidRPr="00EE60F3">
        <w:t>assets,</w:t>
      </w:r>
      <w:r w:rsidR="00BF059B" w:rsidRPr="00EE60F3">
        <w:t xml:space="preserve"> </w:t>
      </w:r>
      <w:r w:rsidRPr="00EE60F3">
        <w:t>are</w:t>
      </w:r>
      <w:r w:rsidR="00BF059B" w:rsidRPr="00EE60F3">
        <w:t xml:space="preserve"> </w:t>
      </w:r>
      <w:r w:rsidRPr="00EE60F3">
        <w:t>revalued,</w:t>
      </w:r>
      <w:r w:rsidR="00BF059B" w:rsidRPr="00EE60F3">
        <w:t xml:space="preserve"> </w:t>
      </w:r>
      <w:r w:rsidRPr="00EE60F3">
        <w:t>depreciated</w:t>
      </w:r>
      <w:r w:rsidR="00BF059B" w:rsidRPr="00EE60F3">
        <w:t xml:space="preserve"> </w:t>
      </w:r>
      <w:r w:rsidRPr="00EE60F3">
        <w:t>and</w:t>
      </w:r>
      <w:r w:rsidR="00BF059B" w:rsidRPr="00EE60F3">
        <w:t xml:space="preserve"> </w:t>
      </w:r>
      <w:r w:rsidRPr="00EE60F3">
        <w:t>subject</w:t>
      </w:r>
      <w:r w:rsidR="00BF059B" w:rsidRPr="00EE60F3">
        <w:t xml:space="preserve"> </w:t>
      </w:r>
      <w:r w:rsidRPr="00EE60F3">
        <w:t>to</w:t>
      </w:r>
      <w:r w:rsidR="00BF059B" w:rsidRPr="00EE60F3">
        <w:t xml:space="preserve"> </w:t>
      </w:r>
      <w:r w:rsidRPr="00EE60F3">
        <w:t>impairment</w:t>
      </w:r>
      <w:r w:rsidR="00BF059B" w:rsidRPr="00EE60F3">
        <w:t xml:space="preserve"> </w:t>
      </w:r>
      <w:r w:rsidRPr="00EE60F3">
        <w:t>reviews</w:t>
      </w:r>
      <w:r w:rsidR="00BF059B" w:rsidRPr="00EE60F3">
        <w:t xml:space="preserve"> </w:t>
      </w:r>
      <w:r w:rsidRPr="00EE60F3">
        <w:t>in</w:t>
      </w:r>
      <w:r w:rsidR="00BF059B" w:rsidRPr="00EE60F3">
        <w:t xml:space="preserve"> </w:t>
      </w:r>
      <w:r w:rsidRPr="00EE60F3">
        <w:t>the</w:t>
      </w:r>
      <w:r w:rsidR="00BF059B" w:rsidRPr="00EE60F3">
        <w:t xml:space="preserve"> </w:t>
      </w:r>
      <w:r w:rsidRPr="00EE60F3">
        <w:t>same</w:t>
      </w:r>
      <w:r w:rsidR="00BF059B" w:rsidRPr="00EE60F3">
        <w:t xml:space="preserve"> </w:t>
      </w:r>
      <w:r w:rsidRPr="00EE60F3">
        <w:t>way</w:t>
      </w:r>
      <w:r w:rsidR="00BF059B" w:rsidRPr="00EE60F3">
        <w:t xml:space="preserve"> </w:t>
      </w:r>
      <w:r w:rsidRPr="00EE60F3">
        <w:t>as</w:t>
      </w:r>
      <w:r w:rsidR="00BF059B" w:rsidRPr="00EE60F3">
        <w:t xml:space="preserve"> </w:t>
      </w:r>
      <w:r w:rsidRPr="00EE60F3">
        <w:t>other</w:t>
      </w:r>
      <w:r w:rsidR="00BF059B" w:rsidRPr="00EE60F3">
        <w:t xml:space="preserve"> </w:t>
      </w:r>
      <w:r w:rsidRPr="00EE60F3">
        <w:t>fixed</w:t>
      </w:r>
      <w:r w:rsidR="00BF059B" w:rsidRPr="00EE60F3">
        <w:t xml:space="preserve"> </w:t>
      </w:r>
      <w:r w:rsidRPr="00EE60F3">
        <w:t>assets.</w:t>
      </w:r>
    </w:p>
    <w:p w14:paraId="2B053E4A" w14:textId="77777777" w:rsidR="00BE13A8" w:rsidRPr="00EE60F3" w:rsidRDefault="00BE13A8" w:rsidP="00EE60F3"/>
    <w:p w14:paraId="03335469" w14:textId="502583A1" w:rsidR="00BE13A8" w:rsidRPr="00EE60F3" w:rsidRDefault="00A3133E" w:rsidP="00EE60F3">
      <w:pPr>
        <w:pStyle w:val="Heading4"/>
      </w:pPr>
      <w:proofErr w:type="spellStart"/>
      <w:r>
        <w:rPr>
          <w:rFonts w:eastAsia="Caveat"/>
        </w:rPr>
        <w:t>i</w:t>
      </w:r>
      <w:proofErr w:type="spellEnd"/>
      <w:r w:rsidR="00D70530" w:rsidRPr="00EE60F3">
        <w:t>)</w:t>
      </w:r>
      <w:r w:rsidR="00BF059B" w:rsidRPr="00EE60F3">
        <w:t xml:space="preserve"> </w:t>
      </w:r>
      <w:r w:rsidR="00D70530" w:rsidRPr="00EE60F3">
        <w:t>Depreciation</w:t>
      </w:r>
    </w:p>
    <w:p w14:paraId="6339E41C" w14:textId="4F8C59D7" w:rsidR="00BE13A8" w:rsidRPr="00EE60F3" w:rsidRDefault="00D70530" w:rsidP="00EE60F3">
      <w:r w:rsidRPr="00EE60F3">
        <w:t>Depreciation</w:t>
      </w:r>
      <w:r w:rsidR="00BF059B" w:rsidRPr="00EE60F3">
        <w:t xml:space="preserve"> </w:t>
      </w:r>
      <w:r w:rsidRPr="00EE60F3">
        <w:t>is</w:t>
      </w:r>
      <w:r w:rsidR="00BF059B" w:rsidRPr="00EE60F3">
        <w:t xml:space="preserve"> </w:t>
      </w:r>
      <w:r w:rsidRPr="00EE60F3">
        <w:t>provided</w:t>
      </w:r>
      <w:r w:rsidR="00BF059B" w:rsidRPr="00EE60F3">
        <w:t xml:space="preserve"> </w:t>
      </w:r>
      <w:r w:rsidRPr="00EE60F3">
        <w:t>on</w:t>
      </w:r>
      <w:r w:rsidR="00BF059B" w:rsidRPr="00EE60F3">
        <w:t xml:space="preserve"> </w:t>
      </w:r>
      <w:r w:rsidRPr="00EE60F3">
        <w:t>all</w:t>
      </w:r>
      <w:r w:rsidR="00BF059B" w:rsidRPr="00EE60F3">
        <w:t xml:space="preserve"> </w:t>
      </w:r>
      <w:r w:rsidRPr="00EE60F3">
        <w:t>tangible</w:t>
      </w:r>
      <w:r w:rsidR="00BF059B" w:rsidRPr="00EE60F3">
        <w:t xml:space="preserve"> </w:t>
      </w:r>
      <w:r w:rsidRPr="00EE60F3">
        <w:t>fixed</w:t>
      </w:r>
      <w:r w:rsidR="00BF059B" w:rsidRPr="00EE60F3">
        <w:t xml:space="preserve"> </w:t>
      </w:r>
      <w:r w:rsidRPr="00EE60F3">
        <w:t>assets</w:t>
      </w:r>
      <w:r w:rsidR="00BF059B" w:rsidRPr="00EE60F3">
        <w:t xml:space="preserve"> </w:t>
      </w:r>
      <w:r w:rsidRPr="00EE60F3">
        <w:t>at</w:t>
      </w:r>
      <w:r w:rsidR="00BF059B" w:rsidRPr="00EE60F3">
        <w:t xml:space="preserve"> </w:t>
      </w:r>
      <w:r w:rsidRPr="00EE60F3">
        <w:t>rates</w:t>
      </w:r>
      <w:r w:rsidR="00BF059B" w:rsidRPr="00EE60F3">
        <w:t xml:space="preserve"> </w:t>
      </w:r>
      <w:r w:rsidRPr="00EE60F3">
        <w:t>calculated</w:t>
      </w:r>
      <w:r w:rsidR="00BF059B" w:rsidRPr="00EE60F3">
        <w:t xml:space="preserve"> </w:t>
      </w:r>
      <w:r w:rsidRPr="00EE60F3">
        <w:t>to</w:t>
      </w:r>
      <w:r w:rsidR="00BF059B" w:rsidRPr="00EE60F3">
        <w:t xml:space="preserve"> </w:t>
      </w:r>
      <w:r w:rsidRPr="00EE60F3">
        <w:t>write</w:t>
      </w:r>
      <w:r w:rsidR="00BF059B" w:rsidRPr="00EE60F3">
        <w:t xml:space="preserve"> </w:t>
      </w:r>
      <w:r w:rsidRPr="00EE60F3">
        <w:t>off</w:t>
      </w:r>
      <w:r w:rsidR="00BF059B" w:rsidRPr="00EE60F3">
        <w:t xml:space="preserve"> </w:t>
      </w:r>
      <w:r w:rsidRPr="00EE60F3">
        <w:t>the</w:t>
      </w:r>
      <w:r w:rsidR="00BF059B" w:rsidRPr="00EE60F3">
        <w:t xml:space="preserve"> </w:t>
      </w:r>
      <w:r w:rsidRPr="00EE60F3">
        <w:t>cost</w:t>
      </w:r>
      <w:r w:rsidR="00BF059B" w:rsidRPr="00EE60F3">
        <w:t xml:space="preserve"> </w:t>
      </w:r>
      <w:r w:rsidRPr="00EE60F3">
        <w:t>or</w:t>
      </w:r>
      <w:r w:rsidR="00BF059B" w:rsidRPr="00EE60F3">
        <w:t xml:space="preserve"> </w:t>
      </w:r>
      <w:r w:rsidRPr="00EE60F3">
        <w:t>valuation</w:t>
      </w:r>
      <w:r w:rsidR="00BF059B" w:rsidRPr="00EE60F3">
        <w:t xml:space="preserve"> </w:t>
      </w:r>
      <w:r w:rsidRPr="00EE60F3">
        <w:t>of</w:t>
      </w:r>
      <w:r w:rsidR="00BF059B" w:rsidRPr="00EE60F3">
        <w:t xml:space="preserve"> </w:t>
      </w:r>
      <w:r w:rsidRPr="00EE60F3">
        <w:t>each</w:t>
      </w:r>
      <w:r w:rsidR="00BF059B" w:rsidRPr="00EE60F3">
        <w:t xml:space="preserve"> </w:t>
      </w:r>
      <w:r w:rsidRPr="00EE60F3">
        <w:t>asset</w:t>
      </w:r>
      <w:r w:rsidR="00BF059B" w:rsidRPr="00EE60F3">
        <w:t xml:space="preserve"> </w:t>
      </w:r>
      <w:r w:rsidRPr="00EE60F3">
        <w:t>evenly</w:t>
      </w:r>
      <w:r w:rsidR="00BF059B" w:rsidRPr="00EE60F3">
        <w:t xml:space="preserve"> </w:t>
      </w:r>
      <w:r w:rsidRPr="00EE60F3">
        <w:t>over</w:t>
      </w:r>
      <w:r w:rsidR="00BF059B" w:rsidRPr="00EE60F3">
        <w:t xml:space="preserve"> </w:t>
      </w:r>
      <w:r w:rsidRPr="00EE60F3">
        <w:t>its</w:t>
      </w:r>
      <w:r w:rsidR="00BF059B" w:rsidRPr="00EE60F3">
        <w:t xml:space="preserve"> </w:t>
      </w:r>
      <w:r w:rsidRPr="00EE60F3">
        <w:t>expected</w:t>
      </w:r>
      <w:r w:rsidR="00BF059B" w:rsidRPr="00EE60F3">
        <w:t xml:space="preserve"> </w:t>
      </w:r>
      <w:r w:rsidRPr="00EE60F3">
        <w:t>life,</w:t>
      </w:r>
      <w:r w:rsidR="00BF059B" w:rsidRPr="00EE60F3">
        <w:t xml:space="preserve"> </w:t>
      </w:r>
      <w:r w:rsidRPr="00EE60F3">
        <w:t>as</w:t>
      </w:r>
      <w:r w:rsidR="00BF059B" w:rsidRPr="00EE60F3">
        <w:t xml:space="preserve"> </w:t>
      </w:r>
      <w:r w:rsidRPr="00EE60F3">
        <w:t>follows:</w:t>
      </w:r>
    </w:p>
    <w:p w14:paraId="3EF0E735" w14:textId="059A89C4" w:rsidR="00BE13A8" w:rsidRPr="00EE60F3" w:rsidRDefault="00D70530" w:rsidP="00A3133E">
      <w:pPr>
        <w:pStyle w:val="ListParagraph"/>
        <w:numPr>
          <w:ilvl w:val="0"/>
          <w:numId w:val="47"/>
        </w:numPr>
      </w:pPr>
      <w:r w:rsidRPr="00EE60F3">
        <w:t>Equipment</w:t>
      </w:r>
      <w:r w:rsidR="00BF059B" w:rsidRPr="00EE60F3">
        <w:t xml:space="preserve"> </w:t>
      </w:r>
      <w:r w:rsidRPr="00EE60F3">
        <w:t>and</w:t>
      </w:r>
      <w:r w:rsidR="00BF059B" w:rsidRPr="00EE60F3">
        <w:t xml:space="preserve"> </w:t>
      </w:r>
      <w:r w:rsidRPr="00EE60F3">
        <w:t>fixtures</w:t>
      </w:r>
      <w:r w:rsidR="00BF059B" w:rsidRPr="00EE60F3">
        <w:t xml:space="preserve">                   </w:t>
      </w:r>
      <w:r w:rsidRPr="00EE60F3">
        <w:t>3</w:t>
      </w:r>
      <w:r w:rsidR="00BF059B" w:rsidRPr="00EE60F3">
        <w:t xml:space="preserve"> </w:t>
      </w:r>
      <w:r w:rsidRPr="00EE60F3">
        <w:t>-</w:t>
      </w:r>
      <w:r w:rsidR="00BF059B" w:rsidRPr="00EE60F3">
        <w:t xml:space="preserve"> </w:t>
      </w:r>
      <w:r w:rsidRPr="00EE60F3">
        <w:t>20</w:t>
      </w:r>
      <w:r w:rsidR="00BF059B" w:rsidRPr="00EE60F3">
        <w:t xml:space="preserve"> </w:t>
      </w:r>
      <w:r w:rsidRPr="00EE60F3">
        <w:t>years</w:t>
      </w:r>
    </w:p>
    <w:p w14:paraId="3AE2AF5A" w14:textId="39F8EA60" w:rsidR="00BE13A8" w:rsidRPr="00EE60F3" w:rsidRDefault="00D70530" w:rsidP="00A3133E">
      <w:pPr>
        <w:pStyle w:val="ListParagraph"/>
        <w:numPr>
          <w:ilvl w:val="0"/>
          <w:numId w:val="47"/>
        </w:numPr>
      </w:pPr>
      <w:r w:rsidRPr="00EE60F3">
        <w:t>Exhibitions</w:t>
      </w:r>
      <w:r w:rsidR="00BF059B" w:rsidRPr="00EE60F3">
        <w:t xml:space="preserve">                                       </w:t>
      </w:r>
      <w:r w:rsidRPr="00EE60F3">
        <w:t>5</w:t>
      </w:r>
      <w:r w:rsidR="00BF059B" w:rsidRPr="00EE60F3">
        <w:t xml:space="preserve"> </w:t>
      </w:r>
      <w:r w:rsidRPr="00EE60F3">
        <w:t>-</w:t>
      </w:r>
      <w:r w:rsidR="00BF059B" w:rsidRPr="00EE60F3">
        <w:t xml:space="preserve"> </w:t>
      </w:r>
      <w:r w:rsidRPr="00EE60F3">
        <w:t>20</w:t>
      </w:r>
      <w:r w:rsidR="00BF059B" w:rsidRPr="00EE60F3">
        <w:t xml:space="preserve"> </w:t>
      </w:r>
      <w:r w:rsidRPr="00EE60F3">
        <w:t>years</w:t>
      </w:r>
    </w:p>
    <w:p w14:paraId="256DD408" w14:textId="68AFD4EE" w:rsidR="00BE13A8" w:rsidRPr="00EE60F3" w:rsidRDefault="00D70530" w:rsidP="00A3133E">
      <w:pPr>
        <w:pStyle w:val="ListParagraph"/>
        <w:numPr>
          <w:ilvl w:val="0"/>
          <w:numId w:val="47"/>
        </w:numPr>
      </w:pPr>
      <w:r w:rsidRPr="00EE60F3">
        <w:t>Freehold</w:t>
      </w:r>
      <w:r w:rsidR="00BF059B" w:rsidRPr="00EE60F3">
        <w:t xml:space="preserve"> </w:t>
      </w:r>
      <w:r w:rsidRPr="00EE60F3">
        <w:t>buildings</w:t>
      </w:r>
      <w:r w:rsidR="00BF059B" w:rsidRPr="00EE60F3">
        <w:t xml:space="preserve">                         </w:t>
      </w:r>
      <w:r w:rsidRPr="00EE60F3">
        <w:t>20</w:t>
      </w:r>
      <w:r w:rsidR="00BF059B" w:rsidRPr="00EE60F3">
        <w:t xml:space="preserve"> </w:t>
      </w:r>
      <w:r w:rsidRPr="00EE60F3">
        <w:t>-</w:t>
      </w:r>
      <w:r w:rsidR="00BF059B" w:rsidRPr="00EE60F3">
        <w:t xml:space="preserve"> </w:t>
      </w:r>
      <w:r w:rsidRPr="00EE60F3">
        <w:t>50</w:t>
      </w:r>
      <w:r w:rsidR="00BF059B" w:rsidRPr="00EE60F3">
        <w:t xml:space="preserve"> </w:t>
      </w:r>
      <w:r w:rsidRPr="00EE60F3">
        <w:t>years</w:t>
      </w:r>
    </w:p>
    <w:p w14:paraId="016C0390" w14:textId="77777777" w:rsidR="00BE13A8" w:rsidRPr="00EE60F3" w:rsidRDefault="00BE13A8" w:rsidP="00EE60F3">
      <w:pPr>
        <w:ind w:firstLine="720"/>
      </w:pPr>
    </w:p>
    <w:p w14:paraId="27D157D2" w14:textId="6DB6D979" w:rsidR="00BE13A8" w:rsidRPr="00EE60F3" w:rsidRDefault="00D70530" w:rsidP="00EE60F3">
      <w:r w:rsidRPr="00EE60F3">
        <w:t>The</w:t>
      </w:r>
      <w:r w:rsidR="00BF059B" w:rsidRPr="00EE60F3">
        <w:t xml:space="preserve"> </w:t>
      </w:r>
      <w:r w:rsidRPr="00EE60F3">
        <w:t>main</w:t>
      </w:r>
      <w:r w:rsidR="00BF059B" w:rsidRPr="00EE60F3">
        <w:t xml:space="preserve"> </w:t>
      </w:r>
      <w:r w:rsidRPr="00EE60F3">
        <w:t>museum</w:t>
      </w:r>
      <w:r w:rsidR="00BF059B" w:rsidRPr="00EE60F3">
        <w:t xml:space="preserve"> </w:t>
      </w:r>
      <w:r w:rsidRPr="00EE60F3">
        <w:t>building</w:t>
      </w:r>
      <w:r w:rsidR="00BF059B" w:rsidRPr="00EE60F3">
        <w:t xml:space="preserve"> </w:t>
      </w:r>
      <w:r w:rsidRPr="00EE60F3">
        <w:t>and</w:t>
      </w:r>
      <w:r w:rsidR="00BF059B" w:rsidRPr="00EE60F3">
        <w:t xml:space="preserve"> </w:t>
      </w:r>
      <w:r w:rsidRPr="00EE60F3">
        <w:t>Study</w:t>
      </w:r>
      <w:r w:rsidR="00BF059B" w:rsidRPr="00EE60F3">
        <w:t xml:space="preserve"> </w:t>
      </w:r>
      <w:r w:rsidRPr="00EE60F3">
        <w:t>Collection</w:t>
      </w:r>
      <w:r w:rsidR="00BF059B" w:rsidRPr="00EE60F3">
        <w:t xml:space="preserve"> </w:t>
      </w:r>
      <w:r w:rsidRPr="00EE60F3">
        <w:t>Centre</w:t>
      </w:r>
      <w:r w:rsidR="00BF059B" w:rsidRPr="00EE60F3">
        <w:t xml:space="preserve"> </w:t>
      </w:r>
      <w:r w:rsidRPr="00EE60F3">
        <w:t>are</w:t>
      </w:r>
      <w:r w:rsidR="00BF059B" w:rsidRPr="00EE60F3">
        <w:t xml:space="preserve"> </w:t>
      </w:r>
      <w:r w:rsidRPr="00EE60F3">
        <w:t>considered</w:t>
      </w:r>
      <w:r w:rsidR="00BF059B" w:rsidRPr="00EE60F3">
        <w:t xml:space="preserve"> </w:t>
      </w:r>
      <w:r w:rsidRPr="00EE60F3">
        <w:t>to</w:t>
      </w:r>
      <w:r w:rsidR="00BF059B" w:rsidRPr="00EE60F3">
        <w:t xml:space="preserve"> </w:t>
      </w:r>
      <w:r w:rsidRPr="00EE60F3">
        <w:t>have</w:t>
      </w:r>
      <w:r w:rsidR="00BF059B" w:rsidRPr="00EE60F3">
        <w:t xml:space="preserve"> </w:t>
      </w:r>
      <w:r w:rsidRPr="00EE60F3">
        <w:t>an</w:t>
      </w:r>
      <w:r w:rsidR="00BF059B" w:rsidRPr="00EE60F3">
        <w:t xml:space="preserve"> </w:t>
      </w:r>
      <w:r w:rsidRPr="00EE60F3">
        <w:t>existing</w:t>
      </w:r>
      <w:r w:rsidR="00BF059B" w:rsidRPr="00EE60F3">
        <w:t xml:space="preserve"> </w:t>
      </w:r>
      <w:r w:rsidRPr="00EE60F3">
        <w:t>life</w:t>
      </w:r>
      <w:r w:rsidR="00BF059B" w:rsidRPr="00EE60F3">
        <w:t xml:space="preserve"> </w:t>
      </w:r>
      <w:r w:rsidRPr="00EE60F3">
        <w:t>greater</w:t>
      </w:r>
      <w:r w:rsidR="00BF059B" w:rsidRPr="00EE60F3">
        <w:t xml:space="preserve"> </w:t>
      </w:r>
      <w:r w:rsidRPr="00EE60F3">
        <w:t>than</w:t>
      </w:r>
      <w:r w:rsidR="00BF059B" w:rsidRPr="00EE60F3">
        <w:t xml:space="preserve"> </w:t>
      </w:r>
      <w:r w:rsidRPr="00EE60F3">
        <w:t>50</w:t>
      </w:r>
      <w:r w:rsidR="00BF059B" w:rsidRPr="00EE60F3">
        <w:t xml:space="preserve"> </w:t>
      </w:r>
      <w:r w:rsidRPr="00EE60F3">
        <w:t>years</w:t>
      </w:r>
      <w:r w:rsidR="00BF059B" w:rsidRPr="00EE60F3">
        <w:t xml:space="preserve"> </w:t>
      </w:r>
      <w:r w:rsidRPr="00EE60F3">
        <w:t>and</w:t>
      </w:r>
      <w:r w:rsidR="00BF059B" w:rsidRPr="00EE60F3">
        <w:t xml:space="preserve"> </w:t>
      </w:r>
      <w:r w:rsidRPr="00EE60F3">
        <w:t>are</w:t>
      </w:r>
      <w:r w:rsidR="00BF059B" w:rsidRPr="00EE60F3">
        <w:t xml:space="preserve"> </w:t>
      </w:r>
      <w:r w:rsidRPr="00EE60F3">
        <w:t>subject</w:t>
      </w:r>
      <w:r w:rsidR="00BF059B" w:rsidRPr="00EE60F3">
        <w:t xml:space="preserve"> </w:t>
      </w:r>
      <w:r w:rsidRPr="00EE60F3">
        <w:t>to</w:t>
      </w:r>
      <w:r w:rsidR="00BF059B" w:rsidRPr="00EE60F3">
        <w:t xml:space="preserve"> </w:t>
      </w:r>
      <w:r w:rsidRPr="00EE60F3">
        <w:t>an</w:t>
      </w:r>
      <w:r w:rsidR="00BF059B" w:rsidRPr="00EE60F3">
        <w:t xml:space="preserve"> </w:t>
      </w:r>
      <w:r w:rsidRPr="00EE60F3">
        <w:t>annual</w:t>
      </w:r>
      <w:r w:rsidR="00BF059B" w:rsidRPr="00EE60F3">
        <w:t xml:space="preserve"> </w:t>
      </w:r>
      <w:r w:rsidRPr="00EE60F3">
        <w:t>impairment</w:t>
      </w:r>
      <w:r w:rsidR="00BF059B" w:rsidRPr="00EE60F3">
        <w:t xml:space="preserve"> </w:t>
      </w:r>
      <w:r w:rsidRPr="00EE60F3">
        <w:t>review</w:t>
      </w:r>
      <w:r w:rsidR="00BF059B" w:rsidRPr="00EE60F3">
        <w:t xml:space="preserve"> </w:t>
      </w:r>
      <w:r w:rsidRPr="00EE60F3">
        <w:t>and</w:t>
      </w:r>
      <w:r w:rsidR="00BF059B" w:rsidRPr="00EE60F3">
        <w:t xml:space="preserve"> </w:t>
      </w:r>
      <w:r w:rsidRPr="00EE60F3">
        <w:t>hence</w:t>
      </w:r>
      <w:r w:rsidR="00BF059B" w:rsidRPr="00EE60F3">
        <w:t xml:space="preserve"> </w:t>
      </w:r>
      <w:r w:rsidRPr="00EE60F3">
        <w:t>no</w:t>
      </w:r>
      <w:r w:rsidR="00BF059B" w:rsidRPr="00EE60F3">
        <w:t xml:space="preserve"> </w:t>
      </w:r>
      <w:r w:rsidRPr="00EE60F3">
        <w:t>depreciation</w:t>
      </w:r>
      <w:r w:rsidR="00BF059B" w:rsidRPr="00EE60F3">
        <w:t xml:space="preserve"> </w:t>
      </w:r>
      <w:r w:rsidRPr="00EE60F3">
        <w:t>is</w:t>
      </w:r>
      <w:r w:rsidR="00BF059B" w:rsidRPr="00EE60F3">
        <w:t xml:space="preserve"> </w:t>
      </w:r>
      <w:r w:rsidRPr="00EE60F3">
        <w:t>provided</w:t>
      </w:r>
      <w:r w:rsidR="00BF059B" w:rsidRPr="00EE60F3">
        <w:t xml:space="preserve"> </w:t>
      </w:r>
      <w:r w:rsidRPr="00EE60F3">
        <w:t>as</w:t>
      </w:r>
      <w:r w:rsidR="00BF059B" w:rsidRPr="00EE60F3">
        <w:t xml:space="preserve"> </w:t>
      </w:r>
      <w:r w:rsidRPr="00EE60F3">
        <w:t>permitted</w:t>
      </w:r>
      <w:r w:rsidR="00BF059B" w:rsidRPr="00EE60F3">
        <w:t xml:space="preserve"> </w:t>
      </w:r>
      <w:r w:rsidRPr="00EE60F3">
        <w:t>by</w:t>
      </w:r>
      <w:r w:rsidR="00BF059B" w:rsidRPr="00EE60F3">
        <w:t xml:space="preserve"> </w:t>
      </w:r>
      <w:r w:rsidRPr="00EE60F3">
        <w:t>FRS102.</w:t>
      </w:r>
    </w:p>
    <w:p w14:paraId="2522E916" w14:textId="77777777" w:rsidR="00BE13A8" w:rsidRPr="00EE60F3" w:rsidRDefault="00BE13A8" w:rsidP="00EE60F3"/>
    <w:p w14:paraId="4754AF25" w14:textId="34838894" w:rsidR="00BE13A8" w:rsidRPr="00EE60F3" w:rsidRDefault="00D70530" w:rsidP="00EE60F3">
      <w:pPr>
        <w:pStyle w:val="Heading4"/>
      </w:pPr>
      <w:r w:rsidRPr="00EE60F3">
        <w:t>j)</w:t>
      </w:r>
      <w:r w:rsidR="00BF059B" w:rsidRPr="00EE60F3">
        <w:t xml:space="preserve"> </w:t>
      </w:r>
      <w:r w:rsidRPr="00EE60F3">
        <w:t>Intangible</w:t>
      </w:r>
      <w:r w:rsidR="00BF059B" w:rsidRPr="00EE60F3">
        <w:t xml:space="preserve"> </w:t>
      </w:r>
      <w:r w:rsidRPr="00EE60F3">
        <w:t>fixed</w:t>
      </w:r>
      <w:r w:rsidR="00BF059B" w:rsidRPr="00EE60F3">
        <w:t xml:space="preserve"> </w:t>
      </w:r>
      <w:r w:rsidRPr="00EE60F3">
        <w:t>assets</w:t>
      </w:r>
    </w:p>
    <w:p w14:paraId="16CFFED7" w14:textId="00EF8810" w:rsidR="00BE13A8" w:rsidRPr="00EE60F3" w:rsidRDefault="00D70530" w:rsidP="00EE60F3">
      <w:r w:rsidRPr="00EE60F3">
        <w:t>Intangible</w:t>
      </w:r>
      <w:r w:rsidR="00BF059B" w:rsidRPr="00EE60F3">
        <w:t xml:space="preserve"> </w:t>
      </w:r>
      <w:r w:rsidRPr="00EE60F3">
        <w:t>assets</w:t>
      </w:r>
      <w:r w:rsidR="00BF059B" w:rsidRPr="00EE60F3">
        <w:t xml:space="preserve"> </w:t>
      </w:r>
      <w:r w:rsidRPr="00EE60F3">
        <w:t>with</w:t>
      </w:r>
      <w:r w:rsidR="00BF059B" w:rsidRPr="00EE60F3">
        <w:t xml:space="preserve"> </w:t>
      </w:r>
      <w:r w:rsidRPr="00EE60F3">
        <w:t>an</w:t>
      </w:r>
      <w:r w:rsidR="00BF059B" w:rsidRPr="00EE60F3">
        <w:t xml:space="preserve"> </w:t>
      </w:r>
      <w:r w:rsidRPr="00EE60F3">
        <w:t>economic</w:t>
      </w:r>
      <w:r w:rsidR="00BF059B" w:rsidRPr="00EE60F3">
        <w:t xml:space="preserve"> </w:t>
      </w:r>
      <w:r w:rsidRPr="00EE60F3">
        <w:t>life</w:t>
      </w:r>
      <w:r w:rsidR="00BF059B" w:rsidRPr="00EE60F3">
        <w:t xml:space="preserve"> </w:t>
      </w:r>
      <w:r w:rsidRPr="00EE60F3">
        <w:t>of</w:t>
      </w:r>
      <w:r w:rsidR="00BF059B" w:rsidRPr="00EE60F3">
        <w:t xml:space="preserve"> </w:t>
      </w:r>
      <w:r w:rsidRPr="00EE60F3">
        <w:t>more</w:t>
      </w:r>
      <w:r w:rsidR="00BF059B" w:rsidRPr="00EE60F3">
        <w:t xml:space="preserve"> </w:t>
      </w:r>
      <w:r w:rsidRPr="00EE60F3">
        <w:t>than</w:t>
      </w:r>
      <w:r w:rsidR="00BF059B" w:rsidRPr="00EE60F3">
        <w:t xml:space="preserve"> </w:t>
      </w:r>
      <w:r w:rsidRPr="00EE60F3">
        <w:t>one</w:t>
      </w:r>
      <w:r w:rsidR="00BF059B" w:rsidRPr="00EE60F3">
        <w:t xml:space="preserve"> </w:t>
      </w:r>
      <w:r w:rsidRPr="00EE60F3">
        <w:t>year</w:t>
      </w:r>
      <w:r w:rsidR="00BF059B" w:rsidRPr="00EE60F3">
        <w:t xml:space="preserve"> </w:t>
      </w:r>
      <w:r w:rsidRPr="00EE60F3">
        <w:t>and</w:t>
      </w:r>
      <w:r w:rsidR="00BF059B" w:rsidRPr="00EE60F3">
        <w:t xml:space="preserve"> </w:t>
      </w:r>
      <w:r w:rsidRPr="00EE60F3">
        <w:t>value</w:t>
      </w:r>
      <w:r w:rsidR="00BF059B" w:rsidRPr="00EE60F3">
        <w:t xml:space="preserve"> </w:t>
      </w:r>
      <w:r w:rsidRPr="00EE60F3">
        <w:t>greater</w:t>
      </w:r>
      <w:r w:rsidR="00BF059B" w:rsidRPr="00EE60F3">
        <w:t xml:space="preserve"> </w:t>
      </w:r>
      <w:r w:rsidRPr="00EE60F3">
        <w:t>than</w:t>
      </w:r>
      <w:r w:rsidR="00BF059B" w:rsidRPr="00EE60F3">
        <w:t xml:space="preserve"> </w:t>
      </w:r>
      <w:r w:rsidRPr="00EE60F3">
        <w:t>£5,000</w:t>
      </w:r>
      <w:r w:rsidR="00BF059B" w:rsidRPr="00EE60F3">
        <w:t xml:space="preserve"> </w:t>
      </w:r>
      <w:r w:rsidRPr="00EE60F3">
        <w:t>are</w:t>
      </w:r>
      <w:r w:rsidR="00BF059B" w:rsidRPr="00EE60F3">
        <w:t xml:space="preserve"> </w:t>
      </w:r>
      <w:r w:rsidRPr="00EE60F3">
        <w:t>capitalised.</w:t>
      </w:r>
      <w:r w:rsidR="00BF059B" w:rsidRPr="00EE60F3">
        <w:t xml:space="preserve"> </w:t>
      </w:r>
      <w:r w:rsidRPr="00EE60F3">
        <w:t>All</w:t>
      </w:r>
      <w:r w:rsidR="00BF059B" w:rsidRPr="00EE60F3">
        <w:t xml:space="preserve"> </w:t>
      </w:r>
      <w:r w:rsidRPr="00EE60F3">
        <w:t>intangible</w:t>
      </w:r>
      <w:r w:rsidR="00BF059B" w:rsidRPr="00EE60F3">
        <w:t xml:space="preserve"> </w:t>
      </w:r>
      <w:r w:rsidRPr="00EE60F3">
        <w:t>assets</w:t>
      </w:r>
      <w:r w:rsidR="00BF059B" w:rsidRPr="00EE60F3">
        <w:t xml:space="preserve"> </w:t>
      </w:r>
      <w:r w:rsidRPr="00EE60F3">
        <w:t>are</w:t>
      </w:r>
      <w:r w:rsidR="00BF059B" w:rsidRPr="00EE60F3">
        <w:t xml:space="preserve"> </w:t>
      </w:r>
      <w:r w:rsidRPr="00EE60F3">
        <w:t>measured</w:t>
      </w:r>
      <w:r w:rsidR="00BF059B" w:rsidRPr="00EE60F3">
        <w:t xml:space="preserve"> </w:t>
      </w:r>
      <w:r w:rsidRPr="00EE60F3">
        <w:t>at</w:t>
      </w:r>
      <w:r w:rsidR="00BF059B" w:rsidRPr="00EE60F3">
        <w:t xml:space="preserve"> </w:t>
      </w:r>
      <w:r w:rsidRPr="00EE60F3">
        <w:t>cost.</w:t>
      </w:r>
      <w:r w:rsidR="00BF059B" w:rsidRPr="00EE60F3">
        <w:t xml:space="preserve"> </w:t>
      </w:r>
      <w:r w:rsidRPr="00EE60F3">
        <w:t>Amortisation</w:t>
      </w:r>
      <w:r w:rsidR="00BF059B" w:rsidRPr="00EE60F3">
        <w:t xml:space="preserve"> </w:t>
      </w:r>
      <w:r w:rsidRPr="00EE60F3">
        <w:t>is</w:t>
      </w:r>
      <w:r w:rsidR="00BF059B" w:rsidRPr="00EE60F3">
        <w:t xml:space="preserve"> </w:t>
      </w:r>
      <w:r w:rsidRPr="00EE60F3">
        <w:t>provided</w:t>
      </w:r>
      <w:r w:rsidR="00BF059B" w:rsidRPr="00EE60F3">
        <w:t xml:space="preserve"> </w:t>
      </w:r>
      <w:r w:rsidRPr="00EE60F3">
        <w:t>on</w:t>
      </w:r>
      <w:r w:rsidR="00BF059B" w:rsidRPr="00EE60F3">
        <w:t xml:space="preserve"> </w:t>
      </w:r>
      <w:r w:rsidRPr="00EE60F3">
        <w:t>all</w:t>
      </w:r>
      <w:r w:rsidR="00BF059B" w:rsidRPr="00EE60F3">
        <w:t xml:space="preserve"> </w:t>
      </w:r>
      <w:r w:rsidRPr="00EE60F3">
        <w:t>intangible</w:t>
      </w:r>
      <w:r w:rsidR="00BF059B" w:rsidRPr="00EE60F3">
        <w:t xml:space="preserve"> </w:t>
      </w:r>
      <w:r w:rsidRPr="00EE60F3">
        <w:t>assets,</w:t>
      </w:r>
      <w:r w:rsidR="00BF059B" w:rsidRPr="00EE60F3">
        <w:t xml:space="preserve"> </w:t>
      </w:r>
      <w:r w:rsidRPr="00EE60F3">
        <w:t>at</w:t>
      </w:r>
      <w:r w:rsidR="00BF059B" w:rsidRPr="00EE60F3">
        <w:t xml:space="preserve"> </w:t>
      </w:r>
      <w:r w:rsidRPr="00EE60F3">
        <w:t>rates</w:t>
      </w:r>
      <w:r w:rsidR="00BF059B" w:rsidRPr="00EE60F3">
        <w:t xml:space="preserve"> </w:t>
      </w:r>
      <w:r w:rsidRPr="00EE60F3">
        <w:t>calculated</w:t>
      </w:r>
      <w:r w:rsidR="00BF059B" w:rsidRPr="00EE60F3">
        <w:t xml:space="preserve"> </w:t>
      </w:r>
      <w:r w:rsidRPr="00EE60F3">
        <w:t>to</w:t>
      </w:r>
      <w:r w:rsidR="00BF059B" w:rsidRPr="00EE60F3">
        <w:t xml:space="preserve"> </w:t>
      </w:r>
      <w:r w:rsidRPr="00EE60F3">
        <w:t>write</w:t>
      </w:r>
      <w:r w:rsidR="00BF059B" w:rsidRPr="00EE60F3">
        <w:t xml:space="preserve"> </w:t>
      </w:r>
      <w:r w:rsidRPr="00EE60F3">
        <w:t>off</w:t>
      </w:r>
      <w:r w:rsidR="00BF059B" w:rsidRPr="00EE60F3">
        <w:t xml:space="preserve"> </w:t>
      </w:r>
      <w:r w:rsidRPr="00EE60F3">
        <w:t>the</w:t>
      </w:r>
      <w:r w:rsidR="00BF059B" w:rsidRPr="00EE60F3">
        <w:t xml:space="preserve"> </w:t>
      </w:r>
      <w:r w:rsidRPr="00EE60F3">
        <w:t>value</w:t>
      </w:r>
      <w:r w:rsidR="00BF059B" w:rsidRPr="00EE60F3">
        <w:t xml:space="preserve"> </w:t>
      </w:r>
      <w:r w:rsidRPr="00EE60F3">
        <w:t>of</w:t>
      </w:r>
      <w:r w:rsidR="00BF059B" w:rsidRPr="00EE60F3">
        <w:t xml:space="preserve"> </w:t>
      </w:r>
      <w:r w:rsidRPr="00EE60F3">
        <w:t>each</w:t>
      </w:r>
      <w:r w:rsidR="00BF059B" w:rsidRPr="00EE60F3">
        <w:t xml:space="preserve"> </w:t>
      </w:r>
      <w:r w:rsidRPr="00EE60F3">
        <w:t>asset</w:t>
      </w:r>
      <w:r w:rsidR="00BF059B" w:rsidRPr="00EE60F3">
        <w:t xml:space="preserve"> </w:t>
      </w:r>
      <w:r w:rsidRPr="00EE60F3">
        <w:t>evenly</w:t>
      </w:r>
      <w:r w:rsidR="00BF059B" w:rsidRPr="00EE60F3">
        <w:t xml:space="preserve"> </w:t>
      </w:r>
      <w:r w:rsidRPr="00EE60F3">
        <w:t>over</w:t>
      </w:r>
      <w:r w:rsidR="00BF059B" w:rsidRPr="00EE60F3">
        <w:t xml:space="preserve"> </w:t>
      </w:r>
      <w:r w:rsidRPr="00EE60F3">
        <w:t>its</w:t>
      </w:r>
      <w:r w:rsidR="00BF059B" w:rsidRPr="00EE60F3">
        <w:t xml:space="preserve"> </w:t>
      </w:r>
      <w:r w:rsidRPr="00EE60F3">
        <w:t>expected</w:t>
      </w:r>
      <w:r w:rsidR="00BF059B" w:rsidRPr="00EE60F3">
        <w:t xml:space="preserve"> </w:t>
      </w:r>
      <w:r w:rsidRPr="00EE60F3">
        <w:t>useful</w:t>
      </w:r>
      <w:r w:rsidR="00BF059B" w:rsidRPr="00EE60F3">
        <w:t xml:space="preserve"> </w:t>
      </w:r>
      <w:r w:rsidRPr="00EE60F3">
        <w:t>life</w:t>
      </w:r>
      <w:r w:rsidR="00BF059B" w:rsidRPr="00EE60F3">
        <w:t xml:space="preserve"> </w:t>
      </w:r>
      <w:r w:rsidRPr="00EE60F3">
        <w:t>with</w:t>
      </w:r>
      <w:r w:rsidR="00BF059B" w:rsidRPr="00EE60F3">
        <w:t xml:space="preserve"> </w:t>
      </w:r>
      <w:r w:rsidRPr="00EE60F3">
        <w:t>no</w:t>
      </w:r>
      <w:r w:rsidR="00BF059B" w:rsidRPr="00EE60F3">
        <w:t xml:space="preserve"> </w:t>
      </w:r>
      <w:r w:rsidRPr="00EE60F3">
        <w:t>residual</w:t>
      </w:r>
      <w:r w:rsidR="00BF059B" w:rsidRPr="00EE60F3">
        <w:t xml:space="preserve"> </w:t>
      </w:r>
      <w:r w:rsidRPr="00EE60F3">
        <w:t>value</w:t>
      </w:r>
      <w:r w:rsidR="00BF059B" w:rsidRPr="00EE60F3">
        <w:t xml:space="preserve"> </w:t>
      </w:r>
      <w:r w:rsidRPr="00EE60F3">
        <w:t>assumed.</w:t>
      </w:r>
      <w:r w:rsidR="00BF059B" w:rsidRPr="00EE60F3">
        <w:t xml:space="preserve"> </w:t>
      </w:r>
      <w:r w:rsidRPr="00EE60F3">
        <w:t>A</w:t>
      </w:r>
      <w:r w:rsidR="00BF059B" w:rsidRPr="00EE60F3">
        <w:t xml:space="preserve"> </w:t>
      </w:r>
      <w:r w:rsidRPr="00EE60F3">
        <w:t>full</w:t>
      </w:r>
      <w:r w:rsidR="00BF059B" w:rsidRPr="00EE60F3">
        <w:t xml:space="preserve"> </w:t>
      </w:r>
      <w:r w:rsidRPr="00EE60F3">
        <w:t>year</w:t>
      </w:r>
      <w:r w:rsidR="00BF059B" w:rsidRPr="00EE60F3">
        <w:t xml:space="preserve"> </w:t>
      </w:r>
      <w:r w:rsidRPr="00EE60F3">
        <w:t>of</w:t>
      </w:r>
      <w:r w:rsidR="00BF059B" w:rsidRPr="00EE60F3">
        <w:t xml:space="preserve"> </w:t>
      </w:r>
      <w:r w:rsidRPr="00EE60F3">
        <w:t>amortisation</w:t>
      </w:r>
      <w:r w:rsidR="00BF059B" w:rsidRPr="00EE60F3">
        <w:t xml:space="preserve"> </w:t>
      </w:r>
      <w:r w:rsidRPr="00EE60F3">
        <w:t>is</w:t>
      </w:r>
      <w:r w:rsidR="00BF059B" w:rsidRPr="00EE60F3">
        <w:t xml:space="preserve"> </w:t>
      </w:r>
      <w:r w:rsidRPr="00EE60F3">
        <w:t>charged</w:t>
      </w:r>
      <w:r w:rsidR="00BF059B" w:rsidRPr="00EE60F3">
        <w:t xml:space="preserve"> </w:t>
      </w:r>
      <w:r w:rsidRPr="00EE60F3">
        <w:t>in</w:t>
      </w:r>
      <w:r w:rsidR="00BF059B" w:rsidRPr="00EE60F3">
        <w:t xml:space="preserve"> </w:t>
      </w:r>
      <w:r w:rsidRPr="00EE60F3">
        <w:t>the</w:t>
      </w:r>
      <w:r w:rsidR="00BF059B" w:rsidRPr="00EE60F3">
        <w:t xml:space="preserve"> </w:t>
      </w:r>
      <w:r w:rsidRPr="00EE60F3">
        <w:t>year</w:t>
      </w:r>
      <w:r w:rsidR="00BF059B" w:rsidRPr="00EE60F3">
        <w:t xml:space="preserve"> </w:t>
      </w:r>
      <w:r w:rsidRPr="00EE60F3">
        <w:t>when</w:t>
      </w:r>
      <w:r w:rsidR="00BF059B" w:rsidRPr="00EE60F3">
        <w:t xml:space="preserve"> </w:t>
      </w:r>
      <w:r w:rsidRPr="00EE60F3">
        <w:t>the</w:t>
      </w:r>
      <w:r w:rsidR="00BF059B" w:rsidRPr="00EE60F3">
        <w:t xml:space="preserve"> </w:t>
      </w:r>
      <w:r w:rsidRPr="00EE60F3">
        <w:t>asset</w:t>
      </w:r>
      <w:r w:rsidR="00BF059B" w:rsidRPr="00EE60F3">
        <w:t xml:space="preserve"> </w:t>
      </w:r>
      <w:r w:rsidRPr="00EE60F3">
        <w:t>is</w:t>
      </w:r>
      <w:r w:rsidR="00BF059B" w:rsidRPr="00EE60F3">
        <w:t xml:space="preserve"> </w:t>
      </w:r>
      <w:r w:rsidRPr="00EE60F3">
        <w:t>ready</w:t>
      </w:r>
      <w:r w:rsidR="00BF059B" w:rsidRPr="00EE60F3">
        <w:t xml:space="preserve"> </w:t>
      </w:r>
      <w:r w:rsidRPr="00EE60F3">
        <w:t>for</w:t>
      </w:r>
      <w:r w:rsidR="00BF059B" w:rsidRPr="00EE60F3">
        <w:t xml:space="preserve"> </w:t>
      </w:r>
      <w:proofErr w:type="gramStart"/>
      <w:r w:rsidRPr="00EE60F3">
        <w:t>use</w:t>
      </w:r>
      <w:proofErr w:type="gramEnd"/>
      <w:r w:rsidR="00BF059B" w:rsidRPr="00EE60F3">
        <w:t xml:space="preserve"> </w:t>
      </w:r>
      <w:r w:rsidRPr="00EE60F3">
        <w:t>and</w:t>
      </w:r>
      <w:r w:rsidR="00BF059B" w:rsidRPr="00EE60F3">
        <w:t xml:space="preserve"> </w:t>
      </w:r>
      <w:r w:rsidRPr="00EE60F3">
        <w:t>no</w:t>
      </w:r>
      <w:r w:rsidR="00BF059B" w:rsidRPr="00EE60F3">
        <w:t xml:space="preserve"> </w:t>
      </w:r>
      <w:r w:rsidRPr="00EE60F3">
        <w:t>amortisation</w:t>
      </w:r>
      <w:r w:rsidR="00BF059B" w:rsidRPr="00EE60F3">
        <w:t xml:space="preserve"> </w:t>
      </w:r>
      <w:r w:rsidRPr="00EE60F3">
        <w:t>is</w:t>
      </w:r>
      <w:r w:rsidR="00BF059B" w:rsidRPr="00EE60F3">
        <w:t xml:space="preserve"> </w:t>
      </w:r>
      <w:r w:rsidRPr="00EE60F3">
        <w:t>charged</w:t>
      </w:r>
      <w:r w:rsidR="00BF059B" w:rsidRPr="00EE60F3">
        <w:t xml:space="preserve"> </w:t>
      </w:r>
      <w:r w:rsidRPr="00EE60F3">
        <w:t>in</w:t>
      </w:r>
      <w:r w:rsidR="00BF059B" w:rsidRPr="00EE60F3">
        <w:t xml:space="preserve"> </w:t>
      </w:r>
      <w:r w:rsidRPr="00EE60F3">
        <w:t>the</w:t>
      </w:r>
      <w:r w:rsidR="00BF059B" w:rsidRPr="00EE60F3">
        <w:t xml:space="preserve"> </w:t>
      </w:r>
      <w:r w:rsidRPr="00EE60F3">
        <w:t>year</w:t>
      </w:r>
      <w:r w:rsidR="00BF059B" w:rsidRPr="00EE60F3">
        <w:t xml:space="preserve"> </w:t>
      </w:r>
      <w:r w:rsidRPr="00EE60F3">
        <w:t>of</w:t>
      </w:r>
      <w:r w:rsidR="00BF059B" w:rsidRPr="00EE60F3">
        <w:t xml:space="preserve"> </w:t>
      </w:r>
      <w:r w:rsidRPr="00EE60F3">
        <w:t>disposal.</w:t>
      </w:r>
      <w:r w:rsidR="00BF059B" w:rsidRPr="00EE60F3">
        <w:t xml:space="preserve"> </w:t>
      </w:r>
    </w:p>
    <w:p w14:paraId="4470388D" w14:textId="77777777" w:rsidR="00BE13A8" w:rsidRPr="00EE60F3" w:rsidRDefault="00BE13A8" w:rsidP="00EE60F3"/>
    <w:p w14:paraId="203646C7" w14:textId="3F189F89" w:rsidR="00BE13A8" w:rsidRPr="00EE60F3" w:rsidRDefault="00D70530" w:rsidP="00EE60F3">
      <w:r w:rsidRPr="00EE60F3">
        <w:t>Impairment</w:t>
      </w:r>
      <w:r w:rsidR="00BF059B" w:rsidRPr="00EE60F3">
        <w:t xml:space="preserve"> </w:t>
      </w:r>
      <w:r w:rsidRPr="00EE60F3">
        <w:t>reviews</w:t>
      </w:r>
      <w:r w:rsidR="00BF059B" w:rsidRPr="00EE60F3">
        <w:t xml:space="preserve"> </w:t>
      </w:r>
      <w:r w:rsidRPr="00EE60F3">
        <w:t>are</w:t>
      </w:r>
      <w:r w:rsidR="00BF059B" w:rsidRPr="00EE60F3">
        <w:t xml:space="preserve"> </w:t>
      </w:r>
      <w:r w:rsidRPr="00EE60F3">
        <w:t>carried</w:t>
      </w:r>
      <w:r w:rsidR="00BF059B" w:rsidRPr="00EE60F3">
        <w:t xml:space="preserve"> </w:t>
      </w:r>
      <w:r w:rsidRPr="00EE60F3">
        <w:t>out</w:t>
      </w:r>
      <w:r w:rsidR="00BF059B" w:rsidRPr="00EE60F3">
        <w:t xml:space="preserve"> </w:t>
      </w:r>
      <w:r w:rsidRPr="00EE60F3">
        <w:t>at</w:t>
      </w:r>
      <w:r w:rsidR="00BF059B" w:rsidRPr="00EE60F3">
        <w:t xml:space="preserve"> </w:t>
      </w:r>
      <w:r w:rsidRPr="00EE60F3">
        <w:t>the</w:t>
      </w:r>
      <w:r w:rsidR="00BF059B" w:rsidRPr="00EE60F3">
        <w:t xml:space="preserve"> </w:t>
      </w:r>
      <w:r w:rsidRPr="00EE60F3">
        <w:t>end</w:t>
      </w:r>
      <w:r w:rsidR="00BF059B" w:rsidRPr="00EE60F3">
        <w:t xml:space="preserve"> </w:t>
      </w:r>
      <w:r w:rsidRPr="00EE60F3">
        <w:t>of</w:t>
      </w:r>
      <w:r w:rsidR="00BF059B" w:rsidRPr="00EE60F3">
        <w:t xml:space="preserve"> </w:t>
      </w:r>
      <w:r w:rsidRPr="00EE60F3">
        <w:t>each</w:t>
      </w:r>
      <w:r w:rsidR="00BF059B" w:rsidRPr="00EE60F3">
        <w:t xml:space="preserve"> </w:t>
      </w:r>
      <w:r w:rsidRPr="00EE60F3">
        <w:t>reporting</w:t>
      </w:r>
      <w:r w:rsidR="00BF059B" w:rsidRPr="00EE60F3">
        <w:t xml:space="preserve"> </w:t>
      </w:r>
      <w:r w:rsidRPr="00EE60F3">
        <w:t>period</w:t>
      </w:r>
      <w:r w:rsidR="00BF059B" w:rsidRPr="00EE60F3">
        <w:t xml:space="preserve"> </w:t>
      </w:r>
      <w:r w:rsidRPr="00EE60F3">
        <w:t>in</w:t>
      </w:r>
      <w:r w:rsidR="00BF059B" w:rsidRPr="00EE60F3">
        <w:t xml:space="preserve"> </w:t>
      </w:r>
      <w:r w:rsidRPr="00EE60F3">
        <w:t>accordance</w:t>
      </w:r>
      <w:r w:rsidR="00BF059B" w:rsidRPr="00EE60F3">
        <w:t xml:space="preserve"> </w:t>
      </w:r>
      <w:r w:rsidRPr="00EE60F3">
        <w:t>with</w:t>
      </w:r>
      <w:r w:rsidR="00BF059B" w:rsidRPr="00EE60F3">
        <w:t xml:space="preserve"> </w:t>
      </w:r>
      <w:r w:rsidRPr="00EE60F3">
        <w:t>FRS102</w:t>
      </w:r>
      <w:r w:rsidR="00BF059B" w:rsidRPr="00EE60F3">
        <w:t xml:space="preserve"> </w:t>
      </w:r>
      <w:r w:rsidRPr="00EE60F3">
        <w:t>to</w:t>
      </w:r>
      <w:r w:rsidR="00BF059B" w:rsidRPr="00EE60F3">
        <w:t xml:space="preserve"> </w:t>
      </w:r>
      <w:r w:rsidRPr="00EE60F3">
        <w:t>ensure</w:t>
      </w:r>
      <w:r w:rsidR="00BF059B" w:rsidRPr="00EE60F3">
        <w:t xml:space="preserve"> </w:t>
      </w:r>
      <w:r w:rsidRPr="00EE60F3">
        <w:t>that</w:t>
      </w:r>
      <w:r w:rsidR="00BF059B" w:rsidRPr="00EE60F3">
        <w:t xml:space="preserve"> </w:t>
      </w:r>
      <w:r w:rsidRPr="00EE60F3">
        <w:t>the</w:t>
      </w:r>
      <w:r w:rsidR="00BF059B" w:rsidRPr="00EE60F3">
        <w:t xml:space="preserve"> </w:t>
      </w:r>
      <w:r w:rsidRPr="00EE60F3">
        <w:t>carrying</w:t>
      </w:r>
      <w:r w:rsidR="00BF059B" w:rsidRPr="00EE60F3">
        <w:t xml:space="preserve"> </w:t>
      </w:r>
      <w:r w:rsidRPr="00EE60F3">
        <w:t>values</w:t>
      </w:r>
      <w:r w:rsidR="00BF059B" w:rsidRPr="00EE60F3">
        <w:t xml:space="preserve"> </w:t>
      </w:r>
      <w:r w:rsidRPr="00EE60F3">
        <w:t>of</w:t>
      </w:r>
      <w:r w:rsidR="00BF059B" w:rsidRPr="00EE60F3">
        <w:t xml:space="preserve"> </w:t>
      </w:r>
      <w:r w:rsidRPr="00EE60F3">
        <w:t>the</w:t>
      </w:r>
      <w:r w:rsidR="00BF059B" w:rsidRPr="00EE60F3">
        <w:t xml:space="preserve"> </w:t>
      </w:r>
      <w:r w:rsidRPr="00EE60F3">
        <w:t>assets</w:t>
      </w:r>
      <w:r w:rsidR="00BF059B" w:rsidRPr="00EE60F3">
        <w:t xml:space="preserve"> </w:t>
      </w:r>
      <w:r w:rsidRPr="00EE60F3">
        <w:t>do</w:t>
      </w:r>
      <w:r w:rsidR="00BF059B" w:rsidRPr="00EE60F3">
        <w:t xml:space="preserve"> </w:t>
      </w:r>
      <w:r w:rsidRPr="00EE60F3">
        <w:t>not</w:t>
      </w:r>
      <w:r w:rsidR="00BF059B" w:rsidRPr="00EE60F3">
        <w:t xml:space="preserve"> </w:t>
      </w:r>
      <w:r w:rsidRPr="00EE60F3">
        <w:t>exceed</w:t>
      </w:r>
      <w:r w:rsidR="00BF059B" w:rsidRPr="00EE60F3">
        <w:t xml:space="preserve"> </w:t>
      </w:r>
      <w:r w:rsidRPr="00EE60F3">
        <w:t>their</w:t>
      </w:r>
      <w:r w:rsidR="00BF059B" w:rsidRPr="00EE60F3">
        <w:t xml:space="preserve"> </w:t>
      </w:r>
      <w:r w:rsidRPr="00EE60F3">
        <w:t>recoverable</w:t>
      </w:r>
      <w:r w:rsidR="00BF059B" w:rsidRPr="00EE60F3">
        <w:t xml:space="preserve"> </w:t>
      </w:r>
      <w:r w:rsidRPr="00EE60F3">
        <w:t>amounts.</w:t>
      </w:r>
    </w:p>
    <w:p w14:paraId="5D45F3B1" w14:textId="77777777" w:rsidR="00BE13A8" w:rsidRPr="00EE60F3" w:rsidRDefault="00BE13A8" w:rsidP="00EE60F3"/>
    <w:p w14:paraId="5FA2BE5E" w14:textId="0DEC6748" w:rsidR="00BE13A8" w:rsidRPr="00EE60F3" w:rsidRDefault="00D70530" w:rsidP="00EE60F3">
      <w:pPr>
        <w:pStyle w:val="Heading4"/>
      </w:pPr>
      <w:r w:rsidRPr="00EE60F3">
        <w:t>k)</w:t>
      </w:r>
      <w:r w:rsidR="00BF059B" w:rsidRPr="00EE60F3">
        <w:t xml:space="preserve"> </w:t>
      </w:r>
      <w:r w:rsidRPr="00EE60F3">
        <w:t>Other</w:t>
      </w:r>
      <w:r w:rsidR="00BF059B" w:rsidRPr="00EE60F3">
        <w:t xml:space="preserve"> </w:t>
      </w:r>
      <w:r w:rsidRPr="00EE60F3">
        <w:t>financial</w:t>
      </w:r>
      <w:r w:rsidR="00BF059B" w:rsidRPr="00EE60F3">
        <w:t xml:space="preserve"> </w:t>
      </w:r>
      <w:r w:rsidRPr="00EE60F3">
        <w:t>instruments</w:t>
      </w:r>
    </w:p>
    <w:p w14:paraId="016DF9AA" w14:textId="23ACCA96" w:rsidR="00BE13A8" w:rsidRPr="00EE60F3" w:rsidRDefault="00D70530" w:rsidP="00EE60F3">
      <w:pPr>
        <w:ind w:left="284" w:hanging="142"/>
      </w:pPr>
      <w:proofErr w:type="spellStart"/>
      <w:r w:rsidRPr="00EE60F3">
        <w:t>i</w:t>
      </w:r>
      <w:proofErr w:type="spellEnd"/>
      <w:r w:rsidRPr="00EE60F3">
        <w:t>)</w:t>
      </w:r>
      <w:r w:rsidR="00BF059B" w:rsidRPr="00EE60F3">
        <w:t xml:space="preserve"> </w:t>
      </w:r>
      <w:r w:rsidRPr="00EE60F3">
        <w:t>Cash</w:t>
      </w:r>
      <w:r w:rsidR="00BF059B" w:rsidRPr="00EE60F3">
        <w:t xml:space="preserve"> </w:t>
      </w:r>
      <w:r w:rsidRPr="00EE60F3">
        <w:t>and</w:t>
      </w:r>
      <w:r w:rsidR="00BF059B" w:rsidRPr="00EE60F3">
        <w:t xml:space="preserve"> </w:t>
      </w:r>
      <w:r w:rsidRPr="00EE60F3">
        <w:t>cash</w:t>
      </w:r>
      <w:r w:rsidR="00BF059B" w:rsidRPr="00EE60F3">
        <w:t xml:space="preserve"> </w:t>
      </w:r>
      <w:r w:rsidRPr="00EE60F3">
        <w:t>equivalents:</w:t>
      </w:r>
      <w:r w:rsidR="00BF059B" w:rsidRPr="00EE60F3">
        <w:t xml:space="preserve"> </w:t>
      </w:r>
      <w:r w:rsidRPr="00EE60F3">
        <w:t>Cash</w:t>
      </w:r>
      <w:r w:rsidR="00BF059B" w:rsidRPr="00EE60F3">
        <w:t xml:space="preserve"> </w:t>
      </w:r>
      <w:r w:rsidRPr="00EE60F3">
        <w:t>and</w:t>
      </w:r>
      <w:r w:rsidR="00BF059B" w:rsidRPr="00EE60F3">
        <w:t xml:space="preserve"> </w:t>
      </w:r>
      <w:r w:rsidRPr="00EE60F3">
        <w:t>cash</w:t>
      </w:r>
      <w:r w:rsidR="00BF059B" w:rsidRPr="00EE60F3">
        <w:t xml:space="preserve"> </w:t>
      </w:r>
      <w:r w:rsidRPr="00EE60F3">
        <w:t>equivalents</w:t>
      </w:r>
      <w:r w:rsidR="00BF059B" w:rsidRPr="00EE60F3">
        <w:t xml:space="preserve"> </w:t>
      </w:r>
      <w:r w:rsidRPr="00EE60F3">
        <w:t>include</w:t>
      </w:r>
      <w:r w:rsidR="00BF059B" w:rsidRPr="00EE60F3">
        <w:t xml:space="preserve"> </w:t>
      </w:r>
      <w:r w:rsidRPr="00EE60F3">
        <w:t>cash</w:t>
      </w:r>
      <w:r w:rsidR="00BF059B" w:rsidRPr="00EE60F3">
        <w:t xml:space="preserve"> </w:t>
      </w:r>
      <w:r w:rsidRPr="00EE60F3">
        <w:t>at</w:t>
      </w:r>
      <w:r w:rsidR="00BF059B" w:rsidRPr="00EE60F3">
        <w:t xml:space="preserve"> </w:t>
      </w:r>
      <w:r w:rsidRPr="00EE60F3">
        <w:t>banks</w:t>
      </w:r>
      <w:r w:rsidR="00BF059B" w:rsidRPr="00EE60F3">
        <w:t xml:space="preserve"> </w:t>
      </w:r>
      <w:r w:rsidRPr="00EE60F3">
        <w:t>and</w:t>
      </w:r>
      <w:r w:rsidR="00BF059B" w:rsidRPr="00EE60F3">
        <w:t xml:space="preserve"> </w:t>
      </w:r>
      <w:r w:rsidRPr="00EE60F3">
        <w:t>in</w:t>
      </w:r>
      <w:r w:rsidR="00BF059B" w:rsidRPr="00EE60F3">
        <w:t xml:space="preserve"> </w:t>
      </w:r>
      <w:r w:rsidRPr="00EE60F3">
        <w:t>hand</w:t>
      </w:r>
      <w:r w:rsidR="00BF059B" w:rsidRPr="00EE60F3">
        <w:t xml:space="preserve"> </w:t>
      </w:r>
      <w:r w:rsidRPr="00EE60F3">
        <w:t>and</w:t>
      </w:r>
      <w:r w:rsidR="00BF059B" w:rsidRPr="00EE60F3">
        <w:t xml:space="preserve"> </w:t>
      </w:r>
      <w:r w:rsidRPr="00EE60F3">
        <w:t>short-term</w:t>
      </w:r>
      <w:r w:rsidR="00BF059B" w:rsidRPr="00EE60F3">
        <w:t xml:space="preserve"> </w:t>
      </w:r>
      <w:r w:rsidRPr="00EE60F3">
        <w:t>deposits</w:t>
      </w:r>
      <w:r w:rsidR="00BF059B" w:rsidRPr="00EE60F3">
        <w:t xml:space="preserve"> </w:t>
      </w:r>
      <w:r w:rsidRPr="00EE60F3">
        <w:t>with</w:t>
      </w:r>
      <w:r w:rsidR="00BF059B" w:rsidRPr="00EE60F3">
        <w:t xml:space="preserve"> </w:t>
      </w:r>
      <w:r w:rsidRPr="00EE60F3">
        <w:t>a</w:t>
      </w:r>
      <w:r w:rsidR="00BF059B" w:rsidRPr="00EE60F3">
        <w:t xml:space="preserve"> </w:t>
      </w:r>
      <w:r w:rsidRPr="00EE60F3">
        <w:t>maturity</w:t>
      </w:r>
      <w:r w:rsidR="00BF059B" w:rsidRPr="00EE60F3">
        <w:t xml:space="preserve"> </w:t>
      </w:r>
      <w:r w:rsidRPr="00EE60F3">
        <w:t>date</w:t>
      </w:r>
      <w:r w:rsidR="00BF059B" w:rsidRPr="00EE60F3">
        <w:t xml:space="preserve"> </w:t>
      </w:r>
      <w:r w:rsidRPr="00EE60F3">
        <w:t>of</w:t>
      </w:r>
      <w:r w:rsidR="00BF059B" w:rsidRPr="00EE60F3">
        <w:t xml:space="preserve"> </w:t>
      </w:r>
      <w:r w:rsidRPr="00EE60F3">
        <w:t>three</w:t>
      </w:r>
      <w:r w:rsidR="00BF059B" w:rsidRPr="00EE60F3">
        <w:t xml:space="preserve"> </w:t>
      </w:r>
      <w:r w:rsidRPr="00EE60F3">
        <w:t>months</w:t>
      </w:r>
      <w:r w:rsidR="00BF059B" w:rsidRPr="00EE60F3">
        <w:t xml:space="preserve"> </w:t>
      </w:r>
      <w:r w:rsidRPr="00EE60F3">
        <w:t>or</w:t>
      </w:r>
      <w:r w:rsidR="00BF059B" w:rsidRPr="00EE60F3">
        <w:t xml:space="preserve"> </w:t>
      </w:r>
      <w:r w:rsidRPr="00EE60F3">
        <w:t>less.</w:t>
      </w:r>
    </w:p>
    <w:p w14:paraId="730F963E" w14:textId="39F2FDFD" w:rsidR="00BE13A8" w:rsidRPr="00EE60F3" w:rsidRDefault="00D70530" w:rsidP="00EE60F3">
      <w:pPr>
        <w:ind w:left="284" w:hanging="142"/>
      </w:pPr>
      <w:r w:rsidRPr="00EE60F3">
        <w:t>ii)</w:t>
      </w:r>
      <w:r w:rsidR="00BF059B" w:rsidRPr="00EE60F3">
        <w:t xml:space="preserve"> </w:t>
      </w:r>
      <w:r w:rsidRPr="00EE60F3">
        <w:t>Debtors</w:t>
      </w:r>
      <w:r w:rsidR="00BF059B" w:rsidRPr="00EE60F3">
        <w:t xml:space="preserve"> </w:t>
      </w:r>
      <w:r w:rsidRPr="00EE60F3">
        <w:t>and</w:t>
      </w:r>
      <w:r w:rsidR="00BF059B" w:rsidRPr="00EE60F3">
        <w:t xml:space="preserve"> </w:t>
      </w:r>
      <w:r w:rsidRPr="00EE60F3">
        <w:t>creditors:</w:t>
      </w:r>
      <w:r w:rsidR="00BF059B" w:rsidRPr="00EE60F3">
        <w:t xml:space="preserve"> </w:t>
      </w:r>
      <w:r w:rsidRPr="00EE60F3">
        <w:t>Debtors</w:t>
      </w:r>
      <w:r w:rsidR="00BF059B" w:rsidRPr="00EE60F3">
        <w:t xml:space="preserve"> </w:t>
      </w:r>
      <w:r w:rsidRPr="00EE60F3">
        <w:t>and</w:t>
      </w:r>
      <w:r w:rsidR="00BF059B" w:rsidRPr="00EE60F3">
        <w:t xml:space="preserve"> </w:t>
      </w:r>
      <w:r w:rsidRPr="00EE60F3">
        <w:t>creditors</w:t>
      </w:r>
      <w:r w:rsidR="00BF059B" w:rsidRPr="00EE60F3">
        <w:t xml:space="preserve"> </w:t>
      </w:r>
      <w:r w:rsidRPr="00EE60F3">
        <w:t>receivable</w:t>
      </w:r>
      <w:r w:rsidR="00BF059B" w:rsidRPr="00EE60F3">
        <w:t xml:space="preserve"> </w:t>
      </w:r>
      <w:r w:rsidRPr="00EE60F3">
        <w:t>or</w:t>
      </w:r>
      <w:r w:rsidR="00BF059B" w:rsidRPr="00EE60F3">
        <w:t xml:space="preserve"> </w:t>
      </w:r>
      <w:r w:rsidRPr="00EE60F3">
        <w:t>payable</w:t>
      </w:r>
      <w:r w:rsidR="00BF059B" w:rsidRPr="00EE60F3">
        <w:t xml:space="preserve"> </w:t>
      </w:r>
      <w:r w:rsidRPr="00EE60F3">
        <w:t>within</w:t>
      </w:r>
      <w:r w:rsidR="00BF059B" w:rsidRPr="00EE60F3">
        <w:t xml:space="preserve"> </w:t>
      </w:r>
      <w:r w:rsidRPr="00EE60F3">
        <w:t>one</w:t>
      </w:r>
      <w:r w:rsidR="00BF059B" w:rsidRPr="00EE60F3">
        <w:t xml:space="preserve"> </w:t>
      </w:r>
      <w:r w:rsidRPr="00EE60F3">
        <w:t>year</w:t>
      </w:r>
      <w:r w:rsidR="00BF059B" w:rsidRPr="00EE60F3">
        <w:t xml:space="preserve"> </w:t>
      </w:r>
      <w:r w:rsidRPr="00EE60F3">
        <w:t>of</w:t>
      </w:r>
      <w:r w:rsidR="00BF059B" w:rsidRPr="00EE60F3">
        <w:t xml:space="preserve"> </w:t>
      </w:r>
      <w:r w:rsidRPr="00EE60F3">
        <w:t>the</w:t>
      </w:r>
      <w:r w:rsidR="00BF059B" w:rsidRPr="00EE60F3">
        <w:t xml:space="preserve"> </w:t>
      </w:r>
      <w:r w:rsidRPr="00EE60F3">
        <w:t>reporting</w:t>
      </w:r>
      <w:r w:rsidR="00BF059B" w:rsidRPr="00EE60F3">
        <w:t xml:space="preserve"> </w:t>
      </w:r>
      <w:r w:rsidRPr="00EE60F3">
        <w:t>date</w:t>
      </w:r>
      <w:r w:rsidR="00BF059B" w:rsidRPr="00EE60F3">
        <w:t xml:space="preserve"> </w:t>
      </w:r>
      <w:r w:rsidRPr="00EE60F3">
        <w:t>are</w:t>
      </w:r>
      <w:r w:rsidR="00BF059B" w:rsidRPr="00EE60F3">
        <w:t xml:space="preserve"> </w:t>
      </w:r>
      <w:r w:rsidRPr="00EE60F3">
        <w:t>carried</w:t>
      </w:r>
      <w:r w:rsidR="00BF059B" w:rsidRPr="00EE60F3">
        <w:t xml:space="preserve"> </w:t>
      </w:r>
      <w:r w:rsidRPr="00EE60F3">
        <w:t>at</w:t>
      </w:r>
      <w:r w:rsidR="00BF059B" w:rsidRPr="00EE60F3">
        <w:t xml:space="preserve"> </w:t>
      </w:r>
      <w:r w:rsidRPr="00EE60F3">
        <w:t>their</w:t>
      </w:r>
      <w:r w:rsidR="00BF059B" w:rsidRPr="00EE60F3">
        <w:t xml:space="preserve"> </w:t>
      </w:r>
      <w:r w:rsidRPr="00EE60F3">
        <w:t>transaction</w:t>
      </w:r>
      <w:r w:rsidR="00BF059B" w:rsidRPr="00EE60F3">
        <w:t xml:space="preserve"> </w:t>
      </w:r>
      <w:r w:rsidRPr="00EE60F3">
        <w:t>price.</w:t>
      </w:r>
      <w:r w:rsidR="00BF059B" w:rsidRPr="00EE60F3">
        <w:t xml:space="preserve"> </w:t>
      </w:r>
      <w:r w:rsidRPr="00EE60F3">
        <w:t>Debtors</w:t>
      </w:r>
      <w:r w:rsidR="00BF059B" w:rsidRPr="00EE60F3">
        <w:t xml:space="preserve"> </w:t>
      </w:r>
      <w:r w:rsidRPr="00EE60F3">
        <w:t>and</w:t>
      </w:r>
      <w:r w:rsidR="00BF059B" w:rsidRPr="00EE60F3">
        <w:t xml:space="preserve"> </w:t>
      </w:r>
      <w:r w:rsidRPr="00EE60F3">
        <w:t>creditors</w:t>
      </w:r>
      <w:r w:rsidR="00BF059B" w:rsidRPr="00EE60F3">
        <w:t xml:space="preserve"> </w:t>
      </w:r>
      <w:r w:rsidRPr="00EE60F3">
        <w:t>that</w:t>
      </w:r>
      <w:r w:rsidR="00BF059B" w:rsidRPr="00EE60F3">
        <w:t xml:space="preserve"> </w:t>
      </w:r>
      <w:r w:rsidRPr="00EE60F3">
        <w:t>are</w:t>
      </w:r>
      <w:r w:rsidR="00BF059B" w:rsidRPr="00EE60F3">
        <w:t xml:space="preserve"> </w:t>
      </w:r>
      <w:r w:rsidRPr="00EE60F3">
        <w:lastRenderedPageBreak/>
        <w:t>receivable</w:t>
      </w:r>
      <w:r w:rsidR="00BF059B" w:rsidRPr="00EE60F3">
        <w:t xml:space="preserve"> </w:t>
      </w:r>
      <w:r w:rsidRPr="00EE60F3">
        <w:t>or</w:t>
      </w:r>
      <w:r w:rsidR="00BF059B" w:rsidRPr="00EE60F3">
        <w:t xml:space="preserve"> </w:t>
      </w:r>
      <w:r w:rsidRPr="00EE60F3">
        <w:t>payable</w:t>
      </w:r>
      <w:r w:rsidR="00BF059B" w:rsidRPr="00EE60F3">
        <w:t xml:space="preserve"> </w:t>
      </w:r>
      <w:r w:rsidRPr="00EE60F3">
        <w:t>in</w:t>
      </w:r>
      <w:r w:rsidR="00BF059B" w:rsidRPr="00EE60F3">
        <w:t xml:space="preserve"> </w:t>
      </w:r>
      <w:r w:rsidRPr="00EE60F3">
        <w:t>more</w:t>
      </w:r>
      <w:r w:rsidR="00BF059B" w:rsidRPr="00EE60F3">
        <w:t xml:space="preserve"> </w:t>
      </w:r>
      <w:r w:rsidRPr="00EE60F3">
        <w:t>than</w:t>
      </w:r>
      <w:r w:rsidR="00BF059B" w:rsidRPr="00EE60F3">
        <w:t xml:space="preserve"> </w:t>
      </w:r>
      <w:r w:rsidRPr="00EE60F3">
        <w:t>one</w:t>
      </w:r>
      <w:r w:rsidR="00BF059B" w:rsidRPr="00EE60F3">
        <w:t xml:space="preserve"> </w:t>
      </w:r>
      <w:r w:rsidRPr="00EE60F3">
        <w:t>year</w:t>
      </w:r>
      <w:r w:rsidR="00BF059B" w:rsidRPr="00EE60F3">
        <w:t xml:space="preserve"> </w:t>
      </w:r>
      <w:r w:rsidRPr="00EE60F3">
        <w:t>and</w:t>
      </w:r>
      <w:r w:rsidR="00BF059B" w:rsidRPr="00EE60F3">
        <w:t xml:space="preserve"> </w:t>
      </w:r>
      <w:r w:rsidRPr="00EE60F3">
        <w:t>not</w:t>
      </w:r>
      <w:r w:rsidR="00BF059B" w:rsidRPr="00EE60F3">
        <w:t xml:space="preserve"> </w:t>
      </w:r>
      <w:r w:rsidRPr="00EE60F3">
        <w:t>subject</w:t>
      </w:r>
      <w:r w:rsidR="00BF059B" w:rsidRPr="00EE60F3">
        <w:t xml:space="preserve"> </w:t>
      </w:r>
      <w:r w:rsidRPr="00EE60F3">
        <w:t>to</w:t>
      </w:r>
      <w:r w:rsidR="00BF059B" w:rsidRPr="00EE60F3">
        <w:t xml:space="preserve"> </w:t>
      </w:r>
      <w:r w:rsidRPr="00EE60F3">
        <w:t>a</w:t>
      </w:r>
      <w:r w:rsidR="00BF059B" w:rsidRPr="00EE60F3">
        <w:t xml:space="preserve"> </w:t>
      </w:r>
      <w:r w:rsidRPr="00EE60F3">
        <w:t>market</w:t>
      </w:r>
      <w:r w:rsidR="00BF059B" w:rsidRPr="00EE60F3">
        <w:t xml:space="preserve"> </w:t>
      </w:r>
      <w:r w:rsidRPr="00EE60F3">
        <w:t>rate</w:t>
      </w:r>
      <w:r w:rsidR="00BF059B" w:rsidRPr="00EE60F3">
        <w:t xml:space="preserve"> </w:t>
      </w:r>
      <w:r w:rsidRPr="00EE60F3">
        <w:t>of</w:t>
      </w:r>
      <w:r w:rsidR="00BF059B" w:rsidRPr="00EE60F3">
        <w:t xml:space="preserve"> </w:t>
      </w:r>
      <w:r w:rsidRPr="00EE60F3">
        <w:t>interest</w:t>
      </w:r>
      <w:r w:rsidR="00BF059B" w:rsidRPr="00EE60F3">
        <w:t xml:space="preserve"> </w:t>
      </w:r>
      <w:r w:rsidRPr="00EE60F3">
        <w:t>are</w:t>
      </w:r>
      <w:r w:rsidR="00BF059B" w:rsidRPr="00EE60F3">
        <w:t xml:space="preserve"> </w:t>
      </w:r>
      <w:r w:rsidRPr="00EE60F3">
        <w:t>measured</w:t>
      </w:r>
      <w:r w:rsidR="00BF059B" w:rsidRPr="00EE60F3">
        <w:t xml:space="preserve"> </w:t>
      </w:r>
      <w:r w:rsidRPr="00EE60F3">
        <w:t>at</w:t>
      </w:r>
      <w:r w:rsidR="00BF059B" w:rsidRPr="00EE60F3">
        <w:t xml:space="preserve"> </w:t>
      </w:r>
      <w:r w:rsidRPr="00EE60F3">
        <w:t>the</w:t>
      </w:r>
      <w:r w:rsidR="00BF059B" w:rsidRPr="00EE60F3">
        <w:t xml:space="preserve"> </w:t>
      </w:r>
      <w:r w:rsidRPr="00EE60F3">
        <w:t>present</w:t>
      </w:r>
      <w:r w:rsidR="00BF059B" w:rsidRPr="00EE60F3">
        <w:t xml:space="preserve"> </w:t>
      </w:r>
      <w:r w:rsidRPr="00EE60F3">
        <w:t>value</w:t>
      </w:r>
      <w:r w:rsidR="00BF059B" w:rsidRPr="00EE60F3">
        <w:t xml:space="preserve"> </w:t>
      </w:r>
      <w:r w:rsidRPr="00EE60F3">
        <w:t>of</w:t>
      </w:r>
      <w:r w:rsidR="00BF059B" w:rsidRPr="00EE60F3">
        <w:t xml:space="preserve"> </w:t>
      </w:r>
      <w:r w:rsidRPr="00EE60F3">
        <w:t>the</w:t>
      </w:r>
      <w:r w:rsidR="00BF059B" w:rsidRPr="00EE60F3">
        <w:t xml:space="preserve"> </w:t>
      </w:r>
      <w:r w:rsidRPr="00EE60F3">
        <w:t>expected</w:t>
      </w:r>
      <w:r w:rsidR="00BF059B" w:rsidRPr="00EE60F3">
        <w:t xml:space="preserve"> </w:t>
      </w:r>
      <w:r w:rsidRPr="00EE60F3">
        <w:t>future</w:t>
      </w:r>
      <w:r w:rsidR="00BF059B" w:rsidRPr="00EE60F3">
        <w:t xml:space="preserve"> </w:t>
      </w:r>
      <w:r w:rsidRPr="00EE60F3">
        <w:t>receipts</w:t>
      </w:r>
      <w:r w:rsidR="00BF059B" w:rsidRPr="00EE60F3">
        <w:t xml:space="preserve"> </w:t>
      </w:r>
      <w:r w:rsidRPr="00EE60F3">
        <w:t>or</w:t>
      </w:r>
      <w:r w:rsidR="00BF059B" w:rsidRPr="00EE60F3">
        <w:t xml:space="preserve"> </w:t>
      </w:r>
      <w:r w:rsidRPr="00EE60F3">
        <w:t>payment</w:t>
      </w:r>
      <w:r w:rsidR="00BF059B" w:rsidRPr="00EE60F3">
        <w:t xml:space="preserve"> </w:t>
      </w:r>
      <w:r w:rsidRPr="00EE60F3">
        <w:t>discounted</w:t>
      </w:r>
      <w:r w:rsidR="00BF059B" w:rsidRPr="00EE60F3">
        <w:t xml:space="preserve"> </w:t>
      </w:r>
      <w:r w:rsidRPr="00EE60F3">
        <w:t>at</w:t>
      </w:r>
      <w:r w:rsidR="00BF059B" w:rsidRPr="00EE60F3">
        <w:t xml:space="preserve"> </w:t>
      </w:r>
      <w:r w:rsidRPr="00EE60F3">
        <w:t>a</w:t>
      </w:r>
      <w:r w:rsidR="00BF059B" w:rsidRPr="00EE60F3">
        <w:t xml:space="preserve"> </w:t>
      </w:r>
      <w:r w:rsidRPr="00EE60F3">
        <w:t>market</w:t>
      </w:r>
      <w:r w:rsidR="00BF059B" w:rsidRPr="00EE60F3">
        <w:t xml:space="preserve"> </w:t>
      </w:r>
      <w:r w:rsidRPr="00EE60F3">
        <w:t>rate</w:t>
      </w:r>
      <w:r w:rsidR="00BF059B" w:rsidRPr="00EE60F3">
        <w:t xml:space="preserve"> </w:t>
      </w:r>
      <w:r w:rsidRPr="00EE60F3">
        <w:t>of</w:t>
      </w:r>
      <w:r w:rsidR="00BF059B" w:rsidRPr="00EE60F3">
        <w:t xml:space="preserve"> </w:t>
      </w:r>
      <w:r w:rsidRPr="00EE60F3">
        <w:t>interest.</w:t>
      </w:r>
    </w:p>
    <w:p w14:paraId="3803BE2A" w14:textId="77777777" w:rsidR="00BE13A8" w:rsidRPr="00EE60F3" w:rsidRDefault="00BE13A8" w:rsidP="00EE60F3"/>
    <w:p w14:paraId="02A31705" w14:textId="3D02FB43" w:rsidR="00BE13A8" w:rsidRPr="00EE60F3" w:rsidRDefault="00D70530" w:rsidP="00EE60F3">
      <w:pPr>
        <w:pStyle w:val="Heading4"/>
      </w:pPr>
      <w:r w:rsidRPr="00EE60F3">
        <w:t>l)</w:t>
      </w:r>
      <w:r w:rsidR="00BF059B" w:rsidRPr="00EE60F3">
        <w:t xml:space="preserve"> </w:t>
      </w:r>
      <w:r w:rsidRPr="00EE60F3">
        <w:t>Pension</w:t>
      </w:r>
      <w:r w:rsidR="00BF059B" w:rsidRPr="00EE60F3">
        <w:t xml:space="preserve"> </w:t>
      </w:r>
      <w:r w:rsidRPr="00EE60F3">
        <w:t>costs</w:t>
      </w:r>
      <w:r w:rsidR="00BF059B" w:rsidRPr="00EE60F3">
        <w:t xml:space="preserve"> </w:t>
      </w:r>
      <w:r w:rsidRPr="00EE60F3">
        <w:t>and</w:t>
      </w:r>
      <w:r w:rsidR="00BF059B" w:rsidRPr="00EE60F3">
        <w:t xml:space="preserve"> </w:t>
      </w:r>
      <w:r w:rsidRPr="00EE60F3">
        <w:t>any</w:t>
      </w:r>
      <w:r w:rsidR="00BF059B" w:rsidRPr="00EE60F3">
        <w:t xml:space="preserve"> </w:t>
      </w:r>
      <w:r w:rsidRPr="00EE60F3">
        <w:t>pension</w:t>
      </w:r>
      <w:r w:rsidR="00BF059B" w:rsidRPr="00EE60F3">
        <w:t xml:space="preserve"> </w:t>
      </w:r>
      <w:r w:rsidRPr="00EE60F3">
        <w:t>asset</w:t>
      </w:r>
      <w:r w:rsidR="00BF059B" w:rsidRPr="00EE60F3">
        <w:t xml:space="preserve"> </w:t>
      </w:r>
      <w:r w:rsidRPr="00EE60F3">
        <w:t>or</w:t>
      </w:r>
      <w:r w:rsidR="00BF059B" w:rsidRPr="00EE60F3">
        <w:t xml:space="preserve"> </w:t>
      </w:r>
      <w:r w:rsidRPr="00EE60F3">
        <w:t>liability</w:t>
      </w:r>
    </w:p>
    <w:p w14:paraId="45B6D26A" w14:textId="040FE581" w:rsidR="00BE13A8" w:rsidRPr="00EE60F3" w:rsidRDefault="00D70530" w:rsidP="00EE60F3">
      <w:r w:rsidRPr="00EE60F3">
        <w:t>The</w:t>
      </w:r>
      <w:r w:rsidR="00BF059B" w:rsidRPr="00EE60F3">
        <w:t xml:space="preserve"> </w:t>
      </w:r>
      <w:r w:rsidRPr="00EE60F3">
        <w:t>Horniman</w:t>
      </w:r>
      <w:r w:rsidR="00BF059B" w:rsidRPr="00EE60F3">
        <w:t xml:space="preserve"> </w:t>
      </w:r>
      <w:r w:rsidRPr="00EE60F3">
        <w:t>is</w:t>
      </w:r>
      <w:r w:rsidR="00BF059B" w:rsidRPr="00EE60F3">
        <w:t xml:space="preserve"> </w:t>
      </w:r>
      <w:r w:rsidRPr="00EE60F3">
        <w:t>a</w:t>
      </w:r>
      <w:r w:rsidR="00BF059B" w:rsidRPr="00EE60F3">
        <w:t xml:space="preserve"> </w:t>
      </w:r>
      <w:r w:rsidRPr="00EE60F3">
        <w:t>member</w:t>
      </w:r>
      <w:r w:rsidR="00BF059B" w:rsidRPr="00EE60F3">
        <w:t xml:space="preserve"> </w:t>
      </w:r>
      <w:r w:rsidRPr="00EE60F3">
        <w:t>of</w:t>
      </w:r>
      <w:r w:rsidR="00BF059B" w:rsidRPr="00EE60F3">
        <w:t xml:space="preserve"> </w:t>
      </w:r>
      <w:r w:rsidRPr="00EE60F3">
        <w:t>the</w:t>
      </w:r>
      <w:r w:rsidR="00BF059B" w:rsidRPr="00EE60F3">
        <w:t xml:space="preserve"> </w:t>
      </w:r>
      <w:r w:rsidRPr="00EE60F3">
        <w:t>London</w:t>
      </w:r>
      <w:r w:rsidR="00BF059B" w:rsidRPr="00EE60F3">
        <w:t xml:space="preserve"> </w:t>
      </w:r>
      <w:r w:rsidRPr="00EE60F3">
        <w:t>Pension</w:t>
      </w:r>
      <w:r w:rsidR="00BF059B" w:rsidRPr="00EE60F3">
        <w:t xml:space="preserve"> </w:t>
      </w:r>
      <w:r w:rsidRPr="00EE60F3">
        <w:t>Funds</w:t>
      </w:r>
      <w:r w:rsidR="00BF059B" w:rsidRPr="00EE60F3">
        <w:t xml:space="preserve"> </w:t>
      </w:r>
      <w:r w:rsidRPr="00EE60F3">
        <w:t>Authority</w:t>
      </w:r>
      <w:r w:rsidR="00BF059B" w:rsidRPr="00EE60F3">
        <w:t xml:space="preserve"> </w:t>
      </w:r>
      <w:r w:rsidRPr="00EE60F3">
        <w:t>superannuation</w:t>
      </w:r>
      <w:r w:rsidR="00BF059B" w:rsidRPr="00EE60F3">
        <w:t xml:space="preserve"> </w:t>
      </w:r>
      <w:r w:rsidRPr="00EE60F3">
        <w:t>scheme</w:t>
      </w:r>
      <w:r w:rsidR="00BF059B" w:rsidRPr="00EE60F3">
        <w:t xml:space="preserve"> </w:t>
      </w:r>
      <w:r w:rsidRPr="00EE60F3">
        <w:t>which</w:t>
      </w:r>
      <w:r w:rsidR="00BF059B" w:rsidRPr="00EE60F3">
        <w:t xml:space="preserve"> </w:t>
      </w:r>
      <w:r w:rsidRPr="00EE60F3">
        <w:t>provides</w:t>
      </w:r>
      <w:r w:rsidR="00BF059B" w:rsidRPr="00EE60F3">
        <w:t xml:space="preserve"> </w:t>
      </w:r>
      <w:r w:rsidRPr="00EE60F3">
        <w:t>benefits</w:t>
      </w:r>
      <w:r w:rsidR="00BF059B" w:rsidRPr="00EE60F3">
        <w:t xml:space="preserve"> </w:t>
      </w:r>
      <w:r w:rsidRPr="00EE60F3">
        <w:t>based</w:t>
      </w:r>
      <w:r w:rsidR="00BF059B" w:rsidRPr="00EE60F3">
        <w:t xml:space="preserve"> </w:t>
      </w:r>
      <w:r w:rsidRPr="00EE60F3">
        <w:t>on</w:t>
      </w:r>
      <w:r w:rsidR="00BF059B" w:rsidRPr="00EE60F3">
        <w:t xml:space="preserve"> </w:t>
      </w:r>
      <w:r w:rsidRPr="00EE60F3">
        <w:t>final</w:t>
      </w:r>
      <w:r w:rsidR="00BF059B" w:rsidRPr="00EE60F3">
        <w:t xml:space="preserve"> </w:t>
      </w:r>
      <w:r w:rsidRPr="00EE60F3">
        <w:t>pensionable</w:t>
      </w:r>
      <w:r w:rsidR="00BF059B" w:rsidRPr="00EE60F3">
        <w:t xml:space="preserve"> </w:t>
      </w:r>
      <w:r w:rsidRPr="00EE60F3">
        <w:t>pay.</w:t>
      </w:r>
      <w:r w:rsidR="00BF059B" w:rsidRPr="00EE60F3">
        <w:t xml:space="preserve"> </w:t>
      </w:r>
      <w:r w:rsidRPr="00EE60F3">
        <w:t>The</w:t>
      </w:r>
      <w:r w:rsidR="00BF059B" w:rsidRPr="00EE60F3">
        <w:t xml:space="preserve"> </w:t>
      </w:r>
      <w:r w:rsidRPr="00EE60F3">
        <w:t>net</w:t>
      </w:r>
      <w:r w:rsidR="00BF059B" w:rsidRPr="00EE60F3">
        <w:t xml:space="preserve"> </w:t>
      </w:r>
      <w:r w:rsidRPr="00EE60F3">
        <w:t>pension</w:t>
      </w:r>
      <w:r w:rsidR="00BF059B" w:rsidRPr="00EE60F3">
        <w:t xml:space="preserve"> </w:t>
      </w:r>
      <w:r w:rsidRPr="00EE60F3">
        <w:t>liability</w:t>
      </w:r>
      <w:r w:rsidR="00BF059B" w:rsidRPr="00EE60F3">
        <w:t xml:space="preserve"> </w:t>
      </w:r>
      <w:r w:rsidRPr="00EE60F3">
        <w:t>and</w:t>
      </w:r>
      <w:r w:rsidR="00BF059B" w:rsidRPr="00EE60F3">
        <w:t xml:space="preserve"> </w:t>
      </w:r>
      <w:r w:rsidRPr="00EE60F3">
        <w:t>resulting</w:t>
      </w:r>
      <w:r w:rsidR="00BF059B" w:rsidRPr="00EE60F3">
        <w:t xml:space="preserve"> </w:t>
      </w:r>
      <w:r w:rsidRPr="00EE60F3">
        <w:t>reserve</w:t>
      </w:r>
      <w:r w:rsidR="00BF059B" w:rsidRPr="00EE60F3">
        <w:t xml:space="preserve"> </w:t>
      </w:r>
      <w:r w:rsidRPr="00EE60F3">
        <w:t>have</w:t>
      </w:r>
      <w:r w:rsidR="00BF059B" w:rsidRPr="00EE60F3">
        <w:t xml:space="preserve"> </w:t>
      </w:r>
      <w:r w:rsidRPr="00EE60F3">
        <w:t>been</w:t>
      </w:r>
      <w:r w:rsidR="00BF059B" w:rsidRPr="00EE60F3">
        <w:t xml:space="preserve"> </w:t>
      </w:r>
      <w:r w:rsidRPr="00EE60F3">
        <w:t>recognised</w:t>
      </w:r>
      <w:r w:rsidR="00BF059B" w:rsidRPr="00EE60F3">
        <w:t xml:space="preserve"> </w:t>
      </w:r>
      <w:r w:rsidRPr="00EE60F3">
        <w:t>in</w:t>
      </w:r>
      <w:r w:rsidR="00BF059B" w:rsidRPr="00EE60F3">
        <w:t xml:space="preserve"> </w:t>
      </w:r>
      <w:r w:rsidRPr="00EE60F3">
        <w:t>the</w:t>
      </w:r>
      <w:r w:rsidR="00BF059B" w:rsidRPr="00EE60F3">
        <w:t xml:space="preserve"> </w:t>
      </w:r>
      <w:r w:rsidRPr="00EE60F3">
        <w:t>Balance</w:t>
      </w:r>
      <w:r w:rsidR="00BF059B" w:rsidRPr="00EE60F3">
        <w:t xml:space="preserve"> </w:t>
      </w:r>
      <w:r w:rsidRPr="00EE60F3">
        <w:t>Sheet</w:t>
      </w:r>
      <w:r w:rsidR="00BF059B" w:rsidRPr="00EE60F3">
        <w:t xml:space="preserve"> </w:t>
      </w:r>
      <w:r w:rsidRPr="00EE60F3">
        <w:t>and</w:t>
      </w:r>
      <w:r w:rsidR="00BF059B" w:rsidRPr="00EE60F3">
        <w:t xml:space="preserve"> </w:t>
      </w:r>
      <w:r w:rsidRPr="00EE60F3">
        <w:t>movements</w:t>
      </w:r>
      <w:r w:rsidR="00BF059B" w:rsidRPr="00EE60F3">
        <w:t xml:space="preserve"> </w:t>
      </w:r>
      <w:r w:rsidRPr="00EE60F3">
        <w:t>in</w:t>
      </w:r>
      <w:r w:rsidR="00BF059B" w:rsidRPr="00EE60F3">
        <w:t xml:space="preserve"> </w:t>
      </w:r>
      <w:r w:rsidRPr="00EE60F3">
        <w:t>the</w:t>
      </w:r>
      <w:r w:rsidR="00BF059B" w:rsidRPr="00EE60F3">
        <w:t xml:space="preserve"> </w:t>
      </w:r>
      <w:r w:rsidRPr="00EE60F3">
        <w:t>liability</w:t>
      </w:r>
      <w:r w:rsidR="00BF059B" w:rsidRPr="00EE60F3">
        <w:t xml:space="preserve"> </w:t>
      </w:r>
      <w:r w:rsidRPr="00EE60F3">
        <w:t>are</w:t>
      </w:r>
      <w:r w:rsidR="00BF059B" w:rsidRPr="00EE60F3">
        <w:t xml:space="preserve"> </w:t>
      </w:r>
      <w:r w:rsidRPr="00EE60F3">
        <w:t>charged</w:t>
      </w:r>
      <w:r w:rsidR="00BF059B" w:rsidRPr="00EE60F3">
        <w:t xml:space="preserve"> </w:t>
      </w:r>
      <w:r w:rsidRPr="00EE60F3">
        <w:t>to</w:t>
      </w:r>
      <w:r w:rsidR="00BF059B" w:rsidRPr="00EE60F3">
        <w:t xml:space="preserve"> </w:t>
      </w:r>
      <w:r w:rsidRPr="00EE60F3">
        <w:t>the</w:t>
      </w:r>
      <w:r w:rsidR="00BF059B" w:rsidRPr="00EE60F3">
        <w:t xml:space="preserve"> </w:t>
      </w:r>
      <w:r w:rsidRPr="00EE60F3">
        <w:t>Statement</w:t>
      </w:r>
      <w:r w:rsidR="00BF059B" w:rsidRPr="00EE60F3">
        <w:t xml:space="preserve"> </w:t>
      </w:r>
      <w:r w:rsidRPr="00EE60F3">
        <w:t>of</w:t>
      </w:r>
      <w:r w:rsidR="00BF059B" w:rsidRPr="00EE60F3">
        <w:t xml:space="preserve"> </w:t>
      </w:r>
      <w:r w:rsidRPr="00EE60F3">
        <w:t>Financial</w:t>
      </w:r>
      <w:r w:rsidR="00BF059B" w:rsidRPr="00EE60F3">
        <w:t xml:space="preserve"> </w:t>
      </w:r>
      <w:r w:rsidRPr="00EE60F3">
        <w:t>Activities</w:t>
      </w:r>
      <w:r w:rsidR="00BF059B" w:rsidRPr="00EE60F3">
        <w:t xml:space="preserve"> </w:t>
      </w:r>
      <w:r w:rsidRPr="00EE60F3">
        <w:t>in</w:t>
      </w:r>
      <w:r w:rsidR="00BF059B" w:rsidRPr="00EE60F3">
        <w:t xml:space="preserve"> </w:t>
      </w:r>
      <w:r w:rsidRPr="00EE60F3">
        <w:t>accordance</w:t>
      </w:r>
      <w:r w:rsidR="00BF059B" w:rsidRPr="00EE60F3">
        <w:t xml:space="preserve"> </w:t>
      </w:r>
      <w:r w:rsidRPr="00EE60F3">
        <w:t>with</w:t>
      </w:r>
      <w:r w:rsidR="00BF059B" w:rsidRPr="00EE60F3">
        <w:t xml:space="preserve"> </w:t>
      </w:r>
      <w:r w:rsidRPr="00EE60F3">
        <w:t>FRS102.</w:t>
      </w:r>
      <w:r w:rsidR="00BF059B" w:rsidRPr="00EE60F3">
        <w:t xml:space="preserve"> </w:t>
      </w:r>
    </w:p>
    <w:p w14:paraId="11B2FDCF" w14:textId="7F198908" w:rsidR="00BE13A8" w:rsidRPr="00EE60F3" w:rsidRDefault="00BF059B" w:rsidP="00EE60F3">
      <w:r w:rsidRPr="00EE60F3">
        <w:rPr>
          <w:color w:val="FF0000"/>
        </w:rPr>
        <w:t xml:space="preserve"> </w:t>
      </w:r>
    </w:p>
    <w:p w14:paraId="1ABFBBC1" w14:textId="66DA9D78" w:rsidR="00BE13A8" w:rsidRPr="00EE60F3" w:rsidRDefault="00D70530" w:rsidP="00A3133E">
      <w:pPr>
        <w:pStyle w:val="Heading4"/>
      </w:pPr>
      <w:r w:rsidRPr="00EE60F3">
        <w:t>m)</w:t>
      </w:r>
      <w:r w:rsidR="00BF059B" w:rsidRPr="00EE60F3">
        <w:t xml:space="preserve"> </w:t>
      </w:r>
      <w:r w:rsidRPr="00EE60F3">
        <w:t>Stock</w:t>
      </w:r>
    </w:p>
    <w:p w14:paraId="48928E84" w14:textId="3271B22C" w:rsidR="00BE13A8" w:rsidRPr="00EE60F3" w:rsidRDefault="00D70530" w:rsidP="00EE60F3">
      <w:r w:rsidRPr="00EE60F3">
        <w:t>Stock</w:t>
      </w:r>
      <w:r w:rsidR="00BF059B" w:rsidRPr="00EE60F3">
        <w:t xml:space="preserve"> </w:t>
      </w:r>
      <w:r w:rsidRPr="00EE60F3">
        <w:t>is</w:t>
      </w:r>
      <w:r w:rsidR="00BF059B" w:rsidRPr="00EE60F3">
        <w:t xml:space="preserve"> </w:t>
      </w:r>
      <w:r w:rsidRPr="00EE60F3">
        <w:t>stated</w:t>
      </w:r>
      <w:r w:rsidR="00BF059B" w:rsidRPr="00EE60F3">
        <w:t xml:space="preserve"> </w:t>
      </w:r>
      <w:r w:rsidRPr="00EE60F3">
        <w:t>at</w:t>
      </w:r>
      <w:r w:rsidR="00BF059B" w:rsidRPr="00EE60F3">
        <w:t xml:space="preserve"> </w:t>
      </w:r>
      <w:r w:rsidRPr="00EE60F3">
        <w:t>the</w:t>
      </w:r>
      <w:r w:rsidR="00BF059B" w:rsidRPr="00EE60F3">
        <w:t xml:space="preserve"> </w:t>
      </w:r>
      <w:r w:rsidRPr="00EE60F3">
        <w:t>lower</w:t>
      </w:r>
      <w:r w:rsidR="00BF059B" w:rsidRPr="00EE60F3">
        <w:t xml:space="preserve"> </w:t>
      </w:r>
      <w:r w:rsidRPr="00EE60F3">
        <w:t>of</w:t>
      </w:r>
      <w:r w:rsidR="00BF059B" w:rsidRPr="00EE60F3">
        <w:t xml:space="preserve"> </w:t>
      </w:r>
      <w:r w:rsidRPr="00EE60F3">
        <w:t>cost</w:t>
      </w:r>
      <w:r w:rsidR="00BF059B" w:rsidRPr="00EE60F3">
        <w:t xml:space="preserve"> </w:t>
      </w:r>
      <w:r w:rsidRPr="00EE60F3">
        <w:t>and</w:t>
      </w:r>
      <w:r w:rsidR="00BF059B" w:rsidRPr="00EE60F3">
        <w:t xml:space="preserve"> </w:t>
      </w:r>
      <w:r w:rsidRPr="00EE60F3">
        <w:t>net</w:t>
      </w:r>
      <w:r w:rsidR="00BF059B" w:rsidRPr="00EE60F3">
        <w:t xml:space="preserve"> </w:t>
      </w:r>
      <w:r w:rsidRPr="00EE60F3">
        <w:t>realisable</w:t>
      </w:r>
      <w:r w:rsidR="00BF059B" w:rsidRPr="00EE60F3">
        <w:t xml:space="preserve"> </w:t>
      </w:r>
      <w:r w:rsidRPr="00EE60F3">
        <w:t>value</w:t>
      </w:r>
      <w:r w:rsidR="00BF059B" w:rsidRPr="00EE60F3">
        <w:t xml:space="preserve"> </w:t>
      </w:r>
      <w:r w:rsidRPr="00EE60F3">
        <w:t>and</w:t>
      </w:r>
      <w:r w:rsidR="00BF059B" w:rsidRPr="00EE60F3">
        <w:t xml:space="preserve"> </w:t>
      </w:r>
      <w:r w:rsidRPr="00EE60F3">
        <w:t>comprises</w:t>
      </w:r>
      <w:r w:rsidR="00BF059B" w:rsidRPr="00EE60F3">
        <w:t xml:space="preserve"> </w:t>
      </w:r>
      <w:r w:rsidRPr="00EE60F3">
        <w:t>for</w:t>
      </w:r>
      <w:r w:rsidR="00BF059B" w:rsidRPr="00EE60F3">
        <w:t xml:space="preserve"> </w:t>
      </w:r>
      <w:r w:rsidRPr="00EE60F3">
        <w:t>resale</w:t>
      </w:r>
      <w:r w:rsidR="00BF059B" w:rsidRPr="00EE60F3">
        <w:t xml:space="preserve"> </w:t>
      </w:r>
      <w:r w:rsidRPr="00EE60F3">
        <w:t>and</w:t>
      </w:r>
      <w:r w:rsidR="00BF059B" w:rsidRPr="00EE60F3">
        <w:t xml:space="preserve"> </w:t>
      </w:r>
      <w:r w:rsidRPr="00EE60F3">
        <w:t>shop</w:t>
      </w:r>
      <w:r w:rsidR="00BF059B" w:rsidRPr="00EE60F3">
        <w:t xml:space="preserve"> </w:t>
      </w:r>
      <w:r w:rsidRPr="00EE60F3">
        <w:t>stock.</w:t>
      </w:r>
    </w:p>
    <w:p w14:paraId="397228A8" w14:textId="77777777" w:rsidR="00BE13A8" w:rsidRPr="00EE60F3" w:rsidRDefault="00BE13A8" w:rsidP="00EE60F3"/>
    <w:p w14:paraId="6B8E928A" w14:textId="2BCB752F" w:rsidR="00BE13A8" w:rsidRPr="00EE60F3" w:rsidRDefault="00D70530" w:rsidP="00A3133E">
      <w:pPr>
        <w:pStyle w:val="Heading4"/>
      </w:pPr>
      <w:r w:rsidRPr="00EE60F3">
        <w:t>n)</w:t>
      </w:r>
      <w:r w:rsidR="00BF059B" w:rsidRPr="00EE60F3">
        <w:t xml:space="preserve"> </w:t>
      </w:r>
      <w:r w:rsidRPr="00EE60F3">
        <w:t>Taxation</w:t>
      </w:r>
    </w:p>
    <w:p w14:paraId="5798AC58" w14:textId="0D18E495" w:rsidR="00BE13A8" w:rsidRPr="00EE60F3" w:rsidRDefault="00D70530" w:rsidP="00EE60F3">
      <w:pPr>
        <w:pBdr>
          <w:top w:val="nil"/>
          <w:left w:val="nil"/>
          <w:bottom w:val="nil"/>
          <w:right w:val="nil"/>
          <w:between w:val="nil"/>
        </w:pBdr>
        <w:spacing w:after="120"/>
        <w:rPr>
          <w:color w:val="000000"/>
        </w:rPr>
      </w:pPr>
      <w:r w:rsidRPr="00EE60F3">
        <w:rPr>
          <w:color w:val="000000"/>
        </w:rPr>
        <w:t>As</w:t>
      </w:r>
      <w:r w:rsidR="00BF059B" w:rsidRPr="00EE60F3">
        <w:rPr>
          <w:color w:val="000000"/>
        </w:rPr>
        <w:t xml:space="preserve"> </w:t>
      </w:r>
      <w:r w:rsidRPr="00EE60F3">
        <w:rPr>
          <w:color w:val="000000"/>
        </w:rPr>
        <w:t>a</w:t>
      </w:r>
      <w:r w:rsidR="00BF059B" w:rsidRPr="00EE60F3">
        <w:rPr>
          <w:color w:val="000000"/>
        </w:rPr>
        <w:t xml:space="preserve"> </w:t>
      </w:r>
      <w:r w:rsidRPr="00EE60F3">
        <w:rPr>
          <w:color w:val="000000"/>
        </w:rPr>
        <w:t>charity</w:t>
      </w:r>
      <w:r w:rsidR="00BF059B" w:rsidRPr="00EE60F3">
        <w:rPr>
          <w:color w:val="000000"/>
        </w:rPr>
        <w:t xml:space="preserve"> </w:t>
      </w:r>
      <w:r w:rsidRPr="00EE60F3">
        <w:rPr>
          <w:color w:val="000000"/>
        </w:rPr>
        <w:t>the</w:t>
      </w:r>
      <w:r w:rsidR="00BF059B" w:rsidRPr="00EE60F3">
        <w:rPr>
          <w:color w:val="000000"/>
        </w:rPr>
        <w:t xml:space="preserve"> </w:t>
      </w:r>
      <w:r w:rsidRPr="00EE60F3">
        <w:rPr>
          <w:color w:val="000000"/>
        </w:rPr>
        <w:t>Horniman</w:t>
      </w:r>
      <w:r w:rsidR="00BF059B" w:rsidRPr="00EE60F3">
        <w:rPr>
          <w:color w:val="000000"/>
        </w:rPr>
        <w:t xml:space="preserve"> </w:t>
      </w:r>
      <w:r w:rsidRPr="00EE60F3">
        <w:rPr>
          <w:color w:val="000000"/>
        </w:rPr>
        <w:t>is</w:t>
      </w:r>
      <w:r w:rsidR="00BF059B" w:rsidRPr="00EE60F3">
        <w:rPr>
          <w:color w:val="000000"/>
        </w:rPr>
        <w:t xml:space="preserve"> </w:t>
      </w:r>
      <w:r w:rsidRPr="00EE60F3">
        <w:rPr>
          <w:color w:val="000000"/>
        </w:rPr>
        <w:t>exempt</w:t>
      </w:r>
      <w:r w:rsidR="00BF059B" w:rsidRPr="00EE60F3">
        <w:rPr>
          <w:color w:val="000000"/>
        </w:rPr>
        <w:t xml:space="preserve"> </w:t>
      </w:r>
      <w:r w:rsidRPr="00EE60F3">
        <w:rPr>
          <w:color w:val="000000"/>
        </w:rPr>
        <w:t>from</w:t>
      </w:r>
      <w:r w:rsidR="00BF059B" w:rsidRPr="00EE60F3">
        <w:rPr>
          <w:color w:val="000000"/>
        </w:rPr>
        <w:t xml:space="preserve"> </w:t>
      </w:r>
      <w:r w:rsidRPr="00EE60F3">
        <w:rPr>
          <w:color w:val="000000"/>
        </w:rPr>
        <w:t>corporation</w:t>
      </w:r>
      <w:r w:rsidR="00BF059B" w:rsidRPr="00EE60F3">
        <w:rPr>
          <w:color w:val="000000"/>
        </w:rPr>
        <w:t xml:space="preserve"> </w:t>
      </w:r>
      <w:r w:rsidRPr="00EE60F3">
        <w:rPr>
          <w:color w:val="000000"/>
        </w:rPr>
        <w:t>tax</w:t>
      </w:r>
      <w:r w:rsidR="00BF059B" w:rsidRPr="00EE60F3">
        <w:rPr>
          <w:color w:val="000000"/>
        </w:rPr>
        <w:t xml:space="preserve"> </w:t>
      </w:r>
      <w:r w:rsidRPr="00EE60F3">
        <w:rPr>
          <w:color w:val="000000"/>
        </w:rPr>
        <w:t>under</w:t>
      </w:r>
      <w:r w:rsidR="00BF059B" w:rsidRPr="00EE60F3">
        <w:rPr>
          <w:color w:val="000000"/>
        </w:rPr>
        <w:t xml:space="preserve"> </w:t>
      </w:r>
      <w:r w:rsidRPr="00EE60F3">
        <w:rPr>
          <w:color w:val="000000"/>
        </w:rPr>
        <w:t>Sections</w:t>
      </w:r>
      <w:r w:rsidR="00BF059B" w:rsidRPr="00EE60F3">
        <w:rPr>
          <w:color w:val="000000"/>
        </w:rPr>
        <w:t xml:space="preserve"> </w:t>
      </w:r>
      <w:r w:rsidRPr="00EE60F3">
        <w:rPr>
          <w:color w:val="000000"/>
        </w:rPr>
        <w:t>466-493</w:t>
      </w:r>
      <w:r w:rsidR="00BF059B" w:rsidRPr="00EE60F3">
        <w:rPr>
          <w:color w:val="000000"/>
        </w:rPr>
        <w:t xml:space="preserve"> </w:t>
      </w:r>
      <w:r w:rsidRPr="00EE60F3">
        <w:rPr>
          <w:color w:val="000000"/>
        </w:rPr>
        <w:t>Corporation</w:t>
      </w:r>
      <w:r w:rsidR="00BF059B" w:rsidRPr="00EE60F3">
        <w:rPr>
          <w:color w:val="000000"/>
        </w:rPr>
        <w:t xml:space="preserve"> </w:t>
      </w:r>
      <w:r w:rsidRPr="00EE60F3">
        <w:rPr>
          <w:color w:val="000000"/>
        </w:rPr>
        <w:t>Taxes</w:t>
      </w:r>
      <w:r w:rsidR="00BF059B" w:rsidRPr="00EE60F3">
        <w:rPr>
          <w:color w:val="000000"/>
        </w:rPr>
        <w:t xml:space="preserve"> </w:t>
      </w:r>
      <w:r w:rsidRPr="00EE60F3">
        <w:rPr>
          <w:color w:val="000000"/>
        </w:rPr>
        <w:t>Act</w:t>
      </w:r>
      <w:r w:rsidR="00BF059B" w:rsidRPr="00EE60F3">
        <w:rPr>
          <w:color w:val="000000"/>
        </w:rPr>
        <w:t xml:space="preserve"> </w:t>
      </w:r>
      <w:r w:rsidRPr="00EE60F3">
        <w:rPr>
          <w:color w:val="000000"/>
        </w:rPr>
        <w:t>2010.</w:t>
      </w:r>
    </w:p>
    <w:p w14:paraId="1718A1AF" w14:textId="6F3995CE" w:rsidR="00BE13A8" w:rsidRPr="00EE60F3" w:rsidRDefault="00D70530" w:rsidP="00A3133E">
      <w:pPr>
        <w:pStyle w:val="Heading4"/>
      </w:pPr>
      <w:r w:rsidRPr="00EE60F3">
        <w:t>o)</w:t>
      </w:r>
      <w:r w:rsidR="00BF059B" w:rsidRPr="00EE60F3">
        <w:t xml:space="preserve"> </w:t>
      </w:r>
      <w:r w:rsidRPr="00EE60F3">
        <w:t>Leases</w:t>
      </w:r>
    </w:p>
    <w:p w14:paraId="26FF77C4" w14:textId="41A15460" w:rsidR="00BE13A8" w:rsidRPr="00EE60F3" w:rsidRDefault="00D70530" w:rsidP="00EE60F3">
      <w:r w:rsidRPr="00EE60F3">
        <w:t>The</w:t>
      </w:r>
      <w:r w:rsidR="00BF059B" w:rsidRPr="00EE60F3">
        <w:t xml:space="preserve"> </w:t>
      </w:r>
      <w:r w:rsidRPr="00EE60F3">
        <w:t>Horniman</w:t>
      </w:r>
      <w:r w:rsidR="00BF059B" w:rsidRPr="00EE60F3">
        <w:t xml:space="preserve"> </w:t>
      </w:r>
      <w:r w:rsidRPr="00EE60F3">
        <w:t>has</w:t>
      </w:r>
      <w:r w:rsidR="00BF059B" w:rsidRPr="00EE60F3">
        <w:t xml:space="preserve"> </w:t>
      </w:r>
      <w:r w:rsidRPr="00EE60F3">
        <w:t>no</w:t>
      </w:r>
      <w:r w:rsidR="00BF059B" w:rsidRPr="00EE60F3">
        <w:t xml:space="preserve"> </w:t>
      </w:r>
      <w:r w:rsidRPr="00EE60F3">
        <w:t>finance</w:t>
      </w:r>
      <w:r w:rsidR="00BF059B" w:rsidRPr="00EE60F3">
        <w:t xml:space="preserve"> </w:t>
      </w:r>
      <w:r w:rsidRPr="00EE60F3">
        <w:t>leases.</w:t>
      </w:r>
      <w:r w:rsidR="00BF059B" w:rsidRPr="00EE60F3">
        <w:t xml:space="preserve"> </w:t>
      </w:r>
      <w:r w:rsidRPr="00EE60F3">
        <w:t>Costs</w:t>
      </w:r>
      <w:r w:rsidR="00BF059B" w:rsidRPr="00EE60F3">
        <w:t xml:space="preserve"> </w:t>
      </w:r>
      <w:r w:rsidRPr="00EE60F3">
        <w:t>in</w:t>
      </w:r>
      <w:r w:rsidR="00BF059B" w:rsidRPr="00EE60F3">
        <w:t xml:space="preserve"> </w:t>
      </w:r>
      <w:r w:rsidRPr="00EE60F3">
        <w:t>relation</w:t>
      </w:r>
      <w:r w:rsidR="00BF059B" w:rsidRPr="00EE60F3">
        <w:t xml:space="preserve"> </w:t>
      </w:r>
      <w:r w:rsidRPr="00EE60F3">
        <w:t>to</w:t>
      </w:r>
      <w:r w:rsidR="00BF059B" w:rsidRPr="00EE60F3">
        <w:t xml:space="preserve"> </w:t>
      </w:r>
      <w:r w:rsidRPr="00EE60F3">
        <w:t>operating</w:t>
      </w:r>
      <w:r w:rsidR="00BF059B" w:rsidRPr="00EE60F3">
        <w:t xml:space="preserve"> </w:t>
      </w:r>
      <w:r w:rsidRPr="00EE60F3">
        <w:t>leases</w:t>
      </w:r>
      <w:r w:rsidR="00BF059B" w:rsidRPr="00EE60F3">
        <w:t xml:space="preserve"> </w:t>
      </w:r>
      <w:r w:rsidRPr="00EE60F3">
        <w:t>are</w:t>
      </w:r>
      <w:r w:rsidR="00BF059B" w:rsidRPr="00EE60F3">
        <w:t xml:space="preserve"> </w:t>
      </w:r>
      <w:r w:rsidRPr="00EE60F3">
        <w:t>charged</w:t>
      </w:r>
      <w:r w:rsidR="00BF059B" w:rsidRPr="00EE60F3">
        <w:t xml:space="preserve"> </w:t>
      </w:r>
      <w:r w:rsidRPr="00EE60F3">
        <w:t>to</w:t>
      </w:r>
      <w:r w:rsidR="00BF059B" w:rsidRPr="00EE60F3">
        <w:t xml:space="preserve"> </w:t>
      </w:r>
      <w:r w:rsidRPr="00EE60F3">
        <w:t>the</w:t>
      </w:r>
      <w:r w:rsidR="00BF059B" w:rsidRPr="00EE60F3">
        <w:t xml:space="preserve"> </w:t>
      </w:r>
      <w:r w:rsidRPr="00EE60F3">
        <w:t>Statement</w:t>
      </w:r>
      <w:r w:rsidR="00BF059B" w:rsidRPr="00EE60F3">
        <w:t xml:space="preserve"> </w:t>
      </w:r>
      <w:r w:rsidRPr="00EE60F3">
        <w:t>of</w:t>
      </w:r>
      <w:r w:rsidR="00BF059B" w:rsidRPr="00EE60F3">
        <w:t xml:space="preserve"> </w:t>
      </w:r>
      <w:r w:rsidRPr="00EE60F3">
        <w:t>Financial</w:t>
      </w:r>
      <w:r w:rsidR="00BF059B" w:rsidRPr="00EE60F3">
        <w:t xml:space="preserve"> </w:t>
      </w:r>
      <w:r w:rsidRPr="00EE60F3">
        <w:t>Activities</w:t>
      </w:r>
      <w:r w:rsidR="00BF059B" w:rsidRPr="00EE60F3">
        <w:t xml:space="preserve"> </w:t>
      </w:r>
      <w:r w:rsidRPr="00EE60F3">
        <w:t>over</w:t>
      </w:r>
      <w:r w:rsidR="00BF059B" w:rsidRPr="00EE60F3">
        <w:t xml:space="preserve"> </w:t>
      </w:r>
      <w:r w:rsidRPr="00EE60F3">
        <w:t>the</w:t>
      </w:r>
      <w:r w:rsidR="00BF059B" w:rsidRPr="00EE60F3">
        <w:t xml:space="preserve"> </w:t>
      </w:r>
      <w:r w:rsidRPr="00EE60F3">
        <w:t>life</w:t>
      </w:r>
      <w:r w:rsidR="00BF059B" w:rsidRPr="00EE60F3">
        <w:t xml:space="preserve"> </w:t>
      </w:r>
      <w:r w:rsidRPr="00EE60F3">
        <w:t>of</w:t>
      </w:r>
      <w:r w:rsidR="00BF059B" w:rsidRPr="00EE60F3">
        <w:t xml:space="preserve"> </w:t>
      </w:r>
      <w:r w:rsidRPr="00EE60F3">
        <w:t>the</w:t>
      </w:r>
      <w:r w:rsidR="00BF059B" w:rsidRPr="00EE60F3">
        <w:t xml:space="preserve"> </w:t>
      </w:r>
      <w:r w:rsidRPr="00EE60F3">
        <w:t>lease.</w:t>
      </w:r>
      <w:r w:rsidR="00BF059B" w:rsidRPr="00EE60F3">
        <w:t xml:space="preserve"> </w:t>
      </w:r>
      <w:r w:rsidRPr="00EE60F3">
        <w:t>Forward</w:t>
      </w:r>
      <w:r w:rsidR="00BF059B" w:rsidRPr="00EE60F3">
        <w:t xml:space="preserve"> </w:t>
      </w:r>
      <w:r w:rsidRPr="00EE60F3">
        <w:t>liabilities</w:t>
      </w:r>
      <w:r w:rsidR="00BF059B" w:rsidRPr="00EE60F3">
        <w:t xml:space="preserve"> </w:t>
      </w:r>
      <w:r w:rsidRPr="00EE60F3">
        <w:t>are</w:t>
      </w:r>
      <w:r w:rsidR="00BF059B" w:rsidRPr="00EE60F3">
        <w:t xml:space="preserve"> </w:t>
      </w:r>
      <w:r w:rsidRPr="00EE60F3">
        <w:t>disclosed</w:t>
      </w:r>
      <w:r w:rsidR="00BF059B" w:rsidRPr="00EE60F3">
        <w:t xml:space="preserve"> </w:t>
      </w:r>
      <w:r w:rsidRPr="00EE60F3">
        <w:t>in</w:t>
      </w:r>
      <w:r w:rsidR="00BF059B" w:rsidRPr="00EE60F3">
        <w:t xml:space="preserve"> </w:t>
      </w:r>
      <w:r w:rsidRPr="00EE60F3">
        <w:t>note</w:t>
      </w:r>
      <w:r w:rsidR="00BF059B" w:rsidRPr="00EE60F3">
        <w:t xml:space="preserve"> </w:t>
      </w:r>
      <w:r w:rsidRPr="00EE60F3">
        <w:t>14.</w:t>
      </w:r>
    </w:p>
    <w:p w14:paraId="31A24EBB" w14:textId="77777777" w:rsidR="00BE13A8" w:rsidRDefault="00BE13A8" w:rsidP="00EE60F3">
      <w:pPr>
        <w:rPr>
          <w:i/>
        </w:rPr>
      </w:pPr>
    </w:p>
    <w:p w14:paraId="3AB31C13" w14:textId="488D84D2" w:rsidR="00BE13A8" w:rsidRDefault="00033508">
      <w:pPr>
        <w:rPr>
          <w:color w:val="FF0000"/>
        </w:rPr>
      </w:pPr>
      <w:r>
        <w:rPr>
          <w:color w:val="FF0000"/>
        </w:rPr>
        <w:pict w14:anchorId="7CB98F90">
          <v:shape id="_x0000_i1029" type="#_x0000_t75" alt="2. Grant in Aid&#10;The trust is a non departmental Public Body (NDPB) sponsored by DCMS. Grant in aid is available for running costs, capital improvements and collections purchases.&#10;&#10;3. National Portfolio Organisation Grant&#10;The trust was allocated NPO status by ACE and secured funding for the period 2018-23. DCMS took over the funding for 2023/24 and 2024/25.&#10;&#10;Includes 4: other grants and donations from projects donations, donations in kind, legacies and Art Fund MOTY money&#10;&#10;Includes 5 - other trading activities including venue hire, shop, cafe and other trading activities" style="width:497.35pt;height:344.65pt">
            <v:imagedata r:id="rId15" o:title=""/>
          </v:shape>
        </w:pict>
      </w:r>
    </w:p>
    <w:p w14:paraId="0448CAF7" w14:textId="77777777" w:rsidR="00BE13A8" w:rsidRDefault="00BE13A8">
      <w:pPr>
        <w:rPr>
          <w:i/>
          <w:color w:val="FF0000"/>
        </w:rPr>
      </w:pPr>
    </w:p>
    <w:p w14:paraId="779F12D6" w14:textId="77777777" w:rsidR="00BE13A8" w:rsidRDefault="00BE13A8">
      <w:pPr>
        <w:rPr>
          <w:i/>
          <w:color w:val="FF0000"/>
        </w:rPr>
      </w:pPr>
    </w:p>
    <w:p w14:paraId="2CA282EC" w14:textId="77777777" w:rsidR="00BE13A8" w:rsidRDefault="00BE13A8">
      <w:pPr>
        <w:rPr>
          <w:i/>
          <w:color w:val="FF0000"/>
        </w:rPr>
      </w:pPr>
    </w:p>
    <w:p w14:paraId="71854FDA" w14:textId="77777777" w:rsidR="00BE13A8" w:rsidRDefault="00BE13A8">
      <w:pPr>
        <w:rPr>
          <w:i/>
          <w:color w:val="FF0000"/>
        </w:rPr>
      </w:pPr>
    </w:p>
    <w:p w14:paraId="22556046" w14:textId="77777777" w:rsidR="00BE13A8" w:rsidRDefault="00BE13A8">
      <w:pPr>
        <w:rPr>
          <w:i/>
          <w:color w:val="FF0000"/>
        </w:rPr>
      </w:pPr>
    </w:p>
    <w:p w14:paraId="405B1D7E" w14:textId="01B5056D" w:rsidR="00BE13A8" w:rsidRDefault="00033508">
      <w:pPr>
        <w:rPr>
          <w:color w:val="FF0000"/>
        </w:rPr>
      </w:pPr>
      <w:r>
        <w:rPr>
          <w:color w:val="FF0000"/>
        </w:rPr>
        <w:pict w14:anchorId="75C57767">
          <v:shape id="_x0000_i1030" type="#_x0000_t75" alt="Showing 6 - income from charitable activities, 7 - expendicture on raising funds 2025 and 2024, and 8 - charitable activities 2025" style="width:496.65pt;height:551.35pt">
            <v:imagedata r:id="rId16" o:title=""/>
          </v:shape>
        </w:pict>
      </w:r>
    </w:p>
    <w:p w14:paraId="0287503B" w14:textId="77777777" w:rsidR="00BE13A8" w:rsidRDefault="00BE13A8">
      <w:pPr>
        <w:rPr>
          <w:i/>
          <w:color w:val="FF0000"/>
        </w:rPr>
      </w:pPr>
    </w:p>
    <w:p w14:paraId="1C1D98AA" w14:textId="77777777" w:rsidR="00BE13A8" w:rsidRDefault="00BE13A8">
      <w:pPr>
        <w:rPr>
          <w:i/>
          <w:color w:val="FF0000"/>
        </w:rPr>
      </w:pPr>
    </w:p>
    <w:p w14:paraId="36767233" w14:textId="77777777" w:rsidR="00BE13A8" w:rsidRDefault="00BE13A8">
      <w:pPr>
        <w:rPr>
          <w:i/>
          <w:color w:val="FF0000"/>
        </w:rPr>
      </w:pPr>
    </w:p>
    <w:p w14:paraId="7907E118" w14:textId="77777777" w:rsidR="00BE13A8" w:rsidRDefault="00BE13A8">
      <w:pPr>
        <w:rPr>
          <w:i/>
          <w:color w:val="FF0000"/>
        </w:rPr>
      </w:pPr>
    </w:p>
    <w:p w14:paraId="3E535C5E" w14:textId="77777777" w:rsidR="00BE13A8" w:rsidRDefault="00BE13A8">
      <w:pPr>
        <w:rPr>
          <w:i/>
          <w:color w:val="FF0000"/>
        </w:rPr>
      </w:pPr>
    </w:p>
    <w:p w14:paraId="1F0B455D" w14:textId="77777777" w:rsidR="00BE13A8" w:rsidRDefault="00BE13A8">
      <w:pPr>
        <w:rPr>
          <w:i/>
          <w:color w:val="FF0000"/>
        </w:rPr>
      </w:pPr>
    </w:p>
    <w:p w14:paraId="0E70B1A4" w14:textId="77777777" w:rsidR="00BE13A8" w:rsidRDefault="00BE13A8">
      <w:pPr>
        <w:rPr>
          <w:i/>
          <w:color w:val="FF0000"/>
        </w:rPr>
      </w:pPr>
    </w:p>
    <w:p w14:paraId="145BA48B" w14:textId="70649FC9" w:rsidR="00BE13A8" w:rsidRDefault="00033508">
      <w:pPr>
        <w:rPr>
          <w:color w:val="FF0000"/>
        </w:rPr>
      </w:pPr>
      <w:r>
        <w:rPr>
          <w:color w:val="FF0000"/>
        </w:rPr>
        <w:lastRenderedPageBreak/>
        <w:pict w14:anchorId="3382A06E">
          <v:shape id="_x0000_i1031" type="#_x0000_t75" alt="Showing charitable activities 2024 and support cost allocations 2025&#10;&#10;9. taxation&#10;Details Horniman's tax status as a charity and exemtions, as well as the enterprise." style="width:497.35pt;height:619.35pt">
            <v:imagedata r:id="rId17" o:title=""/>
          </v:shape>
        </w:pict>
      </w:r>
    </w:p>
    <w:p w14:paraId="1AC4124F" w14:textId="77777777" w:rsidR="00BE13A8" w:rsidRDefault="00BE13A8">
      <w:pPr>
        <w:rPr>
          <w:i/>
          <w:color w:val="FF0000"/>
        </w:rPr>
      </w:pPr>
    </w:p>
    <w:p w14:paraId="6EFF21CF" w14:textId="77777777" w:rsidR="00BE13A8" w:rsidRDefault="00BE13A8">
      <w:pPr>
        <w:rPr>
          <w:i/>
          <w:color w:val="FF0000"/>
        </w:rPr>
      </w:pPr>
    </w:p>
    <w:p w14:paraId="4CC0FC7B" w14:textId="3DE25820" w:rsidR="00BE13A8" w:rsidRDefault="00033508">
      <w:pPr>
        <w:rPr>
          <w:color w:val="FF0000"/>
        </w:rPr>
      </w:pPr>
      <w:r>
        <w:rPr>
          <w:color w:val="FF0000"/>
        </w:rPr>
        <w:lastRenderedPageBreak/>
        <w:pict w14:anchorId="35517919">
          <v:shape id="_x0000_i1032" type="#_x0000_t75" alt="Showing 10 - staff costs&#10;11, renumeration of key management personnel&#10;12 - staff numbers" style="width:496.65pt;height:625.35pt;mso-position-horizontal:absolute;mso-position-horizontal-relative:text;mso-position-vertical:absolute;mso-position-vertical-relative:text">
            <v:imagedata r:id="rId18" o:title="" cropbottom="-4215f"/>
          </v:shape>
        </w:pict>
      </w:r>
    </w:p>
    <w:p w14:paraId="22A2E54F" w14:textId="77777777" w:rsidR="00BE13A8" w:rsidRDefault="00BE13A8">
      <w:pPr>
        <w:rPr>
          <w:i/>
          <w:color w:val="FF0000"/>
        </w:rPr>
      </w:pPr>
    </w:p>
    <w:p w14:paraId="5E43CD62" w14:textId="77777777" w:rsidR="00BE13A8" w:rsidRDefault="00BE13A8">
      <w:pPr>
        <w:rPr>
          <w:i/>
          <w:color w:val="FF0000"/>
        </w:rPr>
      </w:pPr>
    </w:p>
    <w:p w14:paraId="6A2AFF97" w14:textId="77777777" w:rsidR="00BE13A8" w:rsidRDefault="00BE13A8">
      <w:pPr>
        <w:rPr>
          <w:i/>
          <w:color w:val="FF0000"/>
        </w:rPr>
      </w:pPr>
    </w:p>
    <w:p w14:paraId="0E9C3FA4" w14:textId="77777777" w:rsidR="00BE13A8" w:rsidRDefault="00BE13A8">
      <w:pPr>
        <w:rPr>
          <w:i/>
          <w:color w:val="FF0000"/>
        </w:rPr>
      </w:pPr>
    </w:p>
    <w:p w14:paraId="1B422CC1" w14:textId="77777777" w:rsidR="00BE13A8" w:rsidRDefault="00BE13A8">
      <w:pPr>
        <w:rPr>
          <w:i/>
          <w:color w:val="FF0000"/>
        </w:rPr>
      </w:pPr>
    </w:p>
    <w:p w14:paraId="54BBA81A" w14:textId="665E83BA" w:rsidR="00BE13A8" w:rsidRDefault="00033508">
      <w:pPr>
        <w:rPr>
          <w:b/>
          <w:color w:val="FF0000"/>
        </w:rPr>
      </w:pPr>
      <w:r>
        <w:rPr>
          <w:b/>
          <w:color w:val="FF0000"/>
        </w:rPr>
        <w:lastRenderedPageBreak/>
        <w:pict w14:anchorId="119F8575">
          <v:shape id="_x0000_i1033" type="#_x0000_t75" alt="Shows 13 - the trading subsidery&#10;14 - operational leases" style="width:496.65pt;height:253.35pt">
            <v:imagedata r:id="rId19" o:title=""/>
          </v:shape>
        </w:pict>
      </w:r>
    </w:p>
    <w:p w14:paraId="410BEB1A" w14:textId="77777777" w:rsidR="00A3133E" w:rsidRDefault="00A3133E">
      <w:pPr>
        <w:rPr>
          <w:b/>
          <w:color w:val="FF0000"/>
        </w:rPr>
      </w:pPr>
    </w:p>
    <w:p w14:paraId="3E2CCBEE" w14:textId="6BBAD1E6" w:rsidR="00BE13A8" w:rsidRPr="00A3133E" w:rsidRDefault="00D70530" w:rsidP="000226C1">
      <w:pPr>
        <w:pStyle w:val="Heading4"/>
      </w:pPr>
      <w:r w:rsidRPr="00A3133E">
        <w:t>15.</w:t>
      </w:r>
      <w:r w:rsidR="00BF059B" w:rsidRPr="00A3133E">
        <w:t xml:space="preserve"> </w:t>
      </w:r>
      <w:r w:rsidRPr="00A3133E">
        <w:t>Capital</w:t>
      </w:r>
      <w:r w:rsidR="00BF059B" w:rsidRPr="00A3133E">
        <w:t xml:space="preserve"> </w:t>
      </w:r>
      <w:r w:rsidRPr="00A3133E">
        <w:t>Commitments</w:t>
      </w:r>
    </w:p>
    <w:p w14:paraId="5798452C" w14:textId="3963AEC8" w:rsidR="00BE13A8" w:rsidRPr="00A3133E" w:rsidRDefault="00D70530">
      <w:pPr>
        <w:spacing w:line="276" w:lineRule="auto"/>
        <w:jc w:val="both"/>
        <w:rPr>
          <w:b/>
        </w:rPr>
      </w:pPr>
      <w:r w:rsidRPr="00A3133E">
        <w:t>There</w:t>
      </w:r>
      <w:r w:rsidR="00BF059B" w:rsidRPr="00A3133E">
        <w:t xml:space="preserve"> </w:t>
      </w:r>
      <w:r w:rsidRPr="00A3133E">
        <w:t>were</w:t>
      </w:r>
      <w:r w:rsidR="00BF059B" w:rsidRPr="00A3133E">
        <w:t xml:space="preserve"> </w:t>
      </w:r>
      <w:r w:rsidRPr="00A3133E">
        <w:t>no</w:t>
      </w:r>
      <w:r w:rsidR="00BF059B" w:rsidRPr="00A3133E">
        <w:t xml:space="preserve"> </w:t>
      </w:r>
      <w:r w:rsidRPr="00A3133E">
        <w:t>capital</w:t>
      </w:r>
      <w:r w:rsidR="00BF059B" w:rsidRPr="00A3133E">
        <w:t xml:space="preserve"> </w:t>
      </w:r>
      <w:r w:rsidRPr="00A3133E">
        <w:t>commitments</w:t>
      </w:r>
      <w:r w:rsidR="00BF059B" w:rsidRPr="00A3133E">
        <w:t xml:space="preserve"> </w:t>
      </w:r>
      <w:proofErr w:type="gramStart"/>
      <w:r w:rsidRPr="00A3133E">
        <w:t>at</w:t>
      </w:r>
      <w:proofErr w:type="gramEnd"/>
      <w:r w:rsidR="00BF059B" w:rsidRPr="00A3133E">
        <w:t xml:space="preserve"> </w:t>
      </w:r>
      <w:r w:rsidRPr="00A3133E">
        <w:t>31</w:t>
      </w:r>
      <w:r w:rsidR="00BF059B" w:rsidRPr="00A3133E">
        <w:t xml:space="preserve"> </w:t>
      </w:r>
      <w:r w:rsidRPr="00A3133E">
        <w:t>March</w:t>
      </w:r>
      <w:r w:rsidR="00BF059B" w:rsidRPr="00A3133E">
        <w:t xml:space="preserve"> </w:t>
      </w:r>
      <w:r w:rsidRPr="00A3133E">
        <w:t>2025</w:t>
      </w:r>
      <w:r w:rsidR="00BF059B" w:rsidRPr="00A3133E">
        <w:t xml:space="preserve"> </w:t>
      </w:r>
      <w:r w:rsidRPr="00A3133E">
        <w:t>(2024</w:t>
      </w:r>
      <w:r w:rsidR="00BF059B" w:rsidRPr="00A3133E">
        <w:t xml:space="preserve"> </w:t>
      </w:r>
      <w:r w:rsidRPr="00A3133E">
        <w:t>-</w:t>
      </w:r>
      <w:r w:rsidR="00BF059B" w:rsidRPr="00A3133E">
        <w:t xml:space="preserve"> </w:t>
      </w:r>
      <w:r w:rsidRPr="00A3133E">
        <w:t>£97k</w:t>
      </w:r>
      <w:r w:rsidRPr="00A3133E">
        <w:rPr>
          <w:b/>
        </w:rPr>
        <w:t>).</w:t>
      </w:r>
      <w:r w:rsidR="00BF059B" w:rsidRPr="00A3133E">
        <w:rPr>
          <w:b/>
        </w:rPr>
        <w:t xml:space="preserve">  </w:t>
      </w:r>
    </w:p>
    <w:p w14:paraId="07A28F6A" w14:textId="77777777" w:rsidR="00BE13A8" w:rsidRPr="00A3133E" w:rsidRDefault="00BE13A8" w:rsidP="00906D6D">
      <w:pPr>
        <w:pStyle w:val="Heading4"/>
      </w:pPr>
    </w:p>
    <w:p w14:paraId="0264949A" w14:textId="2566B0B8" w:rsidR="00BE13A8" w:rsidRPr="00A3133E" w:rsidRDefault="00D70530" w:rsidP="00906D6D">
      <w:pPr>
        <w:pStyle w:val="Heading4"/>
      </w:pPr>
      <w:r w:rsidRPr="00A3133E">
        <w:t>16</w:t>
      </w:r>
      <w:r w:rsidR="00BF059B" w:rsidRPr="00A3133E">
        <w:t xml:space="preserve"> </w:t>
      </w:r>
      <w:r w:rsidRPr="00A3133E">
        <w:t>Heritage</w:t>
      </w:r>
      <w:r w:rsidR="00BF059B" w:rsidRPr="00A3133E">
        <w:t xml:space="preserve"> </w:t>
      </w:r>
      <w:r w:rsidRPr="00A3133E">
        <w:t>Assets</w:t>
      </w:r>
      <w:bookmarkStart w:id="11" w:name="bookmark=id.75rz1s6qtw74" w:colFirst="0" w:colLast="0"/>
      <w:bookmarkEnd w:id="11"/>
    </w:p>
    <w:p w14:paraId="67A5892C" w14:textId="77777777" w:rsidR="00BE13A8" w:rsidRPr="00A3133E" w:rsidRDefault="00BE13A8">
      <w:pPr>
        <w:spacing w:line="276" w:lineRule="auto"/>
        <w:rPr>
          <w:b/>
        </w:rPr>
      </w:pPr>
    </w:p>
    <w:p w14:paraId="548C43CA" w14:textId="4C7FFEF6" w:rsidR="00BE13A8" w:rsidRPr="00A3133E" w:rsidRDefault="00D70530" w:rsidP="000226C1">
      <w:pPr>
        <w:pStyle w:val="Heading3"/>
      </w:pPr>
      <w:r w:rsidRPr="00A3133E">
        <w:t>16.1</w:t>
      </w:r>
      <w:r w:rsidR="00BF059B" w:rsidRPr="00A3133E">
        <w:t xml:space="preserve"> </w:t>
      </w:r>
      <w:r w:rsidRPr="00A3133E">
        <w:t>On-Balance-Sheet</w:t>
      </w:r>
      <w:r w:rsidR="00BF059B" w:rsidRPr="00A3133E">
        <w:t xml:space="preserve"> </w:t>
      </w:r>
      <w:r w:rsidRPr="00A3133E">
        <w:t>Heritage</w:t>
      </w:r>
      <w:r w:rsidR="00BF059B" w:rsidRPr="00A3133E">
        <w:t xml:space="preserve"> </w:t>
      </w:r>
      <w:r w:rsidRPr="00A3133E">
        <w:t>Assets</w:t>
      </w:r>
    </w:p>
    <w:tbl>
      <w:tblPr>
        <w:tblStyle w:val="4"/>
        <w:tblpPr w:leftFromText="180" w:rightFromText="180" w:vertAnchor="text" w:tblpY="132"/>
        <w:tblW w:w="6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838"/>
        <w:gridCol w:w="1570"/>
        <w:gridCol w:w="1704"/>
        <w:gridCol w:w="1705"/>
      </w:tblGrid>
      <w:tr w:rsidR="00BE13A8" w:rsidRPr="00A3133E" w14:paraId="51D52771" w14:textId="77777777" w:rsidTr="000226C1">
        <w:trPr>
          <w:trHeight w:val="386"/>
          <w:tblHeader/>
        </w:trPr>
        <w:tc>
          <w:tcPr>
            <w:tcW w:w="1838" w:type="dxa"/>
          </w:tcPr>
          <w:p w14:paraId="24116EF5" w14:textId="77777777" w:rsidR="00BE13A8" w:rsidRPr="00A3133E" w:rsidRDefault="00BE13A8">
            <w:pPr>
              <w:spacing w:line="276" w:lineRule="auto"/>
            </w:pPr>
          </w:p>
        </w:tc>
        <w:tc>
          <w:tcPr>
            <w:tcW w:w="1570" w:type="dxa"/>
          </w:tcPr>
          <w:p w14:paraId="4BDA66EC" w14:textId="0B59E1CC" w:rsidR="00BE13A8" w:rsidRPr="00A3133E" w:rsidRDefault="00D70530">
            <w:pPr>
              <w:spacing w:line="276" w:lineRule="auto"/>
              <w:jc w:val="right"/>
            </w:pPr>
            <w:r w:rsidRPr="00A3133E">
              <w:t>Acquisitions</w:t>
            </w:r>
            <w:r w:rsidR="00BF059B" w:rsidRPr="00A3133E">
              <w:t xml:space="preserve"> </w:t>
            </w:r>
            <w:r w:rsidRPr="00A3133E">
              <w:t>at</w:t>
            </w:r>
            <w:r w:rsidR="00BF059B" w:rsidRPr="00A3133E">
              <w:t xml:space="preserve"> </w:t>
            </w:r>
            <w:r w:rsidRPr="00A3133E">
              <w:t>historic</w:t>
            </w:r>
            <w:r w:rsidR="00BF059B" w:rsidRPr="00A3133E">
              <w:t xml:space="preserve"> </w:t>
            </w:r>
            <w:r w:rsidRPr="00A3133E">
              <w:t>cost</w:t>
            </w:r>
          </w:p>
        </w:tc>
        <w:tc>
          <w:tcPr>
            <w:tcW w:w="1704" w:type="dxa"/>
          </w:tcPr>
          <w:p w14:paraId="14AB553D" w14:textId="1126E033" w:rsidR="00BE13A8" w:rsidRPr="00A3133E" w:rsidRDefault="00D70530">
            <w:pPr>
              <w:spacing w:line="276" w:lineRule="auto"/>
              <w:jc w:val="right"/>
            </w:pPr>
            <w:r w:rsidRPr="00A3133E">
              <w:t>Assets</w:t>
            </w:r>
            <w:r w:rsidR="00BF059B" w:rsidRPr="00A3133E">
              <w:t xml:space="preserve"> </w:t>
            </w:r>
            <w:r w:rsidRPr="00A3133E">
              <w:t>at</w:t>
            </w:r>
            <w:r w:rsidR="00BF059B" w:rsidRPr="00A3133E">
              <w:t xml:space="preserve"> </w:t>
            </w:r>
            <w:r w:rsidRPr="00A3133E">
              <w:t>valuation</w:t>
            </w:r>
          </w:p>
        </w:tc>
        <w:tc>
          <w:tcPr>
            <w:tcW w:w="1705" w:type="dxa"/>
          </w:tcPr>
          <w:p w14:paraId="0BF1AF0C" w14:textId="77777777" w:rsidR="00BE13A8" w:rsidRPr="00A3133E" w:rsidRDefault="00D70530">
            <w:pPr>
              <w:spacing w:line="276" w:lineRule="auto"/>
              <w:jc w:val="right"/>
            </w:pPr>
            <w:r w:rsidRPr="00A3133E">
              <w:t>Total</w:t>
            </w:r>
          </w:p>
        </w:tc>
      </w:tr>
      <w:tr w:rsidR="00BE13A8" w:rsidRPr="00A3133E" w14:paraId="02C16C8C" w14:textId="77777777" w:rsidTr="000226C1">
        <w:trPr>
          <w:tblHeader/>
        </w:trPr>
        <w:tc>
          <w:tcPr>
            <w:tcW w:w="1838" w:type="dxa"/>
          </w:tcPr>
          <w:p w14:paraId="7956E9D9" w14:textId="77777777" w:rsidR="00BE13A8" w:rsidRPr="00A3133E" w:rsidRDefault="00BE13A8">
            <w:pPr>
              <w:spacing w:line="276" w:lineRule="auto"/>
            </w:pPr>
          </w:p>
        </w:tc>
        <w:tc>
          <w:tcPr>
            <w:tcW w:w="1570" w:type="dxa"/>
          </w:tcPr>
          <w:p w14:paraId="165614D5" w14:textId="45212519" w:rsidR="00BE13A8" w:rsidRPr="00A3133E" w:rsidRDefault="00D70530">
            <w:pPr>
              <w:spacing w:line="276" w:lineRule="auto"/>
              <w:jc w:val="right"/>
            </w:pPr>
            <w:r w:rsidRPr="00A3133E">
              <w:t>£000</w:t>
            </w:r>
            <w:r w:rsidR="00BF059B" w:rsidRPr="00A3133E">
              <w:t xml:space="preserve"> </w:t>
            </w:r>
          </w:p>
        </w:tc>
        <w:tc>
          <w:tcPr>
            <w:tcW w:w="1704" w:type="dxa"/>
          </w:tcPr>
          <w:p w14:paraId="7F69F189" w14:textId="42FB9EF0" w:rsidR="00BE13A8" w:rsidRPr="00A3133E" w:rsidRDefault="00D70530">
            <w:pPr>
              <w:spacing w:line="276" w:lineRule="auto"/>
              <w:jc w:val="right"/>
            </w:pPr>
            <w:r w:rsidRPr="00A3133E">
              <w:t>£000</w:t>
            </w:r>
            <w:r w:rsidR="00BF059B" w:rsidRPr="00A3133E">
              <w:t xml:space="preserve"> </w:t>
            </w:r>
          </w:p>
        </w:tc>
        <w:tc>
          <w:tcPr>
            <w:tcW w:w="1705" w:type="dxa"/>
          </w:tcPr>
          <w:p w14:paraId="1E6423E3" w14:textId="78EACEDE" w:rsidR="00BE13A8" w:rsidRPr="00A3133E" w:rsidRDefault="00D70530">
            <w:pPr>
              <w:spacing w:line="276" w:lineRule="auto"/>
              <w:jc w:val="right"/>
            </w:pPr>
            <w:r w:rsidRPr="00A3133E">
              <w:t>£</w:t>
            </w:r>
            <w:r w:rsidR="00BF059B" w:rsidRPr="00A3133E">
              <w:t xml:space="preserve"> </w:t>
            </w:r>
            <w:r w:rsidRPr="00A3133E">
              <w:t>000</w:t>
            </w:r>
          </w:p>
        </w:tc>
      </w:tr>
      <w:tr w:rsidR="00BE13A8" w:rsidRPr="00A3133E" w14:paraId="425F5102" w14:textId="77777777" w:rsidTr="000226C1">
        <w:trPr>
          <w:tblHeader/>
        </w:trPr>
        <w:tc>
          <w:tcPr>
            <w:tcW w:w="1838" w:type="dxa"/>
          </w:tcPr>
          <w:p w14:paraId="516DE95C" w14:textId="1F07BB33" w:rsidR="00BE13A8" w:rsidRPr="00A3133E" w:rsidRDefault="00D70530">
            <w:pPr>
              <w:spacing w:line="276" w:lineRule="auto"/>
              <w:rPr>
                <w:highlight w:val="yellow"/>
              </w:rPr>
            </w:pPr>
            <w:proofErr w:type="gramStart"/>
            <w:r w:rsidRPr="00A3133E">
              <w:t>At</w:t>
            </w:r>
            <w:proofErr w:type="gramEnd"/>
            <w:r w:rsidR="00BF059B" w:rsidRPr="00A3133E">
              <w:t xml:space="preserve"> </w:t>
            </w:r>
            <w:r w:rsidRPr="00A3133E">
              <w:t>1</w:t>
            </w:r>
            <w:r w:rsidR="00BF059B" w:rsidRPr="00A3133E">
              <w:t xml:space="preserve"> </w:t>
            </w:r>
            <w:r w:rsidRPr="00A3133E">
              <w:t>April</w:t>
            </w:r>
            <w:r w:rsidR="00BF059B" w:rsidRPr="00A3133E">
              <w:t xml:space="preserve"> </w:t>
            </w:r>
            <w:r w:rsidRPr="00A3133E">
              <w:t>2024</w:t>
            </w:r>
          </w:p>
        </w:tc>
        <w:tc>
          <w:tcPr>
            <w:tcW w:w="1570" w:type="dxa"/>
          </w:tcPr>
          <w:p w14:paraId="009E589A" w14:textId="77777777" w:rsidR="00BE13A8" w:rsidRPr="00A3133E" w:rsidRDefault="00D70530">
            <w:pPr>
              <w:spacing w:line="276" w:lineRule="auto"/>
              <w:jc w:val="right"/>
            </w:pPr>
            <w:r w:rsidRPr="00A3133E">
              <w:t>336</w:t>
            </w:r>
          </w:p>
        </w:tc>
        <w:tc>
          <w:tcPr>
            <w:tcW w:w="1704" w:type="dxa"/>
          </w:tcPr>
          <w:p w14:paraId="55B9BED2" w14:textId="012FDBB6" w:rsidR="00BE13A8" w:rsidRPr="00A3133E" w:rsidRDefault="00BF059B">
            <w:pPr>
              <w:spacing w:line="276" w:lineRule="auto"/>
              <w:jc w:val="right"/>
            </w:pPr>
            <w:r w:rsidRPr="00A3133E">
              <w:t xml:space="preserve">             </w:t>
            </w:r>
            <w:r w:rsidR="00D70530" w:rsidRPr="00A3133E">
              <w:t>240</w:t>
            </w:r>
            <w:r w:rsidRPr="00A3133E">
              <w:t xml:space="preserve">       </w:t>
            </w:r>
          </w:p>
        </w:tc>
        <w:tc>
          <w:tcPr>
            <w:tcW w:w="1705" w:type="dxa"/>
          </w:tcPr>
          <w:p w14:paraId="51DA64F1" w14:textId="77777777" w:rsidR="00BE13A8" w:rsidRPr="00A3133E" w:rsidRDefault="00D70530">
            <w:pPr>
              <w:spacing w:line="276" w:lineRule="auto"/>
              <w:jc w:val="right"/>
            </w:pPr>
            <w:r w:rsidRPr="00A3133E">
              <w:t>576</w:t>
            </w:r>
          </w:p>
        </w:tc>
      </w:tr>
      <w:tr w:rsidR="00BE13A8" w:rsidRPr="00A3133E" w14:paraId="22DFCA91" w14:textId="77777777" w:rsidTr="000226C1">
        <w:trPr>
          <w:tblHeader/>
        </w:trPr>
        <w:tc>
          <w:tcPr>
            <w:tcW w:w="1838" w:type="dxa"/>
          </w:tcPr>
          <w:p w14:paraId="5DB3A34D" w14:textId="77777777" w:rsidR="00BE13A8" w:rsidRPr="00A3133E" w:rsidRDefault="00D70530">
            <w:pPr>
              <w:spacing w:line="276" w:lineRule="auto"/>
            </w:pPr>
            <w:r w:rsidRPr="00A3133E">
              <w:t>Additions</w:t>
            </w:r>
          </w:p>
        </w:tc>
        <w:tc>
          <w:tcPr>
            <w:tcW w:w="1570" w:type="dxa"/>
          </w:tcPr>
          <w:p w14:paraId="4F8C9830" w14:textId="77777777" w:rsidR="00BE13A8" w:rsidRPr="00A3133E" w:rsidRDefault="00D70530">
            <w:pPr>
              <w:spacing w:line="276" w:lineRule="auto"/>
              <w:jc w:val="right"/>
            </w:pPr>
            <w:r w:rsidRPr="00A3133E">
              <w:t>-</w:t>
            </w:r>
          </w:p>
        </w:tc>
        <w:tc>
          <w:tcPr>
            <w:tcW w:w="1704" w:type="dxa"/>
          </w:tcPr>
          <w:p w14:paraId="5FB753C2" w14:textId="77777777" w:rsidR="00BE13A8" w:rsidRPr="00A3133E" w:rsidRDefault="00D70530">
            <w:pPr>
              <w:spacing w:line="276" w:lineRule="auto"/>
              <w:jc w:val="right"/>
            </w:pPr>
            <w:r w:rsidRPr="00A3133E">
              <w:t>-</w:t>
            </w:r>
          </w:p>
        </w:tc>
        <w:tc>
          <w:tcPr>
            <w:tcW w:w="1705" w:type="dxa"/>
          </w:tcPr>
          <w:p w14:paraId="17153004" w14:textId="77777777" w:rsidR="00BE13A8" w:rsidRPr="00A3133E" w:rsidRDefault="00D70530">
            <w:pPr>
              <w:spacing w:line="276" w:lineRule="auto"/>
              <w:jc w:val="right"/>
            </w:pPr>
            <w:r w:rsidRPr="00A3133E">
              <w:t>-</w:t>
            </w:r>
          </w:p>
        </w:tc>
      </w:tr>
      <w:tr w:rsidR="00BE13A8" w:rsidRPr="00A3133E" w14:paraId="33FAA034" w14:textId="77777777" w:rsidTr="000226C1">
        <w:trPr>
          <w:tblHeader/>
        </w:trPr>
        <w:tc>
          <w:tcPr>
            <w:tcW w:w="1838" w:type="dxa"/>
          </w:tcPr>
          <w:p w14:paraId="7E6AF098" w14:textId="77777777" w:rsidR="00BE13A8" w:rsidRPr="00A3133E" w:rsidRDefault="00D70530">
            <w:pPr>
              <w:spacing w:line="276" w:lineRule="auto"/>
            </w:pPr>
            <w:r w:rsidRPr="00A3133E">
              <w:t>Revaluation</w:t>
            </w:r>
          </w:p>
        </w:tc>
        <w:tc>
          <w:tcPr>
            <w:tcW w:w="1570" w:type="dxa"/>
          </w:tcPr>
          <w:p w14:paraId="679CE1D7" w14:textId="77777777" w:rsidR="00BE13A8" w:rsidRPr="00A3133E" w:rsidRDefault="00D70530">
            <w:pPr>
              <w:spacing w:line="276" w:lineRule="auto"/>
              <w:jc w:val="right"/>
            </w:pPr>
            <w:r w:rsidRPr="00A3133E">
              <w:t>-</w:t>
            </w:r>
          </w:p>
        </w:tc>
        <w:tc>
          <w:tcPr>
            <w:tcW w:w="1704" w:type="dxa"/>
          </w:tcPr>
          <w:p w14:paraId="0890E13B" w14:textId="77777777" w:rsidR="00BE13A8" w:rsidRPr="00A3133E" w:rsidRDefault="00D70530">
            <w:pPr>
              <w:spacing w:line="276" w:lineRule="auto"/>
              <w:jc w:val="right"/>
            </w:pPr>
            <w:r w:rsidRPr="00A3133E">
              <w:t>-</w:t>
            </w:r>
          </w:p>
        </w:tc>
        <w:tc>
          <w:tcPr>
            <w:tcW w:w="1705" w:type="dxa"/>
          </w:tcPr>
          <w:p w14:paraId="391D4C08" w14:textId="77777777" w:rsidR="00BE13A8" w:rsidRPr="00A3133E" w:rsidRDefault="00D70530">
            <w:pPr>
              <w:spacing w:line="276" w:lineRule="auto"/>
              <w:jc w:val="right"/>
            </w:pPr>
            <w:r w:rsidRPr="00A3133E">
              <w:t>-</w:t>
            </w:r>
          </w:p>
        </w:tc>
      </w:tr>
      <w:tr w:rsidR="00BE13A8" w:rsidRPr="00A3133E" w14:paraId="039EA680" w14:textId="77777777" w:rsidTr="000226C1">
        <w:trPr>
          <w:tblHeader/>
        </w:trPr>
        <w:tc>
          <w:tcPr>
            <w:tcW w:w="1838" w:type="dxa"/>
          </w:tcPr>
          <w:p w14:paraId="30E0C7CE" w14:textId="5F6808D2" w:rsidR="00BE13A8" w:rsidRPr="00A3133E" w:rsidRDefault="00D70530">
            <w:pPr>
              <w:spacing w:line="276" w:lineRule="auto"/>
            </w:pPr>
            <w:proofErr w:type="gramStart"/>
            <w:r w:rsidRPr="00A3133E">
              <w:t>At</w:t>
            </w:r>
            <w:proofErr w:type="gramEnd"/>
            <w:r w:rsidR="00BF059B" w:rsidRPr="00A3133E">
              <w:t xml:space="preserve"> </w:t>
            </w:r>
            <w:r w:rsidRPr="00A3133E">
              <w:t>31</w:t>
            </w:r>
            <w:r w:rsidR="00BF059B" w:rsidRPr="00A3133E">
              <w:t xml:space="preserve"> </w:t>
            </w:r>
            <w:r w:rsidRPr="00A3133E">
              <w:t>March</w:t>
            </w:r>
            <w:r w:rsidR="00BF059B" w:rsidRPr="00A3133E">
              <w:t xml:space="preserve"> </w:t>
            </w:r>
            <w:r w:rsidRPr="00A3133E">
              <w:t>2025</w:t>
            </w:r>
          </w:p>
        </w:tc>
        <w:tc>
          <w:tcPr>
            <w:tcW w:w="1570" w:type="dxa"/>
          </w:tcPr>
          <w:p w14:paraId="3A5DE64E" w14:textId="77777777" w:rsidR="00BE13A8" w:rsidRPr="00A3133E" w:rsidRDefault="00D70530">
            <w:pPr>
              <w:spacing w:line="276" w:lineRule="auto"/>
              <w:jc w:val="right"/>
            </w:pPr>
            <w:r w:rsidRPr="00A3133E">
              <w:t>336</w:t>
            </w:r>
          </w:p>
        </w:tc>
        <w:tc>
          <w:tcPr>
            <w:tcW w:w="1704" w:type="dxa"/>
          </w:tcPr>
          <w:p w14:paraId="3F590837" w14:textId="0EA25DCC" w:rsidR="00BE13A8" w:rsidRPr="00A3133E" w:rsidRDefault="00BF059B">
            <w:pPr>
              <w:spacing w:line="276" w:lineRule="auto"/>
              <w:jc w:val="right"/>
            </w:pPr>
            <w:r w:rsidRPr="00A3133E">
              <w:t xml:space="preserve">             </w:t>
            </w:r>
            <w:r w:rsidR="00D70530" w:rsidRPr="00A3133E">
              <w:t>240</w:t>
            </w:r>
            <w:r w:rsidRPr="00A3133E">
              <w:t xml:space="preserve">       </w:t>
            </w:r>
          </w:p>
        </w:tc>
        <w:tc>
          <w:tcPr>
            <w:tcW w:w="1705" w:type="dxa"/>
          </w:tcPr>
          <w:p w14:paraId="559D0391" w14:textId="77777777" w:rsidR="00BE13A8" w:rsidRPr="00A3133E" w:rsidRDefault="00D70530">
            <w:pPr>
              <w:spacing w:line="276" w:lineRule="auto"/>
              <w:jc w:val="right"/>
            </w:pPr>
            <w:r w:rsidRPr="00A3133E">
              <w:t>576</w:t>
            </w:r>
          </w:p>
        </w:tc>
      </w:tr>
    </w:tbl>
    <w:p w14:paraId="78662149" w14:textId="77777777" w:rsidR="00BE13A8" w:rsidRPr="00A3133E" w:rsidRDefault="00BE13A8">
      <w:pPr>
        <w:spacing w:line="276" w:lineRule="auto"/>
      </w:pPr>
    </w:p>
    <w:p w14:paraId="0117F4D8" w14:textId="77777777" w:rsidR="00BE13A8" w:rsidRPr="00A3133E" w:rsidRDefault="00BE13A8">
      <w:pPr>
        <w:spacing w:line="276" w:lineRule="auto"/>
      </w:pPr>
    </w:p>
    <w:p w14:paraId="0F18B7BF" w14:textId="77777777" w:rsidR="00BE13A8" w:rsidRPr="00A3133E" w:rsidRDefault="00BE13A8">
      <w:pPr>
        <w:spacing w:line="276" w:lineRule="auto"/>
      </w:pPr>
    </w:p>
    <w:p w14:paraId="424DD37C" w14:textId="77777777" w:rsidR="00BE13A8" w:rsidRPr="00A3133E" w:rsidRDefault="00BE13A8">
      <w:pPr>
        <w:spacing w:line="276" w:lineRule="auto"/>
      </w:pPr>
    </w:p>
    <w:p w14:paraId="3EB70AC2" w14:textId="77777777" w:rsidR="00BE13A8" w:rsidRPr="00A3133E" w:rsidRDefault="00BE13A8">
      <w:pPr>
        <w:spacing w:line="276" w:lineRule="auto"/>
      </w:pPr>
    </w:p>
    <w:p w14:paraId="0F249A62" w14:textId="77777777" w:rsidR="00BE13A8" w:rsidRPr="00A3133E" w:rsidRDefault="00BE13A8">
      <w:pPr>
        <w:spacing w:line="276" w:lineRule="auto"/>
      </w:pPr>
    </w:p>
    <w:p w14:paraId="0A435648" w14:textId="77777777" w:rsidR="00BE13A8" w:rsidRPr="00A3133E" w:rsidRDefault="00BE13A8">
      <w:pPr>
        <w:spacing w:line="276" w:lineRule="auto"/>
      </w:pPr>
    </w:p>
    <w:p w14:paraId="5451AFDE" w14:textId="77777777" w:rsidR="00BE13A8" w:rsidRPr="00A3133E" w:rsidRDefault="00BE13A8">
      <w:pPr>
        <w:spacing w:line="276" w:lineRule="auto"/>
      </w:pPr>
    </w:p>
    <w:p w14:paraId="4959263E" w14:textId="77777777" w:rsidR="000226C1" w:rsidRDefault="000226C1">
      <w:pPr>
        <w:spacing w:line="276" w:lineRule="auto"/>
      </w:pPr>
    </w:p>
    <w:p w14:paraId="7C3A5A96" w14:textId="77777777" w:rsidR="000226C1" w:rsidRDefault="000226C1">
      <w:pPr>
        <w:spacing w:line="276" w:lineRule="auto"/>
      </w:pPr>
    </w:p>
    <w:p w14:paraId="5CD4BBD3" w14:textId="7C1CE998" w:rsidR="00BE13A8" w:rsidRPr="00A3133E" w:rsidRDefault="00D70530">
      <w:pPr>
        <w:spacing w:line="276" w:lineRule="auto"/>
      </w:pPr>
      <w:r w:rsidRPr="00A3133E">
        <w:t>No</w:t>
      </w:r>
      <w:r w:rsidR="00BF059B" w:rsidRPr="00A3133E">
        <w:t xml:space="preserve"> </w:t>
      </w:r>
      <w:r w:rsidRPr="00A3133E">
        <w:t>capitalised</w:t>
      </w:r>
      <w:r w:rsidR="00BF059B" w:rsidRPr="00A3133E">
        <w:t xml:space="preserve"> </w:t>
      </w:r>
      <w:r w:rsidRPr="00A3133E">
        <w:t>collection</w:t>
      </w:r>
      <w:r w:rsidR="00BF059B" w:rsidRPr="00A3133E">
        <w:t xml:space="preserve"> </w:t>
      </w:r>
      <w:r w:rsidRPr="00A3133E">
        <w:t>objects</w:t>
      </w:r>
      <w:r w:rsidR="00BF059B" w:rsidRPr="00A3133E">
        <w:t xml:space="preserve"> </w:t>
      </w:r>
      <w:r w:rsidRPr="00A3133E">
        <w:t>were</w:t>
      </w:r>
      <w:r w:rsidR="00BF059B" w:rsidRPr="00A3133E">
        <w:t xml:space="preserve"> </w:t>
      </w:r>
      <w:r w:rsidRPr="00A3133E">
        <w:t>disposed</w:t>
      </w:r>
      <w:r w:rsidR="00BF059B" w:rsidRPr="00A3133E">
        <w:t xml:space="preserve"> </w:t>
      </w:r>
      <w:r w:rsidRPr="00A3133E">
        <w:t>of</w:t>
      </w:r>
      <w:r w:rsidR="00BF059B" w:rsidRPr="00A3133E">
        <w:t xml:space="preserve"> </w:t>
      </w:r>
      <w:r w:rsidRPr="00A3133E">
        <w:t>during</w:t>
      </w:r>
      <w:r w:rsidR="00BF059B" w:rsidRPr="00A3133E">
        <w:t xml:space="preserve"> </w:t>
      </w:r>
      <w:r w:rsidRPr="00A3133E">
        <w:t>the</w:t>
      </w:r>
      <w:r w:rsidR="00BF059B" w:rsidRPr="00A3133E">
        <w:t xml:space="preserve"> </w:t>
      </w:r>
      <w:r w:rsidRPr="00A3133E">
        <w:t>year.</w:t>
      </w:r>
    </w:p>
    <w:p w14:paraId="6836883C" w14:textId="77777777" w:rsidR="00BE13A8" w:rsidRPr="00A3133E" w:rsidRDefault="00BE13A8">
      <w:pPr>
        <w:spacing w:after="120" w:line="276" w:lineRule="auto"/>
        <w:rPr>
          <w:b/>
          <w:color w:val="FF0000"/>
        </w:rPr>
      </w:pPr>
    </w:p>
    <w:p w14:paraId="0F1545EF" w14:textId="272CE16F" w:rsidR="00BE13A8" w:rsidRPr="00A3133E" w:rsidRDefault="00D70530" w:rsidP="000226C1">
      <w:pPr>
        <w:pStyle w:val="Heading3"/>
      </w:pPr>
      <w:r w:rsidRPr="00A3133E">
        <w:t>16.2</w:t>
      </w:r>
      <w:r w:rsidR="00BF059B" w:rsidRPr="00A3133E">
        <w:t xml:space="preserve"> </w:t>
      </w:r>
      <w:r w:rsidRPr="00A3133E">
        <w:t>Three-year</w:t>
      </w:r>
      <w:r w:rsidR="00BF059B" w:rsidRPr="00A3133E">
        <w:t xml:space="preserve"> </w:t>
      </w:r>
      <w:r w:rsidRPr="00A3133E">
        <w:t>financial</w:t>
      </w:r>
      <w:r w:rsidR="00BF059B" w:rsidRPr="00A3133E">
        <w:t xml:space="preserve"> </w:t>
      </w:r>
      <w:r w:rsidRPr="00A3133E">
        <w:t>summary</w:t>
      </w:r>
      <w:r w:rsidR="00BF059B" w:rsidRPr="00A3133E">
        <w:t xml:space="preserve"> </w:t>
      </w:r>
      <w:r w:rsidRPr="00A3133E">
        <w:t>of</w:t>
      </w:r>
      <w:r w:rsidR="00BF059B" w:rsidRPr="00A3133E">
        <w:t xml:space="preserve"> </w:t>
      </w:r>
      <w:r w:rsidRPr="00A3133E">
        <w:t>heritage</w:t>
      </w:r>
      <w:r w:rsidR="00BF059B" w:rsidRPr="00A3133E">
        <w:t xml:space="preserve"> </w:t>
      </w:r>
      <w:r w:rsidRPr="00A3133E">
        <w:t>asset</w:t>
      </w:r>
      <w:r w:rsidR="00BF059B" w:rsidRPr="00A3133E">
        <w:t xml:space="preserve"> </w:t>
      </w:r>
      <w:r w:rsidRPr="00A3133E">
        <w:t>transactions</w:t>
      </w:r>
    </w:p>
    <w:tbl>
      <w:tblPr>
        <w:tblStyle w:val="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Three-year financial summary of heritage asset transactions"/>
        <w:tblDescription w:val="Showing additions, purchases and donations across three years by amount and number of items"/>
      </w:tblPr>
      <w:tblGrid>
        <w:gridCol w:w="1413"/>
        <w:gridCol w:w="1276"/>
        <w:gridCol w:w="1134"/>
        <w:gridCol w:w="1417"/>
        <w:gridCol w:w="1418"/>
        <w:gridCol w:w="1275"/>
        <w:gridCol w:w="1560"/>
      </w:tblGrid>
      <w:tr w:rsidR="001C1379" w:rsidRPr="00A3133E" w14:paraId="541B870C" w14:textId="77777777" w:rsidTr="00E26A74">
        <w:trPr>
          <w:tblHeader/>
        </w:trPr>
        <w:tc>
          <w:tcPr>
            <w:tcW w:w="1413" w:type="dxa"/>
          </w:tcPr>
          <w:p w14:paraId="3E289706" w14:textId="77777777" w:rsidR="001C1379" w:rsidRPr="00A3133E" w:rsidRDefault="001C1379">
            <w:pPr>
              <w:spacing w:before="120" w:line="276" w:lineRule="auto"/>
            </w:pPr>
          </w:p>
        </w:tc>
        <w:tc>
          <w:tcPr>
            <w:tcW w:w="1276" w:type="dxa"/>
          </w:tcPr>
          <w:p w14:paraId="12B88B6A" w14:textId="77777777" w:rsidR="001C1379" w:rsidRPr="00A3133E" w:rsidRDefault="001C1379">
            <w:pPr>
              <w:spacing w:line="276" w:lineRule="auto"/>
              <w:jc w:val="center"/>
            </w:pPr>
            <w:r w:rsidRPr="00A3133E">
              <w:t>2024-2025</w:t>
            </w:r>
          </w:p>
        </w:tc>
        <w:tc>
          <w:tcPr>
            <w:tcW w:w="1134" w:type="dxa"/>
          </w:tcPr>
          <w:p w14:paraId="363699AC" w14:textId="2848FA56" w:rsidR="001C1379" w:rsidRPr="00A3133E" w:rsidRDefault="001C1379">
            <w:pPr>
              <w:spacing w:line="276" w:lineRule="auto"/>
              <w:jc w:val="center"/>
            </w:pPr>
          </w:p>
        </w:tc>
        <w:tc>
          <w:tcPr>
            <w:tcW w:w="1417" w:type="dxa"/>
          </w:tcPr>
          <w:p w14:paraId="21799C00" w14:textId="77777777" w:rsidR="001C1379" w:rsidRPr="00A3133E" w:rsidRDefault="001C1379">
            <w:pPr>
              <w:spacing w:line="276" w:lineRule="auto"/>
              <w:jc w:val="center"/>
            </w:pPr>
            <w:r w:rsidRPr="00A3133E">
              <w:t>2023-2024</w:t>
            </w:r>
          </w:p>
        </w:tc>
        <w:tc>
          <w:tcPr>
            <w:tcW w:w="1418" w:type="dxa"/>
          </w:tcPr>
          <w:p w14:paraId="67B222D0" w14:textId="63251A94" w:rsidR="001C1379" w:rsidRPr="00A3133E" w:rsidRDefault="001C1379">
            <w:pPr>
              <w:spacing w:line="276" w:lineRule="auto"/>
              <w:jc w:val="center"/>
            </w:pPr>
          </w:p>
        </w:tc>
        <w:tc>
          <w:tcPr>
            <w:tcW w:w="1275" w:type="dxa"/>
          </w:tcPr>
          <w:p w14:paraId="4AF51B26" w14:textId="77777777" w:rsidR="001C1379" w:rsidRPr="00A3133E" w:rsidRDefault="001C1379">
            <w:pPr>
              <w:spacing w:line="276" w:lineRule="auto"/>
              <w:jc w:val="center"/>
            </w:pPr>
            <w:r w:rsidRPr="00A3133E">
              <w:t>2022-2023</w:t>
            </w:r>
          </w:p>
        </w:tc>
        <w:tc>
          <w:tcPr>
            <w:tcW w:w="1560" w:type="dxa"/>
          </w:tcPr>
          <w:p w14:paraId="37EE82C5" w14:textId="016CEE0D" w:rsidR="001C1379" w:rsidRPr="00A3133E" w:rsidRDefault="001C1379">
            <w:pPr>
              <w:spacing w:line="276" w:lineRule="auto"/>
              <w:jc w:val="center"/>
            </w:pPr>
          </w:p>
        </w:tc>
      </w:tr>
      <w:tr w:rsidR="00BE13A8" w:rsidRPr="00A3133E" w14:paraId="1ECB4BFC" w14:textId="77777777" w:rsidTr="00E26A74">
        <w:trPr>
          <w:tblHeader/>
        </w:trPr>
        <w:tc>
          <w:tcPr>
            <w:tcW w:w="1413" w:type="dxa"/>
          </w:tcPr>
          <w:p w14:paraId="3F18BC23" w14:textId="77777777" w:rsidR="00BE13A8" w:rsidRPr="00A3133E" w:rsidRDefault="00BE13A8">
            <w:pPr>
              <w:spacing w:line="276" w:lineRule="auto"/>
            </w:pPr>
          </w:p>
        </w:tc>
        <w:tc>
          <w:tcPr>
            <w:tcW w:w="1276" w:type="dxa"/>
          </w:tcPr>
          <w:p w14:paraId="32F67052" w14:textId="77777777" w:rsidR="00BE13A8" w:rsidRPr="00A3133E" w:rsidRDefault="00D70530">
            <w:pPr>
              <w:spacing w:line="276" w:lineRule="auto"/>
              <w:jc w:val="right"/>
            </w:pPr>
            <w:r w:rsidRPr="00A3133E">
              <w:t>£’000</w:t>
            </w:r>
          </w:p>
          <w:p w14:paraId="333FB8F4" w14:textId="77777777" w:rsidR="00BE13A8" w:rsidRPr="00A3133E" w:rsidRDefault="00BE13A8">
            <w:pPr>
              <w:spacing w:line="276" w:lineRule="auto"/>
              <w:jc w:val="right"/>
            </w:pPr>
          </w:p>
        </w:tc>
        <w:tc>
          <w:tcPr>
            <w:tcW w:w="1134" w:type="dxa"/>
          </w:tcPr>
          <w:p w14:paraId="2EA74734" w14:textId="0AC38D42" w:rsidR="00BE13A8" w:rsidRPr="00A3133E" w:rsidRDefault="00D70530">
            <w:pPr>
              <w:spacing w:line="276" w:lineRule="auto"/>
              <w:jc w:val="right"/>
            </w:pPr>
            <w:r w:rsidRPr="00A3133E">
              <w:t>Number</w:t>
            </w:r>
            <w:r w:rsidR="00BF059B" w:rsidRPr="00A3133E">
              <w:t xml:space="preserve"> </w:t>
            </w:r>
            <w:r w:rsidRPr="00A3133E">
              <w:t>of</w:t>
            </w:r>
            <w:r w:rsidR="00BF059B" w:rsidRPr="00A3133E">
              <w:t xml:space="preserve"> </w:t>
            </w:r>
            <w:r w:rsidRPr="00A3133E">
              <w:t>items</w:t>
            </w:r>
          </w:p>
        </w:tc>
        <w:tc>
          <w:tcPr>
            <w:tcW w:w="1417" w:type="dxa"/>
          </w:tcPr>
          <w:p w14:paraId="62635235" w14:textId="5215072D" w:rsidR="00BE13A8" w:rsidRPr="00A3133E" w:rsidRDefault="00D70530">
            <w:pPr>
              <w:spacing w:line="276" w:lineRule="auto"/>
              <w:jc w:val="right"/>
            </w:pPr>
            <w:r w:rsidRPr="00A3133E">
              <w:t>£’000</w:t>
            </w:r>
            <w:r w:rsidR="00BF059B" w:rsidRPr="00A3133E">
              <w:t xml:space="preserve"> </w:t>
            </w:r>
          </w:p>
        </w:tc>
        <w:tc>
          <w:tcPr>
            <w:tcW w:w="1418" w:type="dxa"/>
          </w:tcPr>
          <w:p w14:paraId="17559D90" w14:textId="439D54D4" w:rsidR="00BE13A8" w:rsidRPr="00A3133E" w:rsidRDefault="00D70530">
            <w:pPr>
              <w:spacing w:line="276" w:lineRule="auto"/>
              <w:jc w:val="right"/>
            </w:pPr>
            <w:r w:rsidRPr="00A3133E">
              <w:t>Number</w:t>
            </w:r>
            <w:r w:rsidR="00BF059B" w:rsidRPr="00A3133E">
              <w:t xml:space="preserve"> </w:t>
            </w:r>
            <w:r w:rsidRPr="00A3133E">
              <w:t>of</w:t>
            </w:r>
            <w:r w:rsidR="00BF059B" w:rsidRPr="00A3133E">
              <w:t xml:space="preserve"> </w:t>
            </w:r>
            <w:r w:rsidRPr="00A3133E">
              <w:t>items</w:t>
            </w:r>
          </w:p>
        </w:tc>
        <w:tc>
          <w:tcPr>
            <w:tcW w:w="1275" w:type="dxa"/>
          </w:tcPr>
          <w:p w14:paraId="4A8A5CC7" w14:textId="02E382ED" w:rsidR="00BE13A8" w:rsidRPr="00A3133E" w:rsidRDefault="00D70530">
            <w:pPr>
              <w:spacing w:line="276" w:lineRule="auto"/>
              <w:jc w:val="right"/>
            </w:pPr>
            <w:r w:rsidRPr="00A3133E">
              <w:t>£’000</w:t>
            </w:r>
            <w:r w:rsidR="00BF059B" w:rsidRPr="00A3133E">
              <w:t xml:space="preserve"> </w:t>
            </w:r>
          </w:p>
        </w:tc>
        <w:tc>
          <w:tcPr>
            <w:tcW w:w="1560" w:type="dxa"/>
          </w:tcPr>
          <w:p w14:paraId="3916125D" w14:textId="02ACE60A" w:rsidR="00BE13A8" w:rsidRPr="00A3133E" w:rsidRDefault="00D70530">
            <w:pPr>
              <w:spacing w:line="276" w:lineRule="auto"/>
              <w:jc w:val="right"/>
            </w:pPr>
            <w:r w:rsidRPr="00A3133E">
              <w:t>Number</w:t>
            </w:r>
            <w:r w:rsidR="00BF059B" w:rsidRPr="00A3133E">
              <w:t xml:space="preserve"> </w:t>
            </w:r>
            <w:r w:rsidRPr="00A3133E">
              <w:t>of</w:t>
            </w:r>
            <w:r w:rsidR="00BF059B" w:rsidRPr="00A3133E">
              <w:t xml:space="preserve"> </w:t>
            </w:r>
            <w:r w:rsidRPr="00A3133E">
              <w:t>items</w:t>
            </w:r>
          </w:p>
        </w:tc>
      </w:tr>
      <w:tr w:rsidR="00BE13A8" w:rsidRPr="00A3133E" w14:paraId="607C0F93" w14:textId="77777777" w:rsidTr="00E26A74">
        <w:trPr>
          <w:tblHeader/>
        </w:trPr>
        <w:tc>
          <w:tcPr>
            <w:tcW w:w="1413" w:type="dxa"/>
          </w:tcPr>
          <w:p w14:paraId="782EBFFC" w14:textId="77777777" w:rsidR="00BE13A8" w:rsidRPr="00A3133E" w:rsidRDefault="00D70530">
            <w:pPr>
              <w:spacing w:line="276" w:lineRule="auto"/>
            </w:pPr>
            <w:r w:rsidRPr="000226C1">
              <w:t>Additions</w:t>
            </w:r>
            <w:r w:rsidRPr="00A3133E">
              <w:t>:</w:t>
            </w:r>
          </w:p>
        </w:tc>
        <w:tc>
          <w:tcPr>
            <w:tcW w:w="1276" w:type="dxa"/>
          </w:tcPr>
          <w:p w14:paraId="348824A7" w14:textId="77777777" w:rsidR="00BE13A8" w:rsidRPr="00A3133E" w:rsidRDefault="00BE13A8">
            <w:pPr>
              <w:spacing w:line="276" w:lineRule="auto"/>
            </w:pPr>
          </w:p>
        </w:tc>
        <w:tc>
          <w:tcPr>
            <w:tcW w:w="1134" w:type="dxa"/>
          </w:tcPr>
          <w:p w14:paraId="65F2E91E" w14:textId="77777777" w:rsidR="00BE13A8" w:rsidRPr="00A3133E" w:rsidRDefault="00BE13A8">
            <w:pPr>
              <w:spacing w:line="276" w:lineRule="auto"/>
            </w:pPr>
          </w:p>
        </w:tc>
        <w:tc>
          <w:tcPr>
            <w:tcW w:w="1417" w:type="dxa"/>
          </w:tcPr>
          <w:p w14:paraId="32E6048F" w14:textId="77777777" w:rsidR="00BE13A8" w:rsidRPr="00A3133E" w:rsidRDefault="00BE13A8">
            <w:pPr>
              <w:spacing w:line="276" w:lineRule="auto"/>
            </w:pPr>
          </w:p>
        </w:tc>
        <w:tc>
          <w:tcPr>
            <w:tcW w:w="1418" w:type="dxa"/>
          </w:tcPr>
          <w:p w14:paraId="3D49A190" w14:textId="77777777" w:rsidR="00BE13A8" w:rsidRPr="00A3133E" w:rsidRDefault="00BE13A8">
            <w:pPr>
              <w:spacing w:line="276" w:lineRule="auto"/>
            </w:pPr>
          </w:p>
        </w:tc>
        <w:tc>
          <w:tcPr>
            <w:tcW w:w="1275" w:type="dxa"/>
          </w:tcPr>
          <w:p w14:paraId="4CC7F351" w14:textId="77777777" w:rsidR="00BE13A8" w:rsidRPr="00A3133E" w:rsidRDefault="00BE13A8">
            <w:pPr>
              <w:spacing w:line="276" w:lineRule="auto"/>
            </w:pPr>
          </w:p>
        </w:tc>
        <w:tc>
          <w:tcPr>
            <w:tcW w:w="1560" w:type="dxa"/>
          </w:tcPr>
          <w:p w14:paraId="2DCE5ABF" w14:textId="77777777" w:rsidR="00BE13A8" w:rsidRPr="00A3133E" w:rsidRDefault="00BE13A8">
            <w:pPr>
              <w:spacing w:line="276" w:lineRule="auto"/>
            </w:pPr>
          </w:p>
        </w:tc>
      </w:tr>
      <w:tr w:rsidR="00BE13A8" w:rsidRPr="00A3133E" w14:paraId="4FDDA880" w14:textId="77777777" w:rsidTr="00E26A74">
        <w:trPr>
          <w:trHeight w:val="191"/>
          <w:tblHeader/>
        </w:trPr>
        <w:tc>
          <w:tcPr>
            <w:tcW w:w="1413" w:type="dxa"/>
          </w:tcPr>
          <w:p w14:paraId="126E7177" w14:textId="77777777" w:rsidR="00BE13A8" w:rsidRPr="00A3133E" w:rsidRDefault="00D70530">
            <w:pPr>
              <w:spacing w:line="276" w:lineRule="auto"/>
            </w:pPr>
            <w:r w:rsidRPr="00A3133E">
              <w:t>Purchases</w:t>
            </w:r>
          </w:p>
        </w:tc>
        <w:tc>
          <w:tcPr>
            <w:tcW w:w="1276" w:type="dxa"/>
          </w:tcPr>
          <w:p w14:paraId="3203ADC2" w14:textId="77777777" w:rsidR="00BE13A8" w:rsidRPr="00A3133E" w:rsidRDefault="00D70530">
            <w:pPr>
              <w:spacing w:line="276" w:lineRule="auto"/>
              <w:jc w:val="right"/>
            </w:pPr>
            <w:r w:rsidRPr="00A3133E">
              <w:t>-</w:t>
            </w:r>
          </w:p>
        </w:tc>
        <w:tc>
          <w:tcPr>
            <w:tcW w:w="1134" w:type="dxa"/>
          </w:tcPr>
          <w:p w14:paraId="522DC8E9" w14:textId="77777777" w:rsidR="00BE13A8" w:rsidRPr="00A3133E" w:rsidRDefault="00D70530">
            <w:pPr>
              <w:spacing w:line="276" w:lineRule="auto"/>
              <w:jc w:val="right"/>
            </w:pPr>
            <w:r w:rsidRPr="00A3133E">
              <w:t>-</w:t>
            </w:r>
          </w:p>
        </w:tc>
        <w:tc>
          <w:tcPr>
            <w:tcW w:w="1417" w:type="dxa"/>
          </w:tcPr>
          <w:p w14:paraId="41817FE4" w14:textId="77777777" w:rsidR="00BE13A8" w:rsidRPr="00A3133E" w:rsidRDefault="00D70530">
            <w:pPr>
              <w:spacing w:line="276" w:lineRule="auto"/>
              <w:jc w:val="right"/>
            </w:pPr>
            <w:r w:rsidRPr="00A3133E">
              <w:t>-</w:t>
            </w:r>
          </w:p>
        </w:tc>
        <w:tc>
          <w:tcPr>
            <w:tcW w:w="1418" w:type="dxa"/>
          </w:tcPr>
          <w:p w14:paraId="2014213A" w14:textId="77777777" w:rsidR="00BE13A8" w:rsidRPr="00A3133E" w:rsidRDefault="00D70530">
            <w:pPr>
              <w:spacing w:line="276" w:lineRule="auto"/>
              <w:jc w:val="right"/>
            </w:pPr>
            <w:r w:rsidRPr="00A3133E">
              <w:t>-</w:t>
            </w:r>
          </w:p>
        </w:tc>
        <w:tc>
          <w:tcPr>
            <w:tcW w:w="1275" w:type="dxa"/>
          </w:tcPr>
          <w:p w14:paraId="3F4B67EA" w14:textId="77777777" w:rsidR="00BE13A8" w:rsidRPr="00A3133E" w:rsidRDefault="00D70530">
            <w:pPr>
              <w:spacing w:line="276" w:lineRule="auto"/>
              <w:jc w:val="right"/>
            </w:pPr>
            <w:r w:rsidRPr="00A3133E">
              <w:t>-</w:t>
            </w:r>
          </w:p>
        </w:tc>
        <w:tc>
          <w:tcPr>
            <w:tcW w:w="1560" w:type="dxa"/>
          </w:tcPr>
          <w:p w14:paraId="4ADE5E8A" w14:textId="77777777" w:rsidR="00BE13A8" w:rsidRPr="00A3133E" w:rsidRDefault="00D70530">
            <w:pPr>
              <w:spacing w:line="276" w:lineRule="auto"/>
              <w:jc w:val="right"/>
            </w:pPr>
            <w:r w:rsidRPr="00A3133E">
              <w:t>-</w:t>
            </w:r>
          </w:p>
        </w:tc>
      </w:tr>
      <w:tr w:rsidR="00BE13A8" w:rsidRPr="00A3133E" w14:paraId="69F67605" w14:textId="77777777" w:rsidTr="00E26A74">
        <w:trPr>
          <w:tblHeader/>
        </w:trPr>
        <w:tc>
          <w:tcPr>
            <w:tcW w:w="1413" w:type="dxa"/>
          </w:tcPr>
          <w:p w14:paraId="05962493" w14:textId="77777777" w:rsidR="00BE13A8" w:rsidRPr="00A3133E" w:rsidRDefault="00D70530">
            <w:pPr>
              <w:spacing w:line="276" w:lineRule="auto"/>
            </w:pPr>
            <w:r w:rsidRPr="00A3133E">
              <w:t>Donations</w:t>
            </w:r>
          </w:p>
        </w:tc>
        <w:tc>
          <w:tcPr>
            <w:tcW w:w="1276" w:type="dxa"/>
          </w:tcPr>
          <w:p w14:paraId="6C05C85B" w14:textId="77777777" w:rsidR="00BE13A8" w:rsidRPr="00A3133E" w:rsidRDefault="00D70530">
            <w:pPr>
              <w:spacing w:line="276" w:lineRule="auto"/>
              <w:jc w:val="right"/>
            </w:pPr>
            <w:r w:rsidRPr="00A3133E">
              <w:t>-</w:t>
            </w:r>
          </w:p>
        </w:tc>
        <w:tc>
          <w:tcPr>
            <w:tcW w:w="1134" w:type="dxa"/>
          </w:tcPr>
          <w:p w14:paraId="34E44AAA" w14:textId="77777777" w:rsidR="00BE13A8" w:rsidRPr="00A3133E" w:rsidRDefault="00D70530">
            <w:pPr>
              <w:spacing w:line="276" w:lineRule="auto"/>
              <w:jc w:val="right"/>
            </w:pPr>
            <w:r w:rsidRPr="00A3133E">
              <w:t>-</w:t>
            </w:r>
          </w:p>
        </w:tc>
        <w:tc>
          <w:tcPr>
            <w:tcW w:w="1417" w:type="dxa"/>
          </w:tcPr>
          <w:p w14:paraId="35111C1F" w14:textId="77777777" w:rsidR="00BE13A8" w:rsidRPr="00A3133E" w:rsidRDefault="00D70530">
            <w:pPr>
              <w:spacing w:line="276" w:lineRule="auto"/>
              <w:jc w:val="right"/>
            </w:pPr>
            <w:r w:rsidRPr="00A3133E">
              <w:t>-</w:t>
            </w:r>
          </w:p>
        </w:tc>
        <w:tc>
          <w:tcPr>
            <w:tcW w:w="1418" w:type="dxa"/>
          </w:tcPr>
          <w:p w14:paraId="6C70AC39" w14:textId="77777777" w:rsidR="00BE13A8" w:rsidRPr="00A3133E" w:rsidRDefault="00D70530">
            <w:pPr>
              <w:spacing w:line="276" w:lineRule="auto"/>
              <w:jc w:val="right"/>
            </w:pPr>
            <w:r w:rsidRPr="00A3133E">
              <w:t>-</w:t>
            </w:r>
          </w:p>
        </w:tc>
        <w:tc>
          <w:tcPr>
            <w:tcW w:w="1275" w:type="dxa"/>
          </w:tcPr>
          <w:p w14:paraId="398BF42E" w14:textId="77777777" w:rsidR="00BE13A8" w:rsidRPr="00A3133E" w:rsidRDefault="00D70530">
            <w:pPr>
              <w:spacing w:line="276" w:lineRule="auto"/>
              <w:jc w:val="right"/>
            </w:pPr>
            <w:r w:rsidRPr="00A3133E">
              <w:t>-</w:t>
            </w:r>
          </w:p>
        </w:tc>
        <w:tc>
          <w:tcPr>
            <w:tcW w:w="1560" w:type="dxa"/>
          </w:tcPr>
          <w:p w14:paraId="49234AB9" w14:textId="77777777" w:rsidR="00BE13A8" w:rsidRPr="00A3133E" w:rsidRDefault="00D70530">
            <w:pPr>
              <w:spacing w:line="276" w:lineRule="auto"/>
              <w:jc w:val="right"/>
            </w:pPr>
            <w:r w:rsidRPr="00A3133E">
              <w:t>-</w:t>
            </w:r>
          </w:p>
        </w:tc>
      </w:tr>
      <w:tr w:rsidR="00BE13A8" w:rsidRPr="00A3133E" w14:paraId="66B02C57" w14:textId="77777777" w:rsidTr="00E26A74">
        <w:trPr>
          <w:tblHeader/>
        </w:trPr>
        <w:tc>
          <w:tcPr>
            <w:tcW w:w="1413" w:type="dxa"/>
          </w:tcPr>
          <w:p w14:paraId="2F1A7D5A" w14:textId="640F6435" w:rsidR="00BE13A8" w:rsidRPr="00A3133E" w:rsidRDefault="00D70530">
            <w:pPr>
              <w:spacing w:line="276" w:lineRule="auto"/>
            </w:pPr>
            <w:r w:rsidRPr="00A3133E">
              <w:t>Total</w:t>
            </w:r>
            <w:r w:rsidR="00BF059B" w:rsidRPr="00A3133E">
              <w:t xml:space="preserve"> </w:t>
            </w:r>
            <w:r w:rsidRPr="00A3133E">
              <w:t>additions</w:t>
            </w:r>
          </w:p>
        </w:tc>
        <w:tc>
          <w:tcPr>
            <w:tcW w:w="1276" w:type="dxa"/>
          </w:tcPr>
          <w:p w14:paraId="2647AFE0" w14:textId="77777777" w:rsidR="00BE13A8" w:rsidRPr="00A3133E" w:rsidRDefault="00D70530">
            <w:pPr>
              <w:spacing w:line="276" w:lineRule="auto"/>
              <w:jc w:val="right"/>
            </w:pPr>
            <w:r w:rsidRPr="00A3133E">
              <w:t>-</w:t>
            </w:r>
          </w:p>
        </w:tc>
        <w:tc>
          <w:tcPr>
            <w:tcW w:w="1134" w:type="dxa"/>
          </w:tcPr>
          <w:p w14:paraId="2732F779" w14:textId="77777777" w:rsidR="00BE13A8" w:rsidRPr="00A3133E" w:rsidRDefault="00D70530">
            <w:pPr>
              <w:spacing w:line="276" w:lineRule="auto"/>
              <w:jc w:val="right"/>
            </w:pPr>
            <w:r w:rsidRPr="00A3133E">
              <w:t>-</w:t>
            </w:r>
          </w:p>
        </w:tc>
        <w:tc>
          <w:tcPr>
            <w:tcW w:w="1417" w:type="dxa"/>
          </w:tcPr>
          <w:p w14:paraId="694CA14A" w14:textId="77777777" w:rsidR="00BE13A8" w:rsidRPr="00A3133E" w:rsidRDefault="00D70530">
            <w:pPr>
              <w:spacing w:line="276" w:lineRule="auto"/>
              <w:jc w:val="right"/>
            </w:pPr>
            <w:r w:rsidRPr="00A3133E">
              <w:t>-</w:t>
            </w:r>
          </w:p>
        </w:tc>
        <w:tc>
          <w:tcPr>
            <w:tcW w:w="1418" w:type="dxa"/>
          </w:tcPr>
          <w:p w14:paraId="3BD486E6" w14:textId="77777777" w:rsidR="00BE13A8" w:rsidRPr="00A3133E" w:rsidRDefault="00D70530">
            <w:pPr>
              <w:spacing w:line="276" w:lineRule="auto"/>
              <w:jc w:val="right"/>
            </w:pPr>
            <w:r w:rsidRPr="00A3133E">
              <w:t>-</w:t>
            </w:r>
          </w:p>
        </w:tc>
        <w:tc>
          <w:tcPr>
            <w:tcW w:w="1275" w:type="dxa"/>
          </w:tcPr>
          <w:p w14:paraId="6347F86C" w14:textId="77777777" w:rsidR="00BE13A8" w:rsidRPr="00A3133E" w:rsidRDefault="00D70530">
            <w:pPr>
              <w:spacing w:line="276" w:lineRule="auto"/>
              <w:jc w:val="right"/>
            </w:pPr>
            <w:r w:rsidRPr="00A3133E">
              <w:t>-</w:t>
            </w:r>
          </w:p>
        </w:tc>
        <w:tc>
          <w:tcPr>
            <w:tcW w:w="1560" w:type="dxa"/>
          </w:tcPr>
          <w:p w14:paraId="5B124364" w14:textId="77777777" w:rsidR="00BE13A8" w:rsidRPr="00A3133E" w:rsidRDefault="00D70530">
            <w:pPr>
              <w:spacing w:line="276" w:lineRule="auto"/>
              <w:jc w:val="right"/>
            </w:pPr>
            <w:r w:rsidRPr="00A3133E">
              <w:t>-</w:t>
            </w:r>
          </w:p>
        </w:tc>
      </w:tr>
    </w:tbl>
    <w:p w14:paraId="548F35D6" w14:textId="76BF195C" w:rsidR="00BE13A8" w:rsidRPr="00A3133E" w:rsidRDefault="00D70530" w:rsidP="000226C1">
      <w:pPr>
        <w:spacing w:line="276" w:lineRule="auto"/>
      </w:pPr>
      <w:r w:rsidRPr="00A3133E">
        <w:t>Only</w:t>
      </w:r>
      <w:r w:rsidR="00BF059B" w:rsidRPr="00A3133E">
        <w:t xml:space="preserve"> </w:t>
      </w:r>
      <w:r w:rsidRPr="00A3133E">
        <w:t>purchases</w:t>
      </w:r>
      <w:r w:rsidR="00BF059B" w:rsidRPr="00A3133E">
        <w:t xml:space="preserve"> </w:t>
      </w:r>
      <w:r w:rsidRPr="00A3133E">
        <w:t>which</w:t>
      </w:r>
      <w:r w:rsidR="00BF059B" w:rsidRPr="00A3133E">
        <w:t xml:space="preserve"> </w:t>
      </w:r>
      <w:r w:rsidRPr="00A3133E">
        <w:t>cost</w:t>
      </w:r>
      <w:r w:rsidR="00BF059B" w:rsidRPr="00A3133E">
        <w:t xml:space="preserve"> </w:t>
      </w:r>
      <w:r w:rsidRPr="00A3133E">
        <w:t>£10,000</w:t>
      </w:r>
      <w:r w:rsidR="00BF059B" w:rsidRPr="00A3133E">
        <w:t xml:space="preserve"> </w:t>
      </w:r>
      <w:r w:rsidRPr="00A3133E">
        <w:t>or</w:t>
      </w:r>
      <w:r w:rsidR="00BF059B" w:rsidRPr="00A3133E">
        <w:t xml:space="preserve"> </w:t>
      </w:r>
      <w:r w:rsidRPr="00A3133E">
        <w:t>more</w:t>
      </w:r>
      <w:r w:rsidR="00BF059B" w:rsidRPr="00A3133E">
        <w:t xml:space="preserve"> </w:t>
      </w:r>
      <w:r w:rsidRPr="00A3133E">
        <w:t>are</w:t>
      </w:r>
      <w:r w:rsidR="00BF059B" w:rsidRPr="00A3133E">
        <w:t xml:space="preserve"> </w:t>
      </w:r>
      <w:r w:rsidRPr="00A3133E">
        <w:t>capitalised.</w:t>
      </w:r>
      <w:r w:rsidR="00BF059B" w:rsidRPr="00A3133E">
        <w:t xml:space="preserve"> </w:t>
      </w:r>
    </w:p>
    <w:p w14:paraId="15114336" w14:textId="77777777" w:rsidR="00BE13A8" w:rsidRPr="00A3133E" w:rsidRDefault="00BE13A8" w:rsidP="000226C1">
      <w:pPr>
        <w:spacing w:line="276" w:lineRule="auto"/>
      </w:pPr>
    </w:p>
    <w:p w14:paraId="524C3ABE" w14:textId="7E74CAEA" w:rsidR="00BE13A8" w:rsidRPr="00A3133E" w:rsidRDefault="00D70530" w:rsidP="000226C1">
      <w:pPr>
        <w:spacing w:line="276" w:lineRule="auto"/>
        <w:rPr>
          <w:b/>
        </w:rPr>
      </w:pPr>
      <w:r w:rsidRPr="00A3133E">
        <w:t>Only</w:t>
      </w:r>
      <w:r w:rsidR="00BF059B" w:rsidRPr="00A3133E">
        <w:t xml:space="preserve"> </w:t>
      </w:r>
      <w:r w:rsidRPr="00A3133E">
        <w:t>those</w:t>
      </w:r>
      <w:r w:rsidR="00BF059B" w:rsidRPr="00A3133E">
        <w:t xml:space="preserve"> </w:t>
      </w:r>
      <w:r w:rsidRPr="00A3133E">
        <w:t>donations</w:t>
      </w:r>
      <w:r w:rsidR="00BF059B" w:rsidRPr="00A3133E">
        <w:t xml:space="preserve"> </w:t>
      </w:r>
      <w:r w:rsidRPr="00A3133E">
        <w:t>where</w:t>
      </w:r>
      <w:r w:rsidR="00BF059B" w:rsidRPr="00A3133E">
        <w:t xml:space="preserve"> </w:t>
      </w:r>
      <w:r w:rsidRPr="00A3133E">
        <w:t>the</w:t>
      </w:r>
      <w:r w:rsidR="00BF059B" w:rsidRPr="00A3133E">
        <w:t xml:space="preserve"> </w:t>
      </w:r>
      <w:r w:rsidRPr="00A3133E">
        <w:t>attributed</w:t>
      </w:r>
      <w:r w:rsidR="00BF059B" w:rsidRPr="00A3133E">
        <w:t xml:space="preserve"> </w:t>
      </w:r>
      <w:r w:rsidRPr="00A3133E">
        <w:t>value</w:t>
      </w:r>
      <w:r w:rsidR="00BF059B" w:rsidRPr="00A3133E">
        <w:t xml:space="preserve"> </w:t>
      </w:r>
      <w:r w:rsidRPr="00A3133E">
        <w:t>was</w:t>
      </w:r>
      <w:r w:rsidR="00BF059B" w:rsidRPr="00A3133E">
        <w:t xml:space="preserve"> </w:t>
      </w:r>
      <w:r w:rsidRPr="00A3133E">
        <w:t>£10,000</w:t>
      </w:r>
      <w:r w:rsidR="00BF059B" w:rsidRPr="00A3133E">
        <w:t xml:space="preserve"> </w:t>
      </w:r>
      <w:r w:rsidRPr="00A3133E">
        <w:t>or</w:t>
      </w:r>
      <w:r w:rsidR="00BF059B" w:rsidRPr="00A3133E">
        <w:t xml:space="preserve"> </w:t>
      </w:r>
      <w:r w:rsidRPr="00A3133E">
        <w:t>more</w:t>
      </w:r>
      <w:r w:rsidR="00BF059B" w:rsidRPr="00A3133E">
        <w:t xml:space="preserve"> </w:t>
      </w:r>
      <w:r w:rsidRPr="00A3133E">
        <w:t>are</w:t>
      </w:r>
      <w:r w:rsidR="00BF059B" w:rsidRPr="00A3133E">
        <w:t xml:space="preserve"> </w:t>
      </w:r>
      <w:r w:rsidRPr="00A3133E">
        <w:t>capitalised.</w:t>
      </w:r>
      <w:r w:rsidR="00BF059B" w:rsidRPr="00A3133E">
        <w:t xml:space="preserve"> </w:t>
      </w:r>
      <w:r w:rsidRPr="00A3133E">
        <w:t>All</w:t>
      </w:r>
      <w:r w:rsidR="00BF059B" w:rsidRPr="00A3133E">
        <w:t xml:space="preserve"> </w:t>
      </w:r>
      <w:r w:rsidRPr="00A3133E">
        <w:t>valuations</w:t>
      </w:r>
      <w:r w:rsidR="00BF059B" w:rsidRPr="00A3133E">
        <w:t xml:space="preserve"> </w:t>
      </w:r>
      <w:r w:rsidRPr="00A3133E">
        <w:t>are</w:t>
      </w:r>
      <w:r w:rsidR="00BF059B" w:rsidRPr="00A3133E">
        <w:t xml:space="preserve"> </w:t>
      </w:r>
      <w:r w:rsidRPr="00A3133E">
        <w:t>carried</w:t>
      </w:r>
      <w:r w:rsidR="00BF059B" w:rsidRPr="00A3133E">
        <w:t xml:space="preserve"> </w:t>
      </w:r>
      <w:r w:rsidRPr="00A3133E">
        <w:t>out</w:t>
      </w:r>
      <w:r w:rsidR="00BF059B" w:rsidRPr="00A3133E">
        <w:t xml:space="preserve"> </w:t>
      </w:r>
      <w:r w:rsidRPr="00A3133E">
        <w:t>by</w:t>
      </w:r>
      <w:r w:rsidR="00BF059B" w:rsidRPr="00A3133E">
        <w:t xml:space="preserve"> </w:t>
      </w:r>
      <w:r w:rsidRPr="00A3133E">
        <w:t>the</w:t>
      </w:r>
      <w:r w:rsidR="00BF059B" w:rsidRPr="00A3133E">
        <w:t xml:space="preserve"> </w:t>
      </w:r>
      <w:r w:rsidRPr="00A3133E">
        <w:t>Horniman’s</w:t>
      </w:r>
      <w:r w:rsidR="00BF059B" w:rsidRPr="00A3133E">
        <w:t xml:space="preserve"> </w:t>
      </w:r>
      <w:r w:rsidRPr="00A3133E">
        <w:t>curatorial</w:t>
      </w:r>
      <w:r w:rsidR="00BF059B" w:rsidRPr="00A3133E">
        <w:t xml:space="preserve"> </w:t>
      </w:r>
      <w:r w:rsidRPr="00A3133E">
        <w:t>staff.</w:t>
      </w:r>
      <w:r w:rsidR="00BF059B" w:rsidRPr="00A3133E">
        <w:t xml:space="preserve"> </w:t>
      </w:r>
      <w:r w:rsidRPr="00A3133E">
        <w:t>In</w:t>
      </w:r>
      <w:r w:rsidR="00BF059B" w:rsidRPr="00A3133E">
        <w:t xml:space="preserve"> </w:t>
      </w:r>
      <w:r w:rsidRPr="00A3133E">
        <w:t>the</w:t>
      </w:r>
      <w:r w:rsidR="00BF059B" w:rsidRPr="00A3133E">
        <w:t xml:space="preserve"> </w:t>
      </w:r>
      <w:r w:rsidRPr="00A3133E">
        <w:t>Trustees’</w:t>
      </w:r>
      <w:r w:rsidR="00BF059B" w:rsidRPr="00A3133E">
        <w:t xml:space="preserve"> </w:t>
      </w:r>
      <w:r w:rsidRPr="00A3133E">
        <w:t>view</w:t>
      </w:r>
      <w:r w:rsidR="00BF059B" w:rsidRPr="00A3133E">
        <w:t xml:space="preserve"> </w:t>
      </w:r>
      <w:r w:rsidRPr="00A3133E">
        <w:t>obtaining</w:t>
      </w:r>
      <w:r w:rsidR="00BF059B" w:rsidRPr="00A3133E">
        <w:t xml:space="preserve"> </w:t>
      </w:r>
      <w:r w:rsidRPr="00A3133E">
        <w:t>a</w:t>
      </w:r>
      <w:r w:rsidR="00BF059B" w:rsidRPr="00A3133E">
        <w:t xml:space="preserve"> </w:t>
      </w:r>
      <w:r w:rsidRPr="00A3133E">
        <w:t>current</w:t>
      </w:r>
      <w:r w:rsidR="00BF059B" w:rsidRPr="00A3133E">
        <w:t xml:space="preserve"> </w:t>
      </w:r>
      <w:r w:rsidRPr="00A3133E">
        <w:t>valuation</w:t>
      </w:r>
      <w:r w:rsidR="00BF059B" w:rsidRPr="00A3133E">
        <w:t xml:space="preserve"> </w:t>
      </w:r>
      <w:r w:rsidRPr="00A3133E">
        <w:t>would</w:t>
      </w:r>
      <w:r w:rsidR="00BF059B" w:rsidRPr="00A3133E">
        <w:t xml:space="preserve"> </w:t>
      </w:r>
      <w:r w:rsidRPr="00A3133E">
        <w:t>involve</w:t>
      </w:r>
      <w:r w:rsidR="00BF059B" w:rsidRPr="00A3133E">
        <w:t xml:space="preserve"> </w:t>
      </w:r>
      <w:r w:rsidRPr="00A3133E">
        <w:t>disproportionate</w:t>
      </w:r>
      <w:r w:rsidR="00BF059B" w:rsidRPr="00A3133E">
        <w:t xml:space="preserve"> </w:t>
      </w:r>
      <w:r w:rsidRPr="00A3133E">
        <w:t>cost.</w:t>
      </w:r>
      <w:r w:rsidR="00BF059B" w:rsidRPr="00A3133E">
        <w:rPr>
          <w:b/>
        </w:rPr>
        <w:t xml:space="preserve"> </w:t>
      </w:r>
    </w:p>
    <w:p w14:paraId="517679D7" w14:textId="77777777" w:rsidR="00BE13A8" w:rsidRPr="00A3133E" w:rsidRDefault="00BE13A8" w:rsidP="000226C1">
      <w:pPr>
        <w:spacing w:line="276" w:lineRule="auto"/>
        <w:rPr>
          <w:b/>
        </w:rPr>
      </w:pPr>
    </w:p>
    <w:p w14:paraId="05E894B2" w14:textId="74C08686" w:rsidR="00BE13A8" w:rsidRPr="00A3133E" w:rsidRDefault="00D70530" w:rsidP="000226C1">
      <w:pPr>
        <w:pStyle w:val="Heading5"/>
      </w:pPr>
      <w:r w:rsidRPr="00A3133E">
        <w:t>16.3</w:t>
      </w:r>
      <w:r w:rsidR="00BF059B" w:rsidRPr="00A3133E">
        <w:t xml:space="preserve"> </w:t>
      </w:r>
      <w:r w:rsidRPr="00A3133E">
        <w:t>Acquisitions</w:t>
      </w:r>
      <w:r w:rsidR="00BF059B" w:rsidRPr="00A3133E">
        <w:t xml:space="preserve"> </w:t>
      </w:r>
      <w:r w:rsidRPr="00A3133E">
        <w:t>and</w:t>
      </w:r>
      <w:r w:rsidR="00BF059B" w:rsidRPr="00A3133E">
        <w:t xml:space="preserve"> </w:t>
      </w:r>
      <w:r w:rsidRPr="00A3133E">
        <w:t>disposals</w:t>
      </w:r>
      <w:r w:rsidR="00BF059B" w:rsidRPr="00A3133E">
        <w:t xml:space="preserve"> </w:t>
      </w:r>
      <w:r w:rsidRPr="00A3133E">
        <w:t>policy</w:t>
      </w:r>
    </w:p>
    <w:p w14:paraId="469D2171" w14:textId="36983319" w:rsidR="00BE13A8" w:rsidRPr="00A3133E" w:rsidRDefault="00D70530" w:rsidP="000226C1">
      <w:pPr>
        <w:pBdr>
          <w:top w:val="nil"/>
          <w:left w:val="nil"/>
          <w:bottom w:val="nil"/>
          <w:right w:val="nil"/>
          <w:between w:val="nil"/>
        </w:pBdr>
        <w:rPr>
          <w:color w:val="000000"/>
        </w:rPr>
      </w:pPr>
      <w:r w:rsidRPr="00A3133E">
        <w:rPr>
          <w:color w:val="000000"/>
        </w:rPr>
        <w:t>Acquisitions</w:t>
      </w:r>
      <w:r w:rsidR="00BF059B" w:rsidRPr="00A3133E">
        <w:rPr>
          <w:color w:val="000000"/>
        </w:rPr>
        <w:t xml:space="preserve"> </w:t>
      </w:r>
      <w:r w:rsidRPr="00A3133E">
        <w:rPr>
          <w:color w:val="000000"/>
        </w:rPr>
        <w:t>are</w:t>
      </w:r>
      <w:r w:rsidR="00BF059B" w:rsidRPr="00A3133E">
        <w:rPr>
          <w:color w:val="000000"/>
        </w:rPr>
        <w:t xml:space="preserve"> </w:t>
      </w:r>
      <w:r w:rsidRPr="00A3133E">
        <w:rPr>
          <w:color w:val="000000"/>
        </w:rPr>
        <w:t>made</w:t>
      </w:r>
      <w:r w:rsidR="00BF059B" w:rsidRPr="00A3133E">
        <w:rPr>
          <w:color w:val="000000"/>
        </w:rPr>
        <w:t xml:space="preserve"> </w:t>
      </w:r>
      <w:r w:rsidRPr="00A3133E">
        <w:rPr>
          <w:color w:val="000000"/>
        </w:rPr>
        <w:t>in</w:t>
      </w:r>
      <w:r w:rsidR="00BF059B" w:rsidRPr="00A3133E">
        <w:rPr>
          <w:color w:val="000000"/>
        </w:rPr>
        <w:t xml:space="preserve"> </w:t>
      </w:r>
      <w:r w:rsidRPr="00A3133E">
        <w:rPr>
          <w:color w:val="000000"/>
        </w:rPr>
        <w:t>accordance</w:t>
      </w:r>
      <w:r w:rsidR="00BF059B" w:rsidRPr="00A3133E">
        <w:rPr>
          <w:color w:val="000000"/>
        </w:rPr>
        <w:t xml:space="preserve"> </w:t>
      </w:r>
      <w:r w:rsidRPr="00A3133E">
        <w:rPr>
          <w:color w:val="000000"/>
        </w:rPr>
        <w:t>with</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Collecting</w:t>
      </w:r>
      <w:r w:rsidR="00BF059B" w:rsidRPr="00A3133E">
        <w:rPr>
          <w:color w:val="000000"/>
        </w:rPr>
        <w:t xml:space="preserve"> </w:t>
      </w:r>
      <w:r w:rsidRPr="00A3133E">
        <w:rPr>
          <w:color w:val="000000"/>
        </w:rPr>
        <w:t>Policies</w:t>
      </w:r>
      <w:r w:rsidR="00BF059B" w:rsidRPr="00A3133E">
        <w:rPr>
          <w:color w:val="000000"/>
        </w:rPr>
        <w:t xml:space="preserve"> </w:t>
      </w:r>
      <w:r w:rsidRPr="00A3133E">
        <w:rPr>
          <w:color w:val="000000"/>
        </w:rPr>
        <w:t>agreed</w:t>
      </w:r>
      <w:r w:rsidR="00BF059B" w:rsidRPr="00A3133E">
        <w:rPr>
          <w:color w:val="000000"/>
        </w:rPr>
        <w:t xml:space="preserve"> </w:t>
      </w:r>
      <w:r w:rsidRPr="00A3133E">
        <w:rPr>
          <w:color w:val="000000"/>
        </w:rPr>
        <w:t>by</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Board</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Trustees</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may</w:t>
      </w:r>
      <w:r w:rsidR="00BF059B" w:rsidRPr="00A3133E">
        <w:rPr>
          <w:color w:val="000000"/>
        </w:rPr>
        <w:t xml:space="preserve"> </w:t>
      </w:r>
      <w:r w:rsidRPr="00A3133E">
        <w:rPr>
          <w:color w:val="000000"/>
        </w:rPr>
        <w:t>be</w:t>
      </w:r>
      <w:r w:rsidR="00BF059B" w:rsidRPr="00A3133E">
        <w:rPr>
          <w:color w:val="000000"/>
        </w:rPr>
        <w:t xml:space="preserve"> </w:t>
      </w:r>
      <w:r w:rsidRPr="00A3133E">
        <w:rPr>
          <w:color w:val="000000"/>
        </w:rPr>
        <w:t>by</w:t>
      </w:r>
      <w:r w:rsidR="00BF059B" w:rsidRPr="00A3133E">
        <w:rPr>
          <w:color w:val="000000"/>
        </w:rPr>
        <w:t xml:space="preserve"> </w:t>
      </w:r>
      <w:r w:rsidRPr="00A3133E">
        <w:rPr>
          <w:color w:val="000000"/>
        </w:rPr>
        <w:t>purchase</w:t>
      </w:r>
      <w:r w:rsidR="00BF059B" w:rsidRPr="00A3133E">
        <w:rPr>
          <w:color w:val="000000"/>
        </w:rPr>
        <w:t xml:space="preserve"> </w:t>
      </w:r>
      <w:r w:rsidRPr="00A3133E">
        <w:rPr>
          <w:color w:val="000000"/>
        </w:rPr>
        <w:t>or</w:t>
      </w:r>
      <w:r w:rsidR="00BF059B" w:rsidRPr="00A3133E">
        <w:rPr>
          <w:color w:val="000000"/>
        </w:rPr>
        <w:t xml:space="preserve"> </w:t>
      </w:r>
      <w:r w:rsidRPr="00A3133E">
        <w:rPr>
          <w:color w:val="000000"/>
        </w:rPr>
        <w:t>donation.</w:t>
      </w:r>
      <w:r w:rsidR="00BF059B" w:rsidRPr="00A3133E">
        <w:rPr>
          <w:color w:val="000000"/>
        </w:rPr>
        <w:t xml:space="preserve"> </w:t>
      </w:r>
    </w:p>
    <w:p w14:paraId="1518CF69" w14:textId="77777777" w:rsidR="00BE13A8" w:rsidRPr="00A3133E" w:rsidRDefault="00BE13A8" w:rsidP="000226C1">
      <w:pPr>
        <w:pBdr>
          <w:top w:val="nil"/>
          <w:left w:val="nil"/>
          <w:bottom w:val="nil"/>
          <w:right w:val="nil"/>
          <w:between w:val="nil"/>
        </w:pBdr>
        <w:rPr>
          <w:color w:val="000000"/>
        </w:rPr>
      </w:pPr>
    </w:p>
    <w:p w14:paraId="73D99D13" w14:textId="4F82191B" w:rsidR="00BE13A8" w:rsidRPr="00A3133E" w:rsidRDefault="00D70530" w:rsidP="000226C1">
      <w:pPr>
        <w:spacing w:line="276" w:lineRule="auto"/>
      </w:pPr>
      <w:r w:rsidRPr="00A3133E">
        <w:t>The</w:t>
      </w:r>
      <w:r w:rsidR="00BF059B" w:rsidRPr="00A3133E">
        <w:t xml:space="preserve"> </w:t>
      </w:r>
      <w:r w:rsidRPr="00A3133E">
        <w:t>Horniman</w:t>
      </w:r>
      <w:r w:rsidR="00BF059B" w:rsidRPr="00A3133E">
        <w:t xml:space="preserve"> </w:t>
      </w:r>
      <w:r w:rsidRPr="00A3133E">
        <w:t>occasionally</w:t>
      </w:r>
      <w:r w:rsidR="00BF059B" w:rsidRPr="00A3133E">
        <w:t xml:space="preserve"> </w:t>
      </w:r>
      <w:r w:rsidRPr="00A3133E">
        <w:t>disposes</w:t>
      </w:r>
      <w:r w:rsidR="00BF059B" w:rsidRPr="00A3133E">
        <w:t xml:space="preserve"> </w:t>
      </w:r>
      <w:r w:rsidRPr="00A3133E">
        <w:t>of</w:t>
      </w:r>
      <w:r w:rsidR="00BF059B" w:rsidRPr="00A3133E">
        <w:t xml:space="preserve"> </w:t>
      </w:r>
      <w:r w:rsidRPr="00A3133E">
        <w:t>objects</w:t>
      </w:r>
      <w:r w:rsidR="00BF059B" w:rsidRPr="00A3133E">
        <w:t xml:space="preserve"> </w:t>
      </w:r>
      <w:r w:rsidRPr="00A3133E">
        <w:t>from</w:t>
      </w:r>
      <w:r w:rsidR="00BF059B" w:rsidRPr="00A3133E">
        <w:t xml:space="preserve"> </w:t>
      </w:r>
      <w:r w:rsidRPr="00A3133E">
        <w:t>the</w:t>
      </w:r>
      <w:r w:rsidR="00BF059B" w:rsidRPr="00A3133E">
        <w:t xml:space="preserve"> </w:t>
      </w:r>
      <w:r w:rsidRPr="00A3133E">
        <w:t>collection</w:t>
      </w:r>
      <w:r w:rsidR="00BF059B" w:rsidRPr="00A3133E">
        <w:t xml:space="preserve"> </w:t>
      </w:r>
      <w:r w:rsidRPr="00A3133E">
        <w:t>where</w:t>
      </w:r>
      <w:r w:rsidR="00BF059B" w:rsidRPr="00A3133E">
        <w:t xml:space="preserve"> </w:t>
      </w:r>
      <w:r w:rsidRPr="00A3133E">
        <w:t>the</w:t>
      </w:r>
      <w:r w:rsidR="00BF059B" w:rsidRPr="00A3133E">
        <w:t xml:space="preserve"> </w:t>
      </w:r>
      <w:r w:rsidRPr="00A3133E">
        <w:t>Trustees</w:t>
      </w:r>
      <w:r w:rsidR="00BF059B" w:rsidRPr="00A3133E">
        <w:t xml:space="preserve"> </w:t>
      </w:r>
      <w:r w:rsidRPr="00A3133E">
        <w:t>determine</w:t>
      </w:r>
      <w:r w:rsidR="00BF059B" w:rsidRPr="00A3133E">
        <w:t xml:space="preserve"> </w:t>
      </w:r>
      <w:r w:rsidRPr="00A3133E">
        <w:t>this</w:t>
      </w:r>
      <w:r w:rsidR="00BF059B" w:rsidRPr="00A3133E">
        <w:t xml:space="preserve"> </w:t>
      </w:r>
      <w:r w:rsidRPr="00A3133E">
        <w:t>does</w:t>
      </w:r>
      <w:r w:rsidR="00BF059B" w:rsidRPr="00A3133E">
        <w:t xml:space="preserve"> </w:t>
      </w:r>
      <w:r w:rsidRPr="00A3133E">
        <w:t>not</w:t>
      </w:r>
      <w:r w:rsidR="00BF059B" w:rsidRPr="00A3133E">
        <w:t xml:space="preserve"> </w:t>
      </w:r>
      <w:r w:rsidRPr="00A3133E">
        <w:t>detract</w:t>
      </w:r>
      <w:r w:rsidR="00BF059B" w:rsidRPr="00A3133E">
        <w:t xml:space="preserve"> </w:t>
      </w:r>
      <w:r w:rsidRPr="00A3133E">
        <w:t>from</w:t>
      </w:r>
      <w:r w:rsidR="00BF059B" w:rsidRPr="00A3133E">
        <w:t xml:space="preserve"> </w:t>
      </w:r>
      <w:r w:rsidRPr="00A3133E">
        <w:t>the</w:t>
      </w:r>
      <w:r w:rsidR="00BF059B" w:rsidRPr="00A3133E">
        <w:t xml:space="preserve"> </w:t>
      </w:r>
      <w:r w:rsidRPr="00A3133E">
        <w:t>integrity</w:t>
      </w:r>
      <w:r w:rsidR="00BF059B" w:rsidRPr="00A3133E">
        <w:t xml:space="preserve"> </w:t>
      </w:r>
      <w:r w:rsidRPr="00A3133E">
        <w:t>of</w:t>
      </w:r>
      <w:r w:rsidR="00BF059B" w:rsidRPr="00A3133E">
        <w:t xml:space="preserve"> </w:t>
      </w:r>
      <w:r w:rsidRPr="00A3133E">
        <w:t>the</w:t>
      </w:r>
      <w:r w:rsidR="00BF059B" w:rsidRPr="00A3133E">
        <w:t xml:space="preserve"> </w:t>
      </w:r>
      <w:r w:rsidRPr="00A3133E">
        <w:t>collection.</w:t>
      </w:r>
      <w:r w:rsidR="00BF059B" w:rsidRPr="00A3133E">
        <w:t xml:space="preserve"> </w:t>
      </w:r>
      <w:r w:rsidRPr="00A3133E">
        <w:t>There</w:t>
      </w:r>
      <w:r w:rsidR="00BF059B" w:rsidRPr="00A3133E">
        <w:t xml:space="preserve"> </w:t>
      </w:r>
      <w:r w:rsidRPr="00A3133E">
        <w:t>is</w:t>
      </w:r>
      <w:r w:rsidR="00BF059B" w:rsidRPr="00A3133E">
        <w:t xml:space="preserve"> </w:t>
      </w:r>
      <w:r w:rsidRPr="00A3133E">
        <w:t>a</w:t>
      </w:r>
      <w:r w:rsidR="00BF059B" w:rsidRPr="00A3133E">
        <w:t xml:space="preserve"> </w:t>
      </w:r>
      <w:r w:rsidRPr="00A3133E">
        <w:t>strong</w:t>
      </w:r>
      <w:r w:rsidR="00BF059B" w:rsidRPr="00A3133E">
        <w:t xml:space="preserve"> </w:t>
      </w:r>
      <w:r w:rsidRPr="00A3133E">
        <w:t>presumption</w:t>
      </w:r>
      <w:r w:rsidR="00BF059B" w:rsidRPr="00A3133E">
        <w:t xml:space="preserve"> </w:t>
      </w:r>
      <w:r w:rsidRPr="00A3133E">
        <w:t>against</w:t>
      </w:r>
      <w:r w:rsidR="00BF059B" w:rsidRPr="00A3133E">
        <w:t xml:space="preserve"> </w:t>
      </w:r>
      <w:r w:rsidRPr="00A3133E">
        <w:t>the</w:t>
      </w:r>
      <w:r w:rsidR="00BF059B" w:rsidRPr="00A3133E">
        <w:t xml:space="preserve"> </w:t>
      </w:r>
      <w:r w:rsidRPr="00A3133E">
        <w:t>disposal</w:t>
      </w:r>
      <w:r w:rsidR="00BF059B" w:rsidRPr="00A3133E">
        <w:t xml:space="preserve"> </w:t>
      </w:r>
      <w:r w:rsidRPr="00A3133E">
        <w:t>of</w:t>
      </w:r>
      <w:r w:rsidR="00BF059B" w:rsidRPr="00A3133E">
        <w:t xml:space="preserve"> </w:t>
      </w:r>
      <w:r w:rsidRPr="00A3133E">
        <w:t>any</w:t>
      </w:r>
      <w:r w:rsidR="00BF059B" w:rsidRPr="00A3133E">
        <w:t xml:space="preserve"> </w:t>
      </w:r>
      <w:r w:rsidRPr="00A3133E">
        <w:t>accessioned</w:t>
      </w:r>
      <w:r w:rsidR="00BF059B" w:rsidRPr="00A3133E">
        <w:t xml:space="preserve"> </w:t>
      </w:r>
      <w:r w:rsidRPr="00A3133E">
        <w:t>items</w:t>
      </w:r>
      <w:r w:rsidR="00BF059B" w:rsidRPr="00A3133E">
        <w:t xml:space="preserve"> </w:t>
      </w:r>
      <w:r w:rsidRPr="00A3133E">
        <w:t>in</w:t>
      </w:r>
      <w:r w:rsidR="00BF059B" w:rsidRPr="00A3133E">
        <w:t xml:space="preserve"> </w:t>
      </w:r>
      <w:r w:rsidRPr="00A3133E">
        <w:t>the</w:t>
      </w:r>
      <w:r w:rsidR="00BF059B" w:rsidRPr="00A3133E">
        <w:t xml:space="preserve"> </w:t>
      </w:r>
      <w:r w:rsidRPr="00A3133E">
        <w:t>Horniman’s</w:t>
      </w:r>
      <w:r w:rsidR="00BF059B" w:rsidRPr="00A3133E">
        <w:t xml:space="preserve"> </w:t>
      </w:r>
      <w:r w:rsidRPr="00A3133E">
        <w:t>collection</w:t>
      </w:r>
      <w:r w:rsidR="00BF059B" w:rsidRPr="00A3133E">
        <w:t xml:space="preserve"> </w:t>
      </w:r>
      <w:r w:rsidRPr="00A3133E">
        <w:t>except</w:t>
      </w:r>
      <w:r w:rsidR="00BF059B" w:rsidRPr="00A3133E">
        <w:t xml:space="preserve"> </w:t>
      </w:r>
      <w:r w:rsidRPr="00A3133E">
        <w:t>for</w:t>
      </w:r>
      <w:r w:rsidR="00BF059B" w:rsidRPr="00A3133E">
        <w:t xml:space="preserve"> </w:t>
      </w:r>
      <w:r w:rsidRPr="00A3133E">
        <w:t>sound</w:t>
      </w:r>
      <w:r w:rsidR="00BF059B" w:rsidRPr="00A3133E">
        <w:t xml:space="preserve"> </w:t>
      </w:r>
      <w:r w:rsidRPr="00A3133E">
        <w:t>curatorial</w:t>
      </w:r>
      <w:r w:rsidR="00BF059B" w:rsidRPr="00A3133E">
        <w:t xml:space="preserve"> </w:t>
      </w:r>
      <w:r w:rsidRPr="00A3133E">
        <w:t>and/or</w:t>
      </w:r>
      <w:r w:rsidR="00BF059B" w:rsidRPr="00A3133E">
        <w:t xml:space="preserve"> </w:t>
      </w:r>
      <w:r w:rsidRPr="00A3133E">
        <w:t>collections</w:t>
      </w:r>
      <w:r w:rsidR="00BF059B" w:rsidRPr="00A3133E">
        <w:t xml:space="preserve"> </w:t>
      </w:r>
      <w:r w:rsidRPr="00A3133E">
        <w:t>management</w:t>
      </w:r>
      <w:r w:rsidR="00BF059B" w:rsidRPr="00A3133E">
        <w:t xml:space="preserve"> </w:t>
      </w:r>
      <w:r w:rsidRPr="00A3133E">
        <w:t>reasons</w:t>
      </w:r>
      <w:r w:rsidR="00BF059B" w:rsidRPr="00A3133E">
        <w:t xml:space="preserve"> </w:t>
      </w:r>
      <w:r w:rsidRPr="00A3133E">
        <w:t>or</w:t>
      </w:r>
      <w:r w:rsidR="00BF059B" w:rsidRPr="00A3133E">
        <w:t xml:space="preserve"> </w:t>
      </w:r>
      <w:r w:rsidRPr="00A3133E">
        <w:t>in</w:t>
      </w:r>
      <w:r w:rsidR="00BF059B" w:rsidRPr="00A3133E">
        <w:t xml:space="preserve"> </w:t>
      </w:r>
      <w:r w:rsidRPr="00A3133E">
        <w:t>line</w:t>
      </w:r>
      <w:r w:rsidR="00BF059B" w:rsidRPr="00A3133E">
        <w:t xml:space="preserve"> </w:t>
      </w:r>
      <w:r w:rsidRPr="00A3133E">
        <w:t>with</w:t>
      </w:r>
      <w:r w:rsidR="00BF059B" w:rsidRPr="00A3133E">
        <w:t xml:space="preserve"> </w:t>
      </w:r>
      <w:r w:rsidRPr="00A3133E">
        <w:t>the</w:t>
      </w:r>
      <w:r w:rsidR="00BF059B" w:rsidRPr="00A3133E">
        <w:t xml:space="preserve"> </w:t>
      </w:r>
      <w:r w:rsidRPr="00A3133E">
        <w:t>Restitution</w:t>
      </w:r>
      <w:r w:rsidR="00BF059B" w:rsidRPr="00A3133E">
        <w:t xml:space="preserve"> </w:t>
      </w:r>
      <w:r w:rsidRPr="00A3133E">
        <w:t>and</w:t>
      </w:r>
      <w:r w:rsidR="00BF059B" w:rsidRPr="00A3133E">
        <w:t xml:space="preserve"> </w:t>
      </w:r>
      <w:r w:rsidRPr="00A3133E">
        <w:t>Repatriation</w:t>
      </w:r>
      <w:r w:rsidR="00BF059B" w:rsidRPr="00A3133E">
        <w:t xml:space="preserve"> </w:t>
      </w:r>
      <w:r w:rsidRPr="00A3133E">
        <w:t>policy.</w:t>
      </w:r>
      <w:r w:rsidR="00BF059B" w:rsidRPr="00A3133E">
        <w:t xml:space="preserve"> </w:t>
      </w:r>
    </w:p>
    <w:p w14:paraId="7E6BC900" w14:textId="77777777" w:rsidR="00BE13A8" w:rsidRPr="00A3133E" w:rsidRDefault="00BE13A8" w:rsidP="000226C1">
      <w:pPr>
        <w:pBdr>
          <w:top w:val="nil"/>
          <w:left w:val="nil"/>
          <w:bottom w:val="nil"/>
          <w:right w:val="nil"/>
          <w:between w:val="nil"/>
        </w:pBdr>
        <w:rPr>
          <w:color w:val="000000"/>
        </w:rPr>
      </w:pPr>
    </w:p>
    <w:p w14:paraId="080B02CF" w14:textId="38B52954" w:rsidR="00BE13A8" w:rsidRPr="00A3133E" w:rsidRDefault="00D70530" w:rsidP="000226C1">
      <w:pPr>
        <w:pBdr>
          <w:top w:val="nil"/>
          <w:left w:val="nil"/>
          <w:bottom w:val="nil"/>
          <w:right w:val="nil"/>
          <w:between w:val="nil"/>
        </w:pBdr>
        <w:rPr>
          <w:color w:val="000000"/>
        </w:rPr>
      </w:pPr>
      <w:r w:rsidRPr="00A3133E">
        <w:rPr>
          <w:color w:val="000000"/>
        </w:rPr>
        <w:t>Further</w:t>
      </w:r>
      <w:r w:rsidR="00BF059B" w:rsidRPr="00A3133E">
        <w:rPr>
          <w:color w:val="000000"/>
        </w:rPr>
        <w:t xml:space="preserve"> </w:t>
      </w:r>
      <w:r w:rsidRPr="00A3133E">
        <w:rPr>
          <w:color w:val="000000"/>
        </w:rPr>
        <w:t>details</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policies</w:t>
      </w:r>
      <w:r w:rsidR="00BF059B" w:rsidRPr="00A3133E">
        <w:rPr>
          <w:color w:val="000000"/>
        </w:rPr>
        <w:t xml:space="preserve"> </w:t>
      </w:r>
      <w:r w:rsidRPr="00A3133E">
        <w:rPr>
          <w:color w:val="000000"/>
        </w:rPr>
        <w:t>can</w:t>
      </w:r>
      <w:r w:rsidR="00BF059B" w:rsidRPr="00A3133E">
        <w:rPr>
          <w:color w:val="000000"/>
        </w:rPr>
        <w:t xml:space="preserve"> </w:t>
      </w:r>
      <w:r w:rsidRPr="00A3133E">
        <w:rPr>
          <w:color w:val="000000"/>
        </w:rPr>
        <w:t>be</w:t>
      </w:r>
      <w:r w:rsidR="00BF059B" w:rsidRPr="00A3133E">
        <w:rPr>
          <w:color w:val="000000"/>
        </w:rPr>
        <w:t xml:space="preserve"> </w:t>
      </w:r>
      <w:r w:rsidRPr="00A3133E">
        <w:rPr>
          <w:color w:val="000000"/>
        </w:rPr>
        <w:t>found</w:t>
      </w:r>
      <w:r w:rsidR="00BF059B" w:rsidRPr="00A3133E">
        <w:rPr>
          <w:color w:val="000000"/>
        </w:rPr>
        <w:t xml:space="preserve"> </w:t>
      </w:r>
      <w:r w:rsidRPr="00A3133E">
        <w:rPr>
          <w:color w:val="000000"/>
        </w:rPr>
        <w:t>on</w:t>
      </w:r>
      <w:r w:rsidR="00BF059B" w:rsidRPr="00A3133E">
        <w:rPr>
          <w:color w:val="000000"/>
        </w:rPr>
        <w:t xml:space="preserve"> </w:t>
      </w:r>
      <w:r w:rsidRPr="00A3133E">
        <w:rPr>
          <w:color w:val="000000"/>
        </w:rPr>
        <w:t>our</w:t>
      </w:r>
      <w:r w:rsidR="00BF059B" w:rsidRPr="00A3133E">
        <w:rPr>
          <w:color w:val="000000"/>
        </w:rPr>
        <w:t xml:space="preserve"> </w:t>
      </w:r>
      <w:r w:rsidRPr="00A3133E">
        <w:rPr>
          <w:color w:val="000000"/>
        </w:rPr>
        <w:t>website</w:t>
      </w:r>
      <w:r w:rsidR="00BF059B" w:rsidRPr="00A3133E">
        <w:rPr>
          <w:color w:val="000000"/>
        </w:rPr>
        <w:t xml:space="preserve"> </w:t>
      </w:r>
      <w:r w:rsidRPr="00A3133E">
        <w:rPr>
          <w:color w:val="000000"/>
        </w:rPr>
        <w:t>at</w:t>
      </w:r>
      <w:r w:rsidR="00BF059B" w:rsidRPr="00A3133E">
        <w:rPr>
          <w:color w:val="000000"/>
        </w:rPr>
        <w:t xml:space="preserve"> </w:t>
      </w:r>
      <w:hyperlink r:id="rId20">
        <w:r w:rsidRPr="000226C1">
          <w:rPr>
            <w:rStyle w:val="Hyperlink"/>
          </w:rPr>
          <w:t>horniman.ac.uk/about/museum-policies</w:t>
        </w:r>
      </w:hyperlink>
      <w:r w:rsidR="000226C1">
        <w:t xml:space="preserve"> </w:t>
      </w:r>
      <w:r w:rsidRPr="00A3133E">
        <w:rPr>
          <w:color w:val="000000"/>
        </w:rPr>
        <w:t>.</w:t>
      </w:r>
    </w:p>
    <w:p w14:paraId="297771C7" w14:textId="77777777" w:rsidR="00BE13A8" w:rsidRPr="00A3133E" w:rsidRDefault="00BE13A8" w:rsidP="000226C1">
      <w:pPr>
        <w:spacing w:line="276" w:lineRule="auto"/>
      </w:pPr>
    </w:p>
    <w:p w14:paraId="6654AA12" w14:textId="2D170B33" w:rsidR="00BE13A8" w:rsidRPr="00A3133E" w:rsidRDefault="00D70530" w:rsidP="000226C1">
      <w:pPr>
        <w:pStyle w:val="Heading5"/>
      </w:pPr>
      <w:r w:rsidRPr="00A3133E">
        <w:t>16.4</w:t>
      </w:r>
      <w:r w:rsidR="00BF059B" w:rsidRPr="00A3133E">
        <w:t xml:space="preserve"> </w:t>
      </w:r>
      <w:r w:rsidRPr="00A3133E">
        <w:t>Collections</w:t>
      </w:r>
      <w:r w:rsidR="00BF059B" w:rsidRPr="00A3133E">
        <w:t xml:space="preserve"> </w:t>
      </w:r>
      <w:r w:rsidRPr="00A3133E">
        <w:t>management</w:t>
      </w:r>
      <w:r w:rsidR="00BF059B" w:rsidRPr="00A3133E">
        <w:t xml:space="preserve"> </w:t>
      </w:r>
    </w:p>
    <w:p w14:paraId="590D5904" w14:textId="3D8FE8F4" w:rsidR="00BE13A8" w:rsidRPr="00A3133E" w:rsidRDefault="00D70530" w:rsidP="000226C1">
      <w:pPr>
        <w:spacing w:line="276" w:lineRule="auto"/>
      </w:pPr>
      <w:r w:rsidRPr="00A3133E">
        <w:t>Two</w:t>
      </w:r>
      <w:r w:rsidR="00BF059B" w:rsidRPr="00A3133E">
        <w:t xml:space="preserve"> </w:t>
      </w:r>
      <w:r w:rsidRPr="00A3133E">
        <w:t>of</w:t>
      </w:r>
      <w:r w:rsidR="00BF059B" w:rsidRPr="00A3133E">
        <w:t xml:space="preserve"> </w:t>
      </w:r>
      <w:r w:rsidRPr="00A3133E">
        <w:t>the</w:t>
      </w:r>
      <w:r w:rsidR="00BF059B" w:rsidRPr="00A3133E">
        <w:t xml:space="preserve"> </w:t>
      </w:r>
      <w:r w:rsidRPr="00A3133E">
        <w:t>Horniman’s</w:t>
      </w:r>
      <w:r w:rsidR="00BF059B" w:rsidRPr="00A3133E">
        <w:t xml:space="preserve"> </w:t>
      </w:r>
      <w:r w:rsidRPr="00A3133E">
        <w:t>three</w:t>
      </w:r>
      <w:r w:rsidR="00BF059B" w:rsidRPr="00A3133E">
        <w:t xml:space="preserve"> </w:t>
      </w:r>
      <w:r w:rsidRPr="00A3133E">
        <w:t>long</w:t>
      </w:r>
      <w:r w:rsidR="00BF059B" w:rsidRPr="00A3133E">
        <w:t xml:space="preserve"> </w:t>
      </w:r>
      <w:r w:rsidRPr="00A3133E">
        <w:t>term</w:t>
      </w:r>
      <w:r w:rsidR="00BF059B" w:rsidRPr="00A3133E">
        <w:t xml:space="preserve"> </w:t>
      </w:r>
      <w:r w:rsidRPr="00A3133E">
        <w:t>objectives</w:t>
      </w:r>
      <w:r w:rsidR="00BF059B" w:rsidRPr="00A3133E">
        <w:t xml:space="preserve"> </w:t>
      </w:r>
      <w:r w:rsidRPr="00A3133E">
        <w:t>relate</w:t>
      </w:r>
      <w:r w:rsidR="00BF059B" w:rsidRPr="00A3133E">
        <w:t xml:space="preserve"> </w:t>
      </w:r>
      <w:r w:rsidRPr="00A3133E">
        <w:t>to</w:t>
      </w:r>
      <w:r w:rsidR="00BF059B" w:rsidRPr="00A3133E">
        <w:t xml:space="preserve"> </w:t>
      </w:r>
      <w:r w:rsidRPr="00A3133E">
        <w:t>the</w:t>
      </w:r>
      <w:r w:rsidR="00BF059B" w:rsidRPr="00A3133E">
        <w:t xml:space="preserve"> </w:t>
      </w:r>
      <w:r w:rsidRPr="00A3133E">
        <w:t>collections:</w:t>
      </w:r>
    </w:p>
    <w:p w14:paraId="701CDE8B" w14:textId="6342A70D" w:rsidR="00BE13A8" w:rsidRPr="00A3133E" w:rsidRDefault="00D70530" w:rsidP="000226C1">
      <w:pPr>
        <w:spacing w:line="276" w:lineRule="auto"/>
      </w:pPr>
      <w:r w:rsidRPr="00A3133E">
        <w:t>“We</w:t>
      </w:r>
      <w:r w:rsidR="00BF059B" w:rsidRPr="00A3133E">
        <w:t xml:space="preserve"> </w:t>
      </w:r>
      <w:r w:rsidRPr="00A3133E">
        <w:t>will</w:t>
      </w:r>
      <w:r w:rsidR="00BF059B" w:rsidRPr="00A3133E">
        <w:t xml:space="preserve"> </w:t>
      </w:r>
      <w:r w:rsidRPr="00A3133E">
        <w:t>use</w:t>
      </w:r>
      <w:r w:rsidR="00BF059B" w:rsidRPr="00A3133E">
        <w:t xml:space="preserve"> </w:t>
      </w:r>
      <w:r w:rsidRPr="00A3133E">
        <w:t>the</w:t>
      </w:r>
      <w:r w:rsidR="00BF059B" w:rsidRPr="00A3133E">
        <w:t xml:space="preserve"> </w:t>
      </w:r>
      <w:r w:rsidRPr="00A3133E">
        <w:t>collections</w:t>
      </w:r>
      <w:r w:rsidR="00BF059B" w:rsidRPr="00A3133E">
        <w:t xml:space="preserve"> </w:t>
      </w:r>
      <w:r w:rsidRPr="00A3133E">
        <w:t>and</w:t>
      </w:r>
      <w:r w:rsidR="00BF059B" w:rsidRPr="00A3133E">
        <w:t xml:space="preserve"> </w:t>
      </w:r>
      <w:r w:rsidRPr="00A3133E">
        <w:t>Gardens</w:t>
      </w:r>
      <w:r w:rsidR="00BF059B" w:rsidRPr="00A3133E">
        <w:t xml:space="preserve"> </w:t>
      </w:r>
      <w:r w:rsidRPr="00A3133E">
        <w:t>to</w:t>
      </w:r>
      <w:r w:rsidR="00BF059B" w:rsidRPr="00A3133E">
        <w:t xml:space="preserve"> </w:t>
      </w:r>
      <w:r w:rsidRPr="00A3133E">
        <w:t>stimulate</w:t>
      </w:r>
      <w:r w:rsidR="00BF059B" w:rsidRPr="00A3133E">
        <w:t xml:space="preserve"> </w:t>
      </w:r>
      <w:r w:rsidRPr="00A3133E">
        <w:t>curiosity</w:t>
      </w:r>
      <w:r w:rsidR="00BF059B" w:rsidRPr="00A3133E">
        <w:t xml:space="preserve"> </w:t>
      </w:r>
      <w:r w:rsidRPr="00A3133E">
        <w:t>and</w:t>
      </w:r>
      <w:r w:rsidR="00BF059B" w:rsidRPr="00A3133E">
        <w:t xml:space="preserve"> </w:t>
      </w:r>
      <w:r w:rsidRPr="00A3133E">
        <w:t>wonder,</w:t>
      </w:r>
      <w:r w:rsidR="00BF059B" w:rsidRPr="00A3133E">
        <w:t xml:space="preserve"> </w:t>
      </w:r>
      <w:r w:rsidRPr="00A3133E">
        <w:t>promoting</w:t>
      </w:r>
      <w:r w:rsidR="00BF059B" w:rsidRPr="00A3133E">
        <w:t xml:space="preserve"> </w:t>
      </w:r>
      <w:r w:rsidRPr="00A3133E">
        <w:t>opportunities</w:t>
      </w:r>
      <w:r w:rsidR="00BF059B" w:rsidRPr="00A3133E">
        <w:t xml:space="preserve"> </w:t>
      </w:r>
      <w:r w:rsidRPr="00A3133E">
        <w:t>for</w:t>
      </w:r>
      <w:r w:rsidR="00BF059B" w:rsidRPr="00A3133E">
        <w:t xml:space="preserve"> </w:t>
      </w:r>
      <w:r w:rsidRPr="00A3133E">
        <w:t>people</w:t>
      </w:r>
      <w:r w:rsidR="00BF059B" w:rsidRPr="00A3133E">
        <w:t xml:space="preserve"> </w:t>
      </w:r>
      <w:r w:rsidRPr="00A3133E">
        <w:t>of</w:t>
      </w:r>
      <w:r w:rsidR="00BF059B" w:rsidRPr="00A3133E">
        <w:t xml:space="preserve"> </w:t>
      </w:r>
      <w:r w:rsidRPr="00A3133E">
        <w:t>all</w:t>
      </w:r>
      <w:r w:rsidR="00BF059B" w:rsidRPr="00A3133E">
        <w:t xml:space="preserve"> </w:t>
      </w:r>
      <w:r w:rsidRPr="00A3133E">
        <w:t>ages,</w:t>
      </w:r>
      <w:r w:rsidR="00BF059B" w:rsidRPr="00A3133E">
        <w:t xml:space="preserve"> </w:t>
      </w:r>
      <w:r w:rsidRPr="00A3133E">
        <w:t>abilities</w:t>
      </w:r>
      <w:r w:rsidR="00BF059B" w:rsidRPr="00A3133E">
        <w:t xml:space="preserve"> </w:t>
      </w:r>
      <w:r w:rsidRPr="00A3133E">
        <w:t>and</w:t>
      </w:r>
      <w:r w:rsidR="00BF059B" w:rsidRPr="00A3133E">
        <w:t xml:space="preserve"> </w:t>
      </w:r>
      <w:r w:rsidRPr="00A3133E">
        <w:t>backgrounds</w:t>
      </w:r>
      <w:r w:rsidR="00BF059B" w:rsidRPr="00A3133E">
        <w:t xml:space="preserve"> </w:t>
      </w:r>
      <w:r w:rsidRPr="00A3133E">
        <w:t>to</w:t>
      </w:r>
      <w:r w:rsidR="00BF059B" w:rsidRPr="00A3133E">
        <w:t xml:space="preserve"> </w:t>
      </w:r>
      <w:r w:rsidRPr="00A3133E">
        <w:t>participate</w:t>
      </w:r>
      <w:r w:rsidR="00BF059B" w:rsidRPr="00A3133E">
        <w:t xml:space="preserve"> </w:t>
      </w:r>
      <w:r w:rsidRPr="00A3133E">
        <w:t>in</w:t>
      </w:r>
      <w:r w:rsidR="00BF059B" w:rsidRPr="00A3133E">
        <w:t xml:space="preserve"> </w:t>
      </w:r>
      <w:r w:rsidRPr="00A3133E">
        <w:t>and</w:t>
      </w:r>
      <w:r w:rsidR="00BF059B" w:rsidRPr="00A3133E">
        <w:t xml:space="preserve"> </w:t>
      </w:r>
      <w:r w:rsidRPr="00A3133E">
        <w:t>enjoy</w:t>
      </w:r>
      <w:r w:rsidR="00BF059B" w:rsidRPr="00A3133E">
        <w:t xml:space="preserve"> </w:t>
      </w:r>
      <w:r w:rsidRPr="00A3133E">
        <w:t>exhibitions,</w:t>
      </w:r>
      <w:r w:rsidR="00BF059B" w:rsidRPr="00A3133E">
        <w:t xml:space="preserve"> </w:t>
      </w:r>
      <w:r w:rsidRPr="00A3133E">
        <w:t>educational</w:t>
      </w:r>
      <w:r w:rsidR="00BF059B" w:rsidRPr="00A3133E">
        <w:t xml:space="preserve"> </w:t>
      </w:r>
      <w:r w:rsidRPr="00A3133E">
        <w:t>programmes,</w:t>
      </w:r>
      <w:r w:rsidR="00BF059B" w:rsidRPr="00A3133E">
        <w:t xml:space="preserve"> </w:t>
      </w:r>
      <w:r w:rsidRPr="00A3133E">
        <w:t>activities</w:t>
      </w:r>
      <w:r w:rsidR="00BF059B" w:rsidRPr="00A3133E">
        <w:t xml:space="preserve"> </w:t>
      </w:r>
      <w:r w:rsidRPr="00A3133E">
        <w:t>and</w:t>
      </w:r>
      <w:r w:rsidR="00BF059B" w:rsidRPr="00A3133E">
        <w:t xml:space="preserve"> </w:t>
      </w:r>
      <w:r w:rsidRPr="00A3133E">
        <w:t>events</w:t>
      </w:r>
      <w:r w:rsidR="00BF059B" w:rsidRPr="00A3133E">
        <w:t xml:space="preserve"> </w:t>
      </w:r>
      <w:r w:rsidRPr="00A3133E">
        <w:t>–</w:t>
      </w:r>
      <w:r w:rsidR="00BF059B" w:rsidRPr="00A3133E">
        <w:t xml:space="preserve"> </w:t>
      </w:r>
      <w:r w:rsidRPr="00A3133E">
        <w:t>both</w:t>
      </w:r>
      <w:r w:rsidR="00BF059B" w:rsidRPr="00A3133E">
        <w:t xml:space="preserve"> </w:t>
      </w:r>
      <w:r w:rsidRPr="00A3133E">
        <w:t>face</w:t>
      </w:r>
      <w:r w:rsidR="00BF059B" w:rsidRPr="00A3133E">
        <w:t xml:space="preserve"> </w:t>
      </w:r>
      <w:r w:rsidRPr="00A3133E">
        <w:t>to</w:t>
      </w:r>
      <w:r w:rsidR="00BF059B" w:rsidRPr="00A3133E">
        <w:t xml:space="preserve"> </w:t>
      </w:r>
      <w:r w:rsidRPr="00A3133E">
        <w:t>face</w:t>
      </w:r>
      <w:r w:rsidR="00BF059B" w:rsidRPr="00A3133E">
        <w:t xml:space="preserve"> </w:t>
      </w:r>
      <w:r w:rsidRPr="00A3133E">
        <w:t>and</w:t>
      </w:r>
      <w:r w:rsidR="00BF059B" w:rsidRPr="00A3133E">
        <w:t xml:space="preserve"> </w:t>
      </w:r>
      <w:r w:rsidRPr="00A3133E">
        <w:t>on-line”</w:t>
      </w:r>
      <w:r w:rsidR="00BF059B" w:rsidRPr="00A3133E">
        <w:t xml:space="preserve"> </w:t>
      </w:r>
    </w:p>
    <w:p w14:paraId="1E927083" w14:textId="1DBF0596" w:rsidR="00BE13A8" w:rsidRPr="00A3133E" w:rsidRDefault="00D70530" w:rsidP="000226C1">
      <w:pPr>
        <w:spacing w:line="276" w:lineRule="auto"/>
      </w:pPr>
      <w:r w:rsidRPr="00A3133E">
        <w:t>“We</w:t>
      </w:r>
      <w:r w:rsidR="00BF059B" w:rsidRPr="00A3133E">
        <w:t xml:space="preserve"> </w:t>
      </w:r>
      <w:r w:rsidRPr="00A3133E">
        <w:t>will</w:t>
      </w:r>
      <w:r w:rsidR="00BF059B" w:rsidRPr="00A3133E">
        <w:t xml:space="preserve"> </w:t>
      </w:r>
      <w:r w:rsidRPr="00A3133E">
        <w:t>safeguard</w:t>
      </w:r>
      <w:r w:rsidR="00BF059B" w:rsidRPr="00A3133E">
        <w:t xml:space="preserve"> </w:t>
      </w:r>
      <w:r w:rsidRPr="00A3133E">
        <w:t>and</w:t>
      </w:r>
      <w:r w:rsidR="00BF059B" w:rsidRPr="00A3133E">
        <w:t xml:space="preserve"> </w:t>
      </w:r>
      <w:r w:rsidRPr="00A3133E">
        <w:t>develop</w:t>
      </w:r>
      <w:r w:rsidR="00BF059B" w:rsidRPr="00A3133E">
        <w:t xml:space="preserve"> </w:t>
      </w:r>
      <w:r w:rsidRPr="00A3133E">
        <w:t>the</w:t>
      </w:r>
      <w:r w:rsidR="00BF059B" w:rsidRPr="00A3133E">
        <w:t xml:space="preserve"> </w:t>
      </w:r>
      <w:r w:rsidRPr="00A3133E">
        <w:t>collections</w:t>
      </w:r>
      <w:r w:rsidR="00BF059B" w:rsidRPr="00A3133E">
        <w:t xml:space="preserve"> </w:t>
      </w:r>
      <w:r w:rsidRPr="00A3133E">
        <w:t>so</w:t>
      </w:r>
      <w:r w:rsidR="00BF059B" w:rsidRPr="00A3133E">
        <w:t xml:space="preserve"> </w:t>
      </w:r>
      <w:r w:rsidRPr="00A3133E">
        <w:t>that</w:t>
      </w:r>
      <w:r w:rsidR="00BF059B" w:rsidRPr="00A3133E">
        <w:t xml:space="preserve"> </w:t>
      </w:r>
      <w:r w:rsidRPr="00A3133E">
        <w:t>they</w:t>
      </w:r>
      <w:r w:rsidR="00BF059B" w:rsidRPr="00A3133E">
        <w:t xml:space="preserve"> </w:t>
      </w:r>
      <w:r w:rsidRPr="00A3133E">
        <w:t>can</w:t>
      </w:r>
      <w:r w:rsidR="00BF059B" w:rsidRPr="00A3133E">
        <w:t xml:space="preserve"> </w:t>
      </w:r>
      <w:r w:rsidRPr="00A3133E">
        <w:t>be</w:t>
      </w:r>
      <w:r w:rsidR="00BF059B" w:rsidRPr="00A3133E">
        <w:t xml:space="preserve"> </w:t>
      </w:r>
      <w:r w:rsidRPr="00A3133E">
        <w:t>made</w:t>
      </w:r>
      <w:r w:rsidR="00BF059B" w:rsidRPr="00A3133E">
        <w:t xml:space="preserve"> </w:t>
      </w:r>
      <w:r w:rsidRPr="00A3133E">
        <w:t>as</w:t>
      </w:r>
      <w:r w:rsidR="00BF059B" w:rsidRPr="00A3133E">
        <w:t xml:space="preserve"> </w:t>
      </w:r>
      <w:r w:rsidRPr="00A3133E">
        <w:t>accessible</w:t>
      </w:r>
      <w:r w:rsidR="00BF059B" w:rsidRPr="00A3133E">
        <w:t xml:space="preserve"> </w:t>
      </w:r>
      <w:r w:rsidRPr="00A3133E">
        <w:t>as</w:t>
      </w:r>
      <w:r w:rsidR="00BF059B" w:rsidRPr="00A3133E">
        <w:t xml:space="preserve"> </w:t>
      </w:r>
      <w:r w:rsidRPr="00A3133E">
        <w:t>possible</w:t>
      </w:r>
      <w:r w:rsidR="00BF059B" w:rsidRPr="00A3133E">
        <w:t xml:space="preserve"> </w:t>
      </w:r>
      <w:r w:rsidRPr="00A3133E">
        <w:t>now</w:t>
      </w:r>
      <w:r w:rsidR="00BF059B" w:rsidRPr="00A3133E">
        <w:t xml:space="preserve"> </w:t>
      </w:r>
      <w:r w:rsidRPr="00A3133E">
        <w:t>and</w:t>
      </w:r>
      <w:r w:rsidR="00BF059B" w:rsidRPr="00A3133E">
        <w:t xml:space="preserve"> </w:t>
      </w:r>
      <w:r w:rsidRPr="00A3133E">
        <w:t>in</w:t>
      </w:r>
      <w:r w:rsidR="00BF059B" w:rsidRPr="00A3133E">
        <w:t xml:space="preserve"> </w:t>
      </w:r>
      <w:r w:rsidRPr="00A3133E">
        <w:t>the</w:t>
      </w:r>
      <w:r w:rsidR="00BF059B" w:rsidRPr="00A3133E">
        <w:t xml:space="preserve"> </w:t>
      </w:r>
      <w:r w:rsidRPr="00A3133E">
        <w:t>future.”</w:t>
      </w:r>
      <w:r w:rsidR="00BF059B" w:rsidRPr="00A3133E">
        <w:t xml:space="preserve"> </w:t>
      </w:r>
    </w:p>
    <w:p w14:paraId="72F3085C" w14:textId="581BBEC3" w:rsidR="00BE13A8" w:rsidRPr="00A3133E" w:rsidRDefault="00D70530" w:rsidP="000226C1">
      <w:pPr>
        <w:spacing w:line="276" w:lineRule="auto"/>
      </w:pPr>
      <w:r w:rsidRPr="00A3133E">
        <w:t>These</w:t>
      </w:r>
      <w:r w:rsidR="00BF059B" w:rsidRPr="00A3133E">
        <w:t xml:space="preserve"> </w:t>
      </w:r>
      <w:r w:rsidRPr="00A3133E">
        <w:t>objectives</w:t>
      </w:r>
      <w:r w:rsidR="00BF059B" w:rsidRPr="00A3133E">
        <w:t xml:space="preserve"> </w:t>
      </w:r>
      <w:r w:rsidRPr="00A3133E">
        <w:t>are</w:t>
      </w:r>
      <w:r w:rsidR="00BF059B" w:rsidRPr="00A3133E">
        <w:t xml:space="preserve"> </w:t>
      </w:r>
      <w:r w:rsidRPr="00A3133E">
        <w:t>delivered</w:t>
      </w:r>
      <w:r w:rsidR="00BF059B" w:rsidRPr="00A3133E">
        <w:t xml:space="preserve"> </w:t>
      </w:r>
      <w:r w:rsidRPr="00A3133E">
        <w:t>through</w:t>
      </w:r>
      <w:r w:rsidR="00BF059B" w:rsidRPr="00A3133E">
        <w:t xml:space="preserve"> </w:t>
      </w:r>
      <w:r w:rsidRPr="00A3133E">
        <w:t>programmes</w:t>
      </w:r>
      <w:r w:rsidR="00BF059B" w:rsidRPr="00A3133E">
        <w:t xml:space="preserve"> </w:t>
      </w:r>
      <w:r w:rsidRPr="00A3133E">
        <w:t>of</w:t>
      </w:r>
      <w:r w:rsidR="00BF059B" w:rsidRPr="00A3133E">
        <w:t xml:space="preserve"> </w:t>
      </w:r>
      <w:r w:rsidRPr="00A3133E">
        <w:t>displays,</w:t>
      </w:r>
      <w:r w:rsidR="00BF059B" w:rsidRPr="00A3133E">
        <w:t xml:space="preserve"> </w:t>
      </w:r>
      <w:r w:rsidRPr="00A3133E">
        <w:t>events,</w:t>
      </w:r>
      <w:r w:rsidR="00BF059B" w:rsidRPr="00A3133E">
        <w:t xml:space="preserve"> </w:t>
      </w:r>
      <w:r w:rsidRPr="00A3133E">
        <w:t>publications</w:t>
      </w:r>
      <w:r w:rsidR="00BF059B" w:rsidRPr="00A3133E">
        <w:t xml:space="preserve"> </w:t>
      </w:r>
      <w:r w:rsidRPr="00A3133E">
        <w:t>websites,</w:t>
      </w:r>
      <w:r w:rsidR="00BF059B" w:rsidRPr="00A3133E">
        <w:t xml:space="preserve"> </w:t>
      </w:r>
      <w:r w:rsidRPr="00A3133E">
        <w:t>fieldwork,</w:t>
      </w:r>
      <w:r w:rsidR="00BF059B" w:rsidRPr="00A3133E">
        <w:t xml:space="preserve"> </w:t>
      </w:r>
      <w:r w:rsidRPr="00A3133E">
        <w:t>research,</w:t>
      </w:r>
      <w:r w:rsidR="00BF059B" w:rsidRPr="00A3133E">
        <w:t xml:space="preserve"> </w:t>
      </w:r>
      <w:r w:rsidRPr="00A3133E">
        <w:t>acquisition,</w:t>
      </w:r>
      <w:r w:rsidR="00BF059B" w:rsidRPr="00A3133E">
        <w:t xml:space="preserve"> </w:t>
      </w:r>
      <w:r w:rsidRPr="00A3133E">
        <w:t>documentation</w:t>
      </w:r>
      <w:r w:rsidR="00BF059B" w:rsidRPr="00A3133E">
        <w:t xml:space="preserve"> </w:t>
      </w:r>
      <w:r w:rsidRPr="00A3133E">
        <w:t>and</w:t>
      </w:r>
      <w:r w:rsidR="00BF059B" w:rsidRPr="00A3133E">
        <w:t xml:space="preserve"> </w:t>
      </w:r>
      <w:r w:rsidRPr="00A3133E">
        <w:t>collections</w:t>
      </w:r>
      <w:r w:rsidR="00BF059B" w:rsidRPr="00A3133E">
        <w:t xml:space="preserve"> </w:t>
      </w:r>
      <w:r w:rsidRPr="00A3133E">
        <w:t>care.</w:t>
      </w:r>
      <w:r w:rsidR="00BF059B" w:rsidRPr="00A3133E">
        <w:t xml:space="preserve">  </w:t>
      </w:r>
      <w:r w:rsidRPr="00A3133E">
        <w:t>Objects</w:t>
      </w:r>
      <w:r w:rsidR="00BF059B" w:rsidRPr="00A3133E">
        <w:t xml:space="preserve"> </w:t>
      </w:r>
      <w:r w:rsidRPr="00A3133E">
        <w:t>from</w:t>
      </w:r>
      <w:r w:rsidR="00BF059B" w:rsidRPr="00A3133E">
        <w:t xml:space="preserve"> </w:t>
      </w:r>
      <w:r w:rsidRPr="00A3133E">
        <w:t>the</w:t>
      </w:r>
      <w:r w:rsidR="00BF059B" w:rsidRPr="00A3133E">
        <w:t xml:space="preserve"> </w:t>
      </w:r>
      <w:r w:rsidRPr="00A3133E">
        <w:t>collection</w:t>
      </w:r>
      <w:r w:rsidR="00BF059B" w:rsidRPr="00A3133E">
        <w:t xml:space="preserve"> </w:t>
      </w:r>
      <w:r w:rsidRPr="00A3133E">
        <w:t>are</w:t>
      </w:r>
      <w:r w:rsidR="00BF059B" w:rsidRPr="00A3133E">
        <w:t xml:space="preserve"> </w:t>
      </w:r>
      <w:r w:rsidRPr="00A3133E">
        <w:t>either</w:t>
      </w:r>
      <w:r w:rsidR="00BF059B" w:rsidRPr="00A3133E">
        <w:t xml:space="preserve"> </w:t>
      </w:r>
      <w:r w:rsidRPr="00A3133E">
        <w:t>displayed</w:t>
      </w:r>
      <w:r w:rsidR="00BF059B" w:rsidRPr="00A3133E">
        <w:t xml:space="preserve"> </w:t>
      </w:r>
      <w:r w:rsidRPr="00A3133E">
        <w:t>in</w:t>
      </w:r>
      <w:r w:rsidR="00BF059B" w:rsidRPr="00A3133E">
        <w:t xml:space="preserve"> </w:t>
      </w:r>
      <w:r w:rsidRPr="00A3133E">
        <w:t>the</w:t>
      </w:r>
      <w:r w:rsidR="00BF059B" w:rsidRPr="00A3133E">
        <w:t xml:space="preserve"> </w:t>
      </w:r>
      <w:r w:rsidRPr="00A3133E">
        <w:t>museum</w:t>
      </w:r>
      <w:r w:rsidR="00BF059B" w:rsidRPr="00A3133E">
        <w:t xml:space="preserve"> </w:t>
      </w:r>
      <w:r w:rsidRPr="00A3133E">
        <w:t>and</w:t>
      </w:r>
      <w:r w:rsidR="00BF059B" w:rsidRPr="00A3133E">
        <w:t xml:space="preserve"> </w:t>
      </w:r>
      <w:r w:rsidRPr="00A3133E">
        <w:t>on</w:t>
      </w:r>
      <w:r w:rsidR="00BF059B" w:rsidRPr="00A3133E">
        <w:t xml:space="preserve"> </w:t>
      </w:r>
      <w:r w:rsidRPr="00A3133E">
        <w:t>our</w:t>
      </w:r>
      <w:r w:rsidR="00BF059B" w:rsidRPr="00A3133E">
        <w:t xml:space="preserve"> </w:t>
      </w:r>
      <w:r w:rsidRPr="00A3133E">
        <w:t>website,</w:t>
      </w:r>
      <w:r w:rsidR="00BF059B" w:rsidRPr="00A3133E">
        <w:t xml:space="preserve"> </w:t>
      </w:r>
      <w:r w:rsidRPr="00A3133E">
        <w:t>or</w:t>
      </w:r>
      <w:r w:rsidR="00BF059B" w:rsidRPr="00A3133E">
        <w:t xml:space="preserve"> </w:t>
      </w:r>
      <w:r w:rsidRPr="00A3133E">
        <w:t>made</w:t>
      </w:r>
      <w:r w:rsidR="00BF059B" w:rsidRPr="00A3133E">
        <w:t xml:space="preserve"> </w:t>
      </w:r>
      <w:r w:rsidRPr="00A3133E">
        <w:t>available</w:t>
      </w:r>
      <w:r w:rsidR="00BF059B" w:rsidRPr="00A3133E">
        <w:t xml:space="preserve"> </w:t>
      </w:r>
      <w:r w:rsidRPr="00A3133E">
        <w:t>via</w:t>
      </w:r>
      <w:r w:rsidR="00BF059B" w:rsidRPr="00A3133E">
        <w:t xml:space="preserve"> </w:t>
      </w:r>
      <w:r w:rsidRPr="00A3133E">
        <w:t>loans</w:t>
      </w:r>
      <w:r w:rsidR="00BF059B" w:rsidRPr="00A3133E">
        <w:t xml:space="preserve"> </w:t>
      </w:r>
      <w:r w:rsidRPr="00A3133E">
        <w:t>to</w:t>
      </w:r>
      <w:r w:rsidR="00BF059B" w:rsidRPr="00A3133E">
        <w:t xml:space="preserve"> </w:t>
      </w:r>
      <w:r w:rsidRPr="00A3133E">
        <w:t>third</w:t>
      </w:r>
      <w:r w:rsidR="00BF059B" w:rsidRPr="00A3133E">
        <w:t xml:space="preserve"> </w:t>
      </w:r>
      <w:r w:rsidRPr="00A3133E">
        <w:t>parties,</w:t>
      </w:r>
      <w:r w:rsidR="00BF059B" w:rsidRPr="00A3133E">
        <w:t xml:space="preserve"> </w:t>
      </w:r>
      <w:r w:rsidRPr="00A3133E">
        <w:t>or</w:t>
      </w:r>
      <w:r w:rsidR="00BF059B" w:rsidRPr="00A3133E">
        <w:t xml:space="preserve"> </w:t>
      </w:r>
      <w:r w:rsidRPr="00A3133E">
        <w:t>else</w:t>
      </w:r>
      <w:r w:rsidR="00BF059B" w:rsidRPr="00A3133E">
        <w:t xml:space="preserve"> </w:t>
      </w:r>
      <w:r w:rsidRPr="00A3133E">
        <w:t>they</w:t>
      </w:r>
      <w:r w:rsidR="00BF059B" w:rsidRPr="00A3133E">
        <w:t xml:space="preserve"> </w:t>
      </w:r>
      <w:r w:rsidRPr="00A3133E">
        <w:t>are</w:t>
      </w:r>
      <w:r w:rsidR="00BF059B" w:rsidRPr="00A3133E">
        <w:t xml:space="preserve"> </w:t>
      </w:r>
      <w:r w:rsidRPr="00A3133E">
        <w:t>held</w:t>
      </w:r>
      <w:r w:rsidR="00BF059B" w:rsidRPr="00A3133E">
        <w:t xml:space="preserve"> </w:t>
      </w:r>
      <w:r w:rsidRPr="00A3133E">
        <w:t>at</w:t>
      </w:r>
      <w:r w:rsidR="00BF059B" w:rsidRPr="00A3133E">
        <w:t xml:space="preserve"> </w:t>
      </w:r>
      <w:r w:rsidRPr="00A3133E">
        <w:t>our</w:t>
      </w:r>
      <w:r w:rsidR="00BF059B" w:rsidRPr="00A3133E">
        <w:t xml:space="preserve"> </w:t>
      </w:r>
      <w:r w:rsidRPr="00A3133E">
        <w:t>Study</w:t>
      </w:r>
      <w:r w:rsidR="00BF059B" w:rsidRPr="00A3133E">
        <w:t xml:space="preserve"> </w:t>
      </w:r>
      <w:r w:rsidRPr="00A3133E">
        <w:t>Collections</w:t>
      </w:r>
      <w:r w:rsidR="00BF059B" w:rsidRPr="00A3133E">
        <w:t xml:space="preserve"> </w:t>
      </w:r>
      <w:r w:rsidRPr="00A3133E">
        <w:t>Centre</w:t>
      </w:r>
      <w:r w:rsidR="00BF059B" w:rsidRPr="00A3133E">
        <w:t xml:space="preserve"> </w:t>
      </w:r>
      <w:r w:rsidRPr="00A3133E">
        <w:t>for</w:t>
      </w:r>
      <w:r w:rsidR="00BF059B" w:rsidRPr="00A3133E">
        <w:t xml:space="preserve"> </w:t>
      </w:r>
      <w:r w:rsidRPr="00A3133E">
        <w:t>research</w:t>
      </w:r>
      <w:r w:rsidR="00BF059B" w:rsidRPr="00A3133E">
        <w:t xml:space="preserve"> </w:t>
      </w:r>
      <w:r w:rsidRPr="00A3133E">
        <w:t>and</w:t>
      </w:r>
      <w:r w:rsidR="00BF059B" w:rsidRPr="00A3133E">
        <w:t xml:space="preserve"> </w:t>
      </w:r>
      <w:r w:rsidRPr="00A3133E">
        <w:t>future</w:t>
      </w:r>
      <w:r w:rsidR="00BF059B" w:rsidRPr="00A3133E">
        <w:t xml:space="preserve"> </w:t>
      </w:r>
      <w:r w:rsidRPr="00A3133E">
        <w:t>use.</w:t>
      </w:r>
      <w:r w:rsidR="00BF059B" w:rsidRPr="00A3133E">
        <w:t xml:space="preserve"> </w:t>
      </w:r>
    </w:p>
    <w:p w14:paraId="7094A928" w14:textId="77777777" w:rsidR="00BE13A8" w:rsidRPr="000226C1" w:rsidRDefault="00BE13A8" w:rsidP="000226C1">
      <w:pPr>
        <w:pStyle w:val="Heading6"/>
      </w:pPr>
    </w:p>
    <w:p w14:paraId="122A4790" w14:textId="5FCCF19D" w:rsidR="00BE13A8" w:rsidRPr="000226C1" w:rsidRDefault="00D70530" w:rsidP="000226C1">
      <w:pPr>
        <w:pStyle w:val="Heading6"/>
        <w:rPr>
          <w:color w:val="000000"/>
        </w:rPr>
      </w:pPr>
      <w:r w:rsidRPr="000226C1">
        <w:rPr>
          <w:color w:val="000000"/>
        </w:rPr>
        <w:t>Storage</w:t>
      </w:r>
      <w:r w:rsidR="00BF059B" w:rsidRPr="000226C1">
        <w:rPr>
          <w:color w:val="000000"/>
        </w:rPr>
        <w:t xml:space="preserve"> </w:t>
      </w:r>
      <w:r w:rsidRPr="000226C1">
        <w:rPr>
          <w:color w:val="000000"/>
        </w:rPr>
        <w:t>and</w:t>
      </w:r>
      <w:r w:rsidR="00BF059B" w:rsidRPr="000226C1">
        <w:rPr>
          <w:color w:val="000000"/>
        </w:rPr>
        <w:t xml:space="preserve"> </w:t>
      </w:r>
      <w:r w:rsidRPr="000226C1">
        <w:rPr>
          <w:color w:val="000000"/>
        </w:rPr>
        <w:t>Care</w:t>
      </w:r>
    </w:p>
    <w:p w14:paraId="7B0825AB" w14:textId="1DBACD78" w:rsidR="00BE13A8" w:rsidRPr="00A3133E" w:rsidRDefault="00D70530" w:rsidP="000226C1">
      <w:pPr>
        <w:spacing w:line="276" w:lineRule="auto"/>
      </w:pPr>
      <w:r w:rsidRPr="00A3133E">
        <w:t>The</w:t>
      </w:r>
      <w:r w:rsidR="00BF059B" w:rsidRPr="00A3133E">
        <w:t xml:space="preserve"> </w:t>
      </w:r>
      <w:r w:rsidRPr="00A3133E">
        <w:t>collection</w:t>
      </w:r>
      <w:r w:rsidR="00BF059B" w:rsidRPr="00A3133E">
        <w:t xml:space="preserve"> </w:t>
      </w:r>
      <w:r w:rsidRPr="00A3133E">
        <w:t>is</w:t>
      </w:r>
      <w:r w:rsidR="00BF059B" w:rsidRPr="00A3133E">
        <w:t xml:space="preserve"> </w:t>
      </w:r>
      <w:r w:rsidRPr="00A3133E">
        <w:t>displayed</w:t>
      </w:r>
      <w:r w:rsidR="00BF059B" w:rsidRPr="00A3133E">
        <w:t xml:space="preserve"> </w:t>
      </w:r>
      <w:r w:rsidRPr="00A3133E">
        <w:t>and</w:t>
      </w:r>
      <w:r w:rsidR="00BF059B" w:rsidRPr="00A3133E">
        <w:t xml:space="preserve"> </w:t>
      </w:r>
      <w:r w:rsidRPr="00A3133E">
        <w:t>stored</w:t>
      </w:r>
      <w:r w:rsidR="00BF059B" w:rsidRPr="00A3133E">
        <w:t xml:space="preserve"> </w:t>
      </w:r>
      <w:r w:rsidRPr="00A3133E">
        <w:t>according</w:t>
      </w:r>
      <w:r w:rsidR="00BF059B" w:rsidRPr="00A3133E">
        <w:t xml:space="preserve"> </w:t>
      </w:r>
      <w:r w:rsidRPr="00A3133E">
        <w:t>to</w:t>
      </w:r>
      <w:r w:rsidR="00BF059B" w:rsidRPr="00A3133E">
        <w:t xml:space="preserve"> </w:t>
      </w:r>
      <w:r w:rsidRPr="00A3133E">
        <w:t>Horniman’s</w:t>
      </w:r>
      <w:r w:rsidR="00BF059B" w:rsidRPr="00A3133E">
        <w:t xml:space="preserve"> </w:t>
      </w:r>
      <w:r w:rsidRPr="00A3133E">
        <w:t>standards</w:t>
      </w:r>
      <w:r w:rsidR="00BF059B" w:rsidRPr="00A3133E">
        <w:t xml:space="preserve"> </w:t>
      </w:r>
      <w:r w:rsidRPr="00A3133E">
        <w:t>for</w:t>
      </w:r>
      <w:r w:rsidR="00BF059B" w:rsidRPr="00A3133E">
        <w:t xml:space="preserve"> </w:t>
      </w:r>
      <w:r w:rsidRPr="00A3133E">
        <w:t>the</w:t>
      </w:r>
      <w:r w:rsidR="00BF059B" w:rsidRPr="00A3133E">
        <w:t xml:space="preserve"> </w:t>
      </w:r>
      <w:r w:rsidRPr="00A3133E">
        <w:t>prevention</w:t>
      </w:r>
      <w:r w:rsidR="00BF059B" w:rsidRPr="00A3133E">
        <w:t xml:space="preserve"> </w:t>
      </w:r>
      <w:r w:rsidRPr="00A3133E">
        <w:t>of</w:t>
      </w:r>
      <w:r w:rsidR="00BF059B" w:rsidRPr="00A3133E">
        <w:t xml:space="preserve"> </w:t>
      </w:r>
      <w:r w:rsidRPr="00A3133E">
        <w:t>material</w:t>
      </w:r>
      <w:r w:rsidR="00BF059B" w:rsidRPr="00A3133E">
        <w:t xml:space="preserve"> </w:t>
      </w:r>
      <w:r w:rsidRPr="00A3133E">
        <w:t>deterioration;</w:t>
      </w:r>
      <w:r w:rsidR="00BF059B" w:rsidRPr="00A3133E">
        <w:t xml:space="preserve"> </w:t>
      </w:r>
      <w:r w:rsidRPr="00A3133E">
        <w:t>these</w:t>
      </w:r>
      <w:r w:rsidR="00BF059B" w:rsidRPr="00A3133E">
        <w:t xml:space="preserve"> </w:t>
      </w:r>
      <w:r w:rsidRPr="00A3133E">
        <w:t>are</w:t>
      </w:r>
      <w:r w:rsidR="00BF059B" w:rsidRPr="00A3133E">
        <w:t xml:space="preserve"> </w:t>
      </w:r>
      <w:r w:rsidRPr="00A3133E">
        <w:t>based</w:t>
      </w:r>
      <w:r w:rsidR="00BF059B" w:rsidRPr="00A3133E">
        <w:t xml:space="preserve"> </w:t>
      </w:r>
      <w:r w:rsidRPr="00A3133E">
        <w:t>on</w:t>
      </w:r>
      <w:r w:rsidR="00BF059B" w:rsidRPr="00A3133E">
        <w:t xml:space="preserve"> </w:t>
      </w:r>
      <w:r w:rsidRPr="00A3133E">
        <w:t>international</w:t>
      </w:r>
      <w:r w:rsidR="00BF059B" w:rsidRPr="00A3133E">
        <w:t xml:space="preserve"> </w:t>
      </w:r>
      <w:r w:rsidRPr="00A3133E">
        <w:t>standards</w:t>
      </w:r>
      <w:r w:rsidR="00BF059B" w:rsidRPr="00A3133E">
        <w:t xml:space="preserve"> </w:t>
      </w:r>
      <w:r w:rsidRPr="00A3133E">
        <w:t>and</w:t>
      </w:r>
      <w:r w:rsidR="00BF059B" w:rsidRPr="00A3133E">
        <w:t xml:space="preserve"> </w:t>
      </w:r>
      <w:r w:rsidRPr="00A3133E">
        <w:t>current</w:t>
      </w:r>
      <w:r w:rsidR="00BF059B" w:rsidRPr="00A3133E">
        <w:t xml:space="preserve"> </w:t>
      </w:r>
      <w:r w:rsidRPr="00A3133E">
        <w:t>research.</w:t>
      </w:r>
    </w:p>
    <w:p w14:paraId="029A0078" w14:textId="0DB4E21E" w:rsidR="00BE13A8" w:rsidRPr="00A3133E" w:rsidRDefault="00D70530" w:rsidP="000226C1">
      <w:pPr>
        <w:spacing w:line="276" w:lineRule="auto"/>
      </w:pPr>
      <w:r w:rsidRPr="00A3133E">
        <w:lastRenderedPageBreak/>
        <w:t>Library</w:t>
      </w:r>
      <w:r w:rsidR="00BF059B" w:rsidRPr="00A3133E">
        <w:t xml:space="preserve"> </w:t>
      </w:r>
      <w:r w:rsidRPr="00A3133E">
        <w:t>and</w:t>
      </w:r>
      <w:r w:rsidR="00BF059B" w:rsidRPr="00A3133E">
        <w:t xml:space="preserve"> </w:t>
      </w:r>
      <w:r w:rsidRPr="00A3133E">
        <w:t>archive</w:t>
      </w:r>
      <w:r w:rsidR="00BF059B" w:rsidRPr="00A3133E">
        <w:t xml:space="preserve"> </w:t>
      </w:r>
      <w:r w:rsidRPr="00A3133E">
        <w:t>storage</w:t>
      </w:r>
      <w:r w:rsidR="00BF059B" w:rsidRPr="00A3133E">
        <w:t xml:space="preserve"> </w:t>
      </w:r>
      <w:r w:rsidRPr="00A3133E">
        <w:t>facilities</w:t>
      </w:r>
      <w:r w:rsidR="00BF059B" w:rsidRPr="00A3133E">
        <w:t xml:space="preserve"> </w:t>
      </w:r>
      <w:r w:rsidRPr="00A3133E">
        <w:t>and</w:t>
      </w:r>
      <w:r w:rsidR="00BF059B" w:rsidRPr="00A3133E">
        <w:t xml:space="preserve"> </w:t>
      </w:r>
      <w:r w:rsidRPr="00A3133E">
        <w:t>exhibitions</w:t>
      </w:r>
      <w:r w:rsidR="00BF059B" w:rsidRPr="00A3133E">
        <w:t xml:space="preserve"> </w:t>
      </w:r>
      <w:r w:rsidRPr="00A3133E">
        <w:t>are</w:t>
      </w:r>
      <w:r w:rsidR="00BF059B" w:rsidRPr="00A3133E">
        <w:t xml:space="preserve"> </w:t>
      </w:r>
      <w:r w:rsidRPr="00A3133E">
        <w:t>based</w:t>
      </w:r>
      <w:r w:rsidR="00BF059B" w:rsidRPr="00A3133E">
        <w:t xml:space="preserve"> </w:t>
      </w:r>
      <w:r w:rsidRPr="00A3133E">
        <w:t>upon</w:t>
      </w:r>
      <w:r w:rsidR="00BF059B" w:rsidRPr="00A3133E">
        <w:t xml:space="preserve"> </w:t>
      </w:r>
      <w:r w:rsidRPr="00A3133E">
        <w:t>and</w:t>
      </w:r>
      <w:r w:rsidR="00BF059B" w:rsidRPr="00A3133E">
        <w:t xml:space="preserve"> </w:t>
      </w:r>
      <w:r w:rsidRPr="00A3133E">
        <w:t>informed</w:t>
      </w:r>
      <w:r w:rsidR="00BF059B" w:rsidRPr="00A3133E">
        <w:t xml:space="preserve"> </w:t>
      </w:r>
      <w:r w:rsidRPr="00A3133E">
        <w:t>by</w:t>
      </w:r>
      <w:r w:rsidR="00BF059B" w:rsidRPr="00A3133E">
        <w:t xml:space="preserve"> </w:t>
      </w:r>
      <w:r w:rsidRPr="00A3133E">
        <w:t>the</w:t>
      </w:r>
      <w:r w:rsidR="00BF059B" w:rsidRPr="00A3133E">
        <w:t xml:space="preserve"> </w:t>
      </w:r>
      <w:r w:rsidRPr="00A3133E">
        <w:t>requirements</w:t>
      </w:r>
      <w:r w:rsidR="00BF059B" w:rsidRPr="00A3133E">
        <w:t xml:space="preserve"> </w:t>
      </w:r>
      <w:r w:rsidRPr="00A3133E">
        <w:t>of</w:t>
      </w:r>
      <w:r w:rsidR="00BF059B" w:rsidRPr="00A3133E">
        <w:t xml:space="preserve"> </w:t>
      </w:r>
      <w:r w:rsidRPr="00A3133E">
        <w:t>BS</w:t>
      </w:r>
      <w:r w:rsidR="00BF059B" w:rsidRPr="00A3133E">
        <w:t xml:space="preserve"> </w:t>
      </w:r>
      <w:r w:rsidRPr="00A3133E">
        <w:t>5454</w:t>
      </w:r>
      <w:r w:rsidR="00BF059B" w:rsidRPr="00A3133E">
        <w:t xml:space="preserve"> </w:t>
      </w:r>
      <w:r w:rsidRPr="00A3133E">
        <w:t>and</w:t>
      </w:r>
      <w:r w:rsidR="00BF059B" w:rsidRPr="00A3133E">
        <w:t xml:space="preserve"> </w:t>
      </w:r>
      <w:r w:rsidRPr="00A3133E">
        <w:t>The</w:t>
      </w:r>
      <w:r w:rsidR="00BF059B" w:rsidRPr="00A3133E">
        <w:t xml:space="preserve"> </w:t>
      </w:r>
      <w:r w:rsidRPr="00A3133E">
        <w:t>National</w:t>
      </w:r>
      <w:r w:rsidR="00BF059B" w:rsidRPr="00A3133E">
        <w:t xml:space="preserve"> </w:t>
      </w:r>
      <w:r w:rsidRPr="00A3133E">
        <w:t>Archives</w:t>
      </w:r>
      <w:r w:rsidR="00BF059B" w:rsidRPr="00A3133E">
        <w:t xml:space="preserve"> </w:t>
      </w:r>
      <w:r w:rsidRPr="00A3133E">
        <w:t>Standard</w:t>
      </w:r>
      <w:r w:rsidR="00BF059B" w:rsidRPr="00A3133E">
        <w:t xml:space="preserve"> </w:t>
      </w:r>
      <w:r w:rsidRPr="00A3133E">
        <w:t>for</w:t>
      </w:r>
      <w:r w:rsidR="00BF059B" w:rsidRPr="00A3133E">
        <w:t xml:space="preserve"> </w:t>
      </w:r>
      <w:r w:rsidRPr="00A3133E">
        <w:t>Record</w:t>
      </w:r>
      <w:r w:rsidR="00BF059B" w:rsidRPr="00A3133E">
        <w:t xml:space="preserve"> </w:t>
      </w:r>
      <w:r w:rsidRPr="00A3133E">
        <w:t>Repositories.</w:t>
      </w:r>
    </w:p>
    <w:p w14:paraId="6910AC12" w14:textId="4AD3645F" w:rsidR="00BE13A8" w:rsidRPr="00A3133E" w:rsidRDefault="00D70530" w:rsidP="000226C1">
      <w:pPr>
        <w:spacing w:line="276" w:lineRule="auto"/>
      </w:pPr>
      <w:r w:rsidRPr="00A3133E">
        <w:t>Collections</w:t>
      </w:r>
      <w:r w:rsidR="00BF059B" w:rsidRPr="00A3133E">
        <w:t xml:space="preserve"> </w:t>
      </w:r>
      <w:r w:rsidRPr="00A3133E">
        <w:t>management</w:t>
      </w:r>
      <w:r w:rsidR="00BF059B" w:rsidRPr="00A3133E">
        <w:t xml:space="preserve"> </w:t>
      </w:r>
      <w:r w:rsidRPr="00A3133E">
        <w:t>and</w:t>
      </w:r>
      <w:r w:rsidR="00BF059B" w:rsidRPr="00A3133E">
        <w:t xml:space="preserve"> </w:t>
      </w:r>
      <w:r w:rsidRPr="00A3133E">
        <w:t>care</w:t>
      </w:r>
      <w:r w:rsidR="00BF059B" w:rsidRPr="00A3133E">
        <w:t xml:space="preserve"> </w:t>
      </w:r>
      <w:r w:rsidRPr="00A3133E">
        <w:t>are</w:t>
      </w:r>
      <w:r w:rsidR="00BF059B" w:rsidRPr="00A3133E">
        <w:t xml:space="preserve"> </w:t>
      </w:r>
      <w:r w:rsidRPr="00A3133E">
        <w:t>regularly</w:t>
      </w:r>
      <w:r w:rsidR="00BF059B" w:rsidRPr="00A3133E">
        <w:t xml:space="preserve"> </w:t>
      </w:r>
      <w:r w:rsidRPr="00A3133E">
        <w:t>reviewed</w:t>
      </w:r>
      <w:r w:rsidR="00BF059B" w:rsidRPr="00A3133E">
        <w:t xml:space="preserve"> </w:t>
      </w:r>
      <w:r w:rsidRPr="00A3133E">
        <w:t>by</w:t>
      </w:r>
      <w:r w:rsidR="00BF059B" w:rsidRPr="00A3133E">
        <w:t xml:space="preserve"> </w:t>
      </w:r>
      <w:r w:rsidRPr="00A3133E">
        <w:t>the</w:t>
      </w:r>
      <w:r w:rsidR="00BF059B" w:rsidRPr="00A3133E">
        <w:t xml:space="preserve"> </w:t>
      </w:r>
      <w:r w:rsidRPr="00A3133E">
        <w:t>Horniman</w:t>
      </w:r>
      <w:r w:rsidR="00BF059B" w:rsidRPr="00A3133E">
        <w:t xml:space="preserve"> </w:t>
      </w:r>
      <w:r w:rsidRPr="00A3133E">
        <w:t>to</w:t>
      </w:r>
      <w:r w:rsidR="00BF059B" w:rsidRPr="00A3133E">
        <w:t xml:space="preserve"> </w:t>
      </w:r>
      <w:r w:rsidRPr="00A3133E">
        <w:t>ensure</w:t>
      </w:r>
      <w:r w:rsidR="00BF059B" w:rsidRPr="00A3133E">
        <w:t xml:space="preserve"> </w:t>
      </w:r>
      <w:r w:rsidRPr="00A3133E">
        <w:t>adherence</w:t>
      </w:r>
      <w:r w:rsidR="00BF059B" w:rsidRPr="00A3133E">
        <w:t xml:space="preserve"> </w:t>
      </w:r>
      <w:r w:rsidRPr="00A3133E">
        <w:t>to</w:t>
      </w:r>
      <w:r w:rsidR="00BF059B" w:rsidRPr="00A3133E">
        <w:t xml:space="preserve"> </w:t>
      </w:r>
      <w:r w:rsidRPr="00A3133E">
        <w:t>these</w:t>
      </w:r>
      <w:r w:rsidR="00BF059B" w:rsidRPr="00A3133E">
        <w:t xml:space="preserve"> </w:t>
      </w:r>
      <w:r w:rsidRPr="00A3133E">
        <w:t>standards.</w:t>
      </w:r>
    </w:p>
    <w:p w14:paraId="3FA61C63" w14:textId="77777777" w:rsidR="00BE13A8" w:rsidRPr="00A3133E" w:rsidRDefault="00BE13A8" w:rsidP="000226C1">
      <w:pPr>
        <w:spacing w:line="276" w:lineRule="auto"/>
      </w:pPr>
    </w:p>
    <w:p w14:paraId="629BD762" w14:textId="6433F063" w:rsidR="00BE13A8" w:rsidRPr="00A3133E" w:rsidRDefault="00D70530" w:rsidP="000226C1">
      <w:pPr>
        <w:pBdr>
          <w:top w:val="nil"/>
          <w:left w:val="nil"/>
          <w:bottom w:val="nil"/>
          <w:right w:val="nil"/>
          <w:between w:val="nil"/>
        </w:pBdr>
        <w:rPr>
          <w:color w:val="000000"/>
        </w:rPr>
      </w:pPr>
      <w:r w:rsidRPr="00A3133E">
        <w:rPr>
          <w:color w:val="000000"/>
        </w:rPr>
        <w:t>The</w:t>
      </w:r>
      <w:r w:rsidR="00BF059B" w:rsidRPr="00A3133E">
        <w:rPr>
          <w:color w:val="000000"/>
        </w:rPr>
        <w:t xml:space="preserve"> </w:t>
      </w:r>
      <w:r w:rsidRPr="00A3133E">
        <w:rPr>
          <w:color w:val="000000"/>
        </w:rPr>
        <w:t>Horniman</w:t>
      </w:r>
      <w:r w:rsidR="00BF059B" w:rsidRPr="00A3133E">
        <w:rPr>
          <w:color w:val="000000"/>
        </w:rPr>
        <w:t xml:space="preserve"> </w:t>
      </w:r>
      <w:r w:rsidRPr="00A3133E">
        <w:rPr>
          <w:color w:val="000000"/>
        </w:rPr>
        <w:t>will:</w:t>
      </w:r>
    </w:p>
    <w:p w14:paraId="0FA2A724" w14:textId="4CEF6B25" w:rsidR="00BE13A8" w:rsidRPr="00A3133E" w:rsidRDefault="00D70530" w:rsidP="000226C1">
      <w:pPr>
        <w:numPr>
          <w:ilvl w:val="0"/>
          <w:numId w:val="9"/>
        </w:numPr>
        <w:pBdr>
          <w:top w:val="nil"/>
          <w:left w:val="nil"/>
          <w:bottom w:val="nil"/>
          <w:right w:val="nil"/>
          <w:between w:val="nil"/>
        </w:pBdr>
        <w:spacing w:line="276" w:lineRule="auto"/>
        <w:rPr>
          <w:color w:val="000000"/>
        </w:rPr>
      </w:pPr>
      <w:r w:rsidRPr="00A3133E">
        <w:rPr>
          <w:color w:val="000000"/>
        </w:rPr>
        <w:t>keep</w:t>
      </w:r>
      <w:r w:rsidR="00BF059B" w:rsidRPr="00A3133E">
        <w:rPr>
          <w:color w:val="000000"/>
        </w:rPr>
        <w:t xml:space="preserve"> </w:t>
      </w:r>
      <w:r w:rsidRPr="00A3133E">
        <w:rPr>
          <w:color w:val="000000"/>
        </w:rPr>
        <w:t>all</w:t>
      </w:r>
      <w:r w:rsidR="00BF059B" w:rsidRPr="00A3133E">
        <w:rPr>
          <w:color w:val="000000"/>
        </w:rPr>
        <w:t xml:space="preserve"> </w:t>
      </w:r>
      <w:r w:rsidRPr="00A3133E">
        <w:rPr>
          <w:color w:val="000000"/>
        </w:rPr>
        <w:t>objects</w:t>
      </w:r>
      <w:r w:rsidR="00BF059B" w:rsidRPr="00A3133E">
        <w:rPr>
          <w:color w:val="000000"/>
        </w:rPr>
        <w:t xml:space="preserve"> </w:t>
      </w:r>
      <w:r w:rsidRPr="00A3133E">
        <w:rPr>
          <w:color w:val="000000"/>
        </w:rPr>
        <w:t>in</w:t>
      </w:r>
      <w:r w:rsidR="00BF059B" w:rsidRPr="00A3133E">
        <w:rPr>
          <w:color w:val="000000"/>
        </w:rPr>
        <w:t xml:space="preserve"> </w:t>
      </w:r>
      <w:r w:rsidRPr="00A3133E">
        <w:rPr>
          <w:color w:val="000000"/>
        </w:rPr>
        <w:t>conditions</w:t>
      </w:r>
      <w:r w:rsidR="00BF059B" w:rsidRPr="00A3133E">
        <w:rPr>
          <w:color w:val="000000"/>
        </w:rPr>
        <w:t xml:space="preserve"> </w:t>
      </w:r>
      <w:r w:rsidRPr="00A3133E">
        <w:rPr>
          <w:color w:val="000000"/>
        </w:rPr>
        <w:t>in</w:t>
      </w:r>
      <w:r w:rsidR="00BF059B" w:rsidRPr="00A3133E">
        <w:rPr>
          <w:color w:val="000000"/>
        </w:rPr>
        <w:t xml:space="preserve"> </w:t>
      </w:r>
      <w:r w:rsidRPr="00A3133E">
        <w:rPr>
          <w:color w:val="000000"/>
        </w:rPr>
        <w:t>which</w:t>
      </w:r>
      <w:r w:rsidR="00BF059B" w:rsidRPr="00A3133E">
        <w:rPr>
          <w:color w:val="000000"/>
        </w:rPr>
        <w:t xml:space="preserve"> </w:t>
      </w:r>
      <w:r w:rsidRPr="00A3133E">
        <w:rPr>
          <w:color w:val="000000"/>
        </w:rPr>
        <w:t>they</w:t>
      </w:r>
      <w:r w:rsidR="00BF059B" w:rsidRPr="00A3133E">
        <w:rPr>
          <w:color w:val="000000"/>
        </w:rPr>
        <w:t xml:space="preserve"> </w:t>
      </w:r>
      <w:r w:rsidRPr="00A3133E">
        <w:rPr>
          <w:color w:val="000000"/>
        </w:rPr>
        <w:t>do</w:t>
      </w:r>
      <w:r w:rsidR="00BF059B" w:rsidRPr="00A3133E">
        <w:rPr>
          <w:color w:val="000000"/>
        </w:rPr>
        <w:t xml:space="preserve"> </w:t>
      </w:r>
      <w:r w:rsidRPr="00A3133E">
        <w:rPr>
          <w:color w:val="000000"/>
        </w:rPr>
        <w:t>not</w:t>
      </w:r>
      <w:r w:rsidR="00BF059B" w:rsidRPr="00A3133E">
        <w:rPr>
          <w:color w:val="000000"/>
        </w:rPr>
        <w:t xml:space="preserve"> </w:t>
      </w:r>
      <w:proofErr w:type="gramStart"/>
      <w:r w:rsidRPr="00A3133E">
        <w:rPr>
          <w:color w:val="000000"/>
        </w:rPr>
        <w:t>deteriorate;</w:t>
      </w:r>
      <w:proofErr w:type="gramEnd"/>
    </w:p>
    <w:p w14:paraId="6DF2D010" w14:textId="09D10B1B" w:rsidR="00BE13A8" w:rsidRPr="00A3133E" w:rsidRDefault="00D70530" w:rsidP="000226C1">
      <w:pPr>
        <w:numPr>
          <w:ilvl w:val="0"/>
          <w:numId w:val="9"/>
        </w:numPr>
        <w:pBdr>
          <w:top w:val="nil"/>
          <w:left w:val="nil"/>
          <w:bottom w:val="nil"/>
          <w:right w:val="nil"/>
          <w:between w:val="nil"/>
        </w:pBdr>
        <w:spacing w:line="276" w:lineRule="auto"/>
        <w:rPr>
          <w:color w:val="000000"/>
        </w:rPr>
      </w:pPr>
      <w:r w:rsidRPr="00A3133E">
        <w:rPr>
          <w:color w:val="000000"/>
        </w:rPr>
        <w:t>undertake</w:t>
      </w:r>
      <w:r w:rsidR="00BF059B" w:rsidRPr="00A3133E">
        <w:rPr>
          <w:color w:val="000000"/>
        </w:rPr>
        <w:t xml:space="preserve"> </w:t>
      </w:r>
      <w:r w:rsidRPr="00A3133E">
        <w:rPr>
          <w:color w:val="000000"/>
        </w:rPr>
        <w:t>conservation</w:t>
      </w:r>
      <w:r w:rsidR="00BF059B" w:rsidRPr="00A3133E">
        <w:rPr>
          <w:color w:val="000000"/>
        </w:rPr>
        <w:t xml:space="preserve"> </w:t>
      </w:r>
      <w:r w:rsidRPr="00A3133E">
        <w:rPr>
          <w:color w:val="000000"/>
        </w:rPr>
        <w:t>so</w:t>
      </w:r>
      <w:r w:rsidR="00BF059B" w:rsidRPr="00A3133E">
        <w:rPr>
          <w:color w:val="000000"/>
        </w:rPr>
        <w:t xml:space="preserve"> </w:t>
      </w:r>
      <w:r w:rsidRPr="00A3133E">
        <w:rPr>
          <w:color w:val="000000"/>
        </w:rPr>
        <w:t>that</w:t>
      </w:r>
      <w:r w:rsidR="00BF059B" w:rsidRPr="00A3133E">
        <w:rPr>
          <w:color w:val="000000"/>
        </w:rPr>
        <w:t xml:space="preserve"> </w:t>
      </w:r>
      <w:r w:rsidRPr="00A3133E">
        <w:rPr>
          <w:color w:val="000000"/>
        </w:rPr>
        <w:t>objects</w:t>
      </w:r>
      <w:r w:rsidR="00BF059B" w:rsidRPr="00A3133E">
        <w:rPr>
          <w:color w:val="000000"/>
        </w:rPr>
        <w:t xml:space="preserve"> </w:t>
      </w:r>
      <w:r w:rsidRPr="00A3133E">
        <w:rPr>
          <w:color w:val="000000"/>
        </w:rPr>
        <w:t>may</w:t>
      </w:r>
      <w:r w:rsidR="00BF059B" w:rsidRPr="00A3133E">
        <w:rPr>
          <w:color w:val="000000"/>
        </w:rPr>
        <w:t xml:space="preserve"> </w:t>
      </w:r>
      <w:r w:rsidRPr="00A3133E">
        <w:rPr>
          <w:color w:val="000000"/>
        </w:rPr>
        <w:t>be</w:t>
      </w:r>
      <w:r w:rsidR="00BF059B" w:rsidRPr="00A3133E">
        <w:rPr>
          <w:color w:val="000000"/>
        </w:rPr>
        <w:t xml:space="preserve"> </w:t>
      </w:r>
      <w:r w:rsidRPr="00A3133E">
        <w:rPr>
          <w:color w:val="000000"/>
        </w:rPr>
        <w:t>made</w:t>
      </w:r>
      <w:r w:rsidR="00BF059B" w:rsidRPr="00A3133E">
        <w:rPr>
          <w:color w:val="000000"/>
        </w:rPr>
        <w:t xml:space="preserve"> </w:t>
      </w:r>
      <w:r w:rsidRPr="00A3133E">
        <w:rPr>
          <w:color w:val="000000"/>
        </w:rPr>
        <w:t>accessible</w:t>
      </w:r>
      <w:r w:rsidR="00BF059B" w:rsidRPr="00A3133E">
        <w:rPr>
          <w:color w:val="000000"/>
        </w:rPr>
        <w:t xml:space="preserve"> </w:t>
      </w:r>
      <w:r w:rsidRPr="00A3133E">
        <w:rPr>
          <w:color w:val="000000"/>
        </w:rPr>
        <w:t>to</w:t>
      </w:r>
      <w:r w:rsidR="00BF059B" w:rsidRPr="00A3133E">
        <w:rPr>
          <w:color w:val="000000"/>
        </w:rPr>
        <w:t xml:space="preserve"> </w:t>
      </w:r>
      <w:proofErr w:type="gramStart"/>
      <w:r w:rsidRPr="00A3133E">
        <w:rPr>
          <w:color w:val="000000"/>
        </w:rPr>
        <w:t>audiences;</w:t>
      </w:r>
      <w:proofErr w:type="gramEnd"/>
    </w:p>
    <w:p w14:paraId="1724FAAA" w14:textId="044C60B1" w:rsidR="00BE13A8" w:rsidRPr="00A3133E" w:rsidRDefault="00D70530" w:rsidP="000226C1">
      <w:pPr>
        <w:numPr>
          <w:ilvl w:val="0"/>
          <w:numId w:val="9"/>
        </w:numPr>
        <w:pBdr>
          <w:top w:val="nil"/>
          <w:left w:val="nil"/>
          <w:bottom w:val="nil"/>
          <w:right w:val="nil"/>
          <w:between w:val="nil"/>
        </w:pBdr>
        <w:spacing w:line="276" w:lineRule="auto"/>
        <w:rPr>
          <w:color w:val="000000"/>
        </w:rPr>
      </w:pPr>
      <w:r w:rsidRPr="00A3133E">
        <w:rPr>
          <w:color w:val="000000"/>
        </w:rPr>
        <w:t>manage</w:t>
      </w:r>
      <w:r w:rsidR="00BF059B" w:rsidRPr="00A3133E">
        <w:rPr>
          <w:color w:val="000000"/>
        </w:rPr>
        <w:t xml:space="preserve"> </w:t>
      </w:r>
      <w:r w:rsidRPr="00A3133E">
        <w:rPr>
          <w:color w:val="000000"/>
        </w:rPr>
        <w:t>hazards</w:t>
      </w:r>
      <w:r w:rsidR="00BF059B" w:rsidRPr="00A3133E">
        <w:rPr>
          <w:color w:val="000000"/>
        </w:rPr>
        <w:t xml:space="preserve"> </w:t>
      </w:r>
      <w:r w:rsidRPr="00A3133E">
        <w:rPr>
          <w:color w:val="000000"/>
        </w:rPr>
        <w:t>in</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collection</w:t>
      </w:r>
      <w:r w:rsidR="00BF059B" w:rsidRPr="00A3133E">
        <w:rPr>
          <w:color w:val="000000"/>
        </w:rPr>
        <w:t xml:space="preserve"> </w:t>
      </w:r>
      <w:r w:rsidRPr="00A3133E">
        <w:rPr>
          <w:color w:val="000000"/>
        </w:rPr>
        <w:t>with</w:t>
      </w:r>
      <w:r w:rsidR="00BF059B" w:rsidRPr="00A3133E">
        <w:rPr>
          <w:color w:val="000000"/>
        </w:rPr>
        <w:t xml:space="preserve"> </w:t>
      </w:r>
      <w:r w:rsidRPr="00A3133E">
        <w:rPr>
          <w:color w:val="000000"/>
        </w:rPr>
        <w:t>clear</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effective</w:t>
      </w:r>
      <w:r w:rsidR="00BF059B" w:rsidRPr="00A3133E">
        <w:rPr>
          <w:color w:val="000000"/>
        </w:rPr>
        <w:t xml:space="preserve"> </w:t>
      </w:r>
      <w:r w:rsidRPr="00A3133E">
        <w:rPr>
          <w:color w:val="000000"/>
        </w:rPr>
        <w:t>systems</w:t>
      </w:r>
      <w:r w:rsidR="00BF059B" w:rsidRPr="00A3133E">
        <w:rPr>
          <w:color w:val="000000"/>
        </w:rPr>
        <w:t xml:space="preserve"> </w:t>
      </w:r>
      <w:r w:rsidRPr="00A3133E">
        <w:rPr>
          <w:color w:val="000000"/>
        </w:rPr>
        <w:t>to</w:t>
      </w:r>
      <w:r w:rsidR="00BF059B" w:rsidRPr="00A3133E">
        <w:rPr>
          <w:color w:val="000000"/>
        </w:rPr>
        <w:t xml:space="preserve"> </w:t>
      </w:r>
      <w:r w:rsidRPr="00A3133E">
        <w:rPr>
          <w:color w:val="000000"/>
        </w:rPr>
        <w:t>ensure</w:t>
      </w:r>
      <w:r w:rsidR="00BF059B" w:rsidRPr="00A3133E">
        <w:rPr>
          <w:color w:val="000000"/>
        </w:rPr>
        <w:t xml:space="preserve"> </w:t>
      </w:r>
      <w:r w:rsidRPr="00A3133E">
        <w:rPr>
          <w:color w:val="000000"/>
        </w:rPr>
        <w:t>public,</w:t>
      </w:r>
      <w:r w:rsidR="00BF059B" w:rsidRPr="00A3133E">
        <w:rPr>
          <w:color w:val="000000"/>
        </w:rPr>
        <w:t xml:space="preserve"> </w:t>
      </w:r>
      <w:r w:rsidRPr="00A3133E">
        <w:rPr>
          <w:color w:val="000000"/>
        </w:rPr>
        <w:t>staff</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object</w:t>
      </w:r>
      <w:r w:rsidR="00BF059B" w:rsidRPr="00A3133E">
        <w:rPr>
          <w:color w:val="000000"/>
        </w:rPr>
        <w:t xml:space="preserve"> </w:t>
      </w:r>
      <w:r w:rsidRPr="00A3133E">
        <w:rPr>
          <w:color w:val="000000"/>
        </w:rPr>
        <w:t>safety.</w:t>
      </w:r>
    </w:p>
    <w:p w14:paraId="00B10130" w14:textId="77777777" w:rsidR="00BE13A8" w:rsidRPr="00A3133E" w:rsidRDefault="00BE13A8" w:rsidP="000226C1">
      <w:pPr>
        <w:pBdr>
          <w:top w:val="nil"/>
          <w:left w:val="nil"/>
          <w:bottom w:val="nil"/>
          <w:right w:val="nil"/>
          <w:between w:val="nil"/>
        </w:pBdr>
        <w:rPr>
          <w:i/>
          <w:color w:val="000000"/>
        </w:rPr>
      </w:pPr>
    </w:p>
    <w:p w14:paraId="21872F1C" w14:textId="77777777" w:rsidR="00BE13A8" w:rsidRPr="000226C1" w:rsidRDefault="00D70530" w:rsidP="000226C1">
      <w:pPr>
        <w:pStyle w:val="Heading6"/>
      </w:pPr>
      <w:r w:rsidRPr="000226C1">
        <w:t>Documentation</w:t>
      </w:r>
    </w:p>
    <w:p w14:paraId="5A270024" w14:textId="4AAEE27C" w:rsidR="00BE13A8" w:rsidRPr="00A3133E" w:rsidRDefault="00D70530" w:rsidP="000226C1">
      <w:pPr>
        <w:spacing w:line="276" w:lineRule="auto"/>
        <w:ind w:right="-242"/>
      </w:pPr>
      <w:r w:rsidRPr="00A3133E">
        <w:t>Objects</w:t>
      </w:r>
      <w:r w:rsidR="00BF059B" w:rsidRPr="00A3133E">
        <w:t xml:space="preserve"> </w:t>
      </w:r>
      <w:r w:rsidRPr="00A3133E">
        <w:t>in</w:t>
      </w:r>
      <w:r w:rsidR="00BF059B" w:rsidRPr="00A3133E">
        <w:t xml:space="preserve"> </w:t>
      </w:r>
      <w:r w:rsidRPr="00A3133E">
        <w:t>the</w:t>
      </w:r>
      <w:r w:rsidR="00BF059B" w:rsidRPr="00A3133E">
        <w:t xml:space="preserve"> </w:t>
      </w:r>
      <w:r w:rsidRPr="00A3133E">
        <w:t>collection</w:t>
      </w:r>
      <w:r w:rsidR="00BF059B" w:rsidRPr="00A3133E">
        <w:t xml:space="preserve"> </w:t>
      </w:r>
      <w:r w:rsidRPr="00A3133E">
        <w:t>are</w:t>
      </w:r>
      <w:r w:rsidR="00BF059B" w:rsidRPr="00A3133E">
        <w:t xml:space="preserve"> </w:t>
      </w:r>
      <w:r w:rsidRPr="00A3133E">
        <w:t>documented</w:t>
      </w:r>
      <w:r w:rsidR="00BF059B" w:rsidRPr="00A3133E">
        <w:t xml:space="preserve"> </w:t>
      </w:r>
      <w:r w:rsidRPr="00A3133E">
        <w:t>in</w:t>
      </w:r>
      <w:r w:rsidR="00BF059B" w:rsidRPr="00A3133E">
        <w:t xml:space="preserve"> </w:t>
      </w:r>
      <w:r w:rsidRPr="00A3133E">
        <w:t>accordance</w:t>
      </w:r>
      <w:r w:rsidR="00BF059B" w:rsidRPr="00A3133E">
        <w:t xml:space="preserve"> </w:t>
      </w:r>
      <w:r w:rsidRPr="00A3133E">
        <w:t>with</w:t>
      </w:r>
      <w:r w:rsidR="00BF059B" w:rsidRPr="00A3133E">
        <w:t xml:space="preserve"> </w:t>
      </w:r>
      <w:r w:rsidRPr="00A3133E">
        <w:t>Arts</w:t>
      </w:r>
      <w:r w:rsidR="00BF059B" w:rsidRPr="00A3133E">
        <w:t xml:space="preserve"> </w:t>
      </w:r>
      <w:r w:rsidRPr="00A3133E">
        <w:t>Council</w:t>
      </w:r>
      <w:r w:rsidR="00BF059B" w:rsidRPr="00A3133E">
        <w:t xml:space="preserve"> </w:t>
      </w:r>
      <w:r w:rsidRPr="00A3133E">
        <w:t>England</w:t>
      </w:r>
      <w:r w:rsidR="00BF059B" w:rsidRPr="00A3133E">
        <w:t xml:space="preserve"> </w:t>
      </w:r>
      <w:r w:rsidRPr="00A3133E">
        <w:t>requirements</w:t>
      </w:r>
      <w:r w:rsidR="00BF059B" w:rsidRPr="00A3133E">
        <w:t xml:space="preserve"> </w:t>
      </w:r>
      <w:r w:rsidRPr="00A3133E">
        <w:t>and</w:t>
      </w:r>
      <w:r w:rsidR="00BF059B" w:rsidRPr="00A3133E">
        <w:t xml:space="preserve"> </w:t>
      </w:r>
      <w:r w:rsidRPr="00A3133E">
        <w:t>SPECTRUM.</w:t>
      </w:r>
      <w:r w:rsidR="00BF059B" w:rsidRPr="00A3133E">
        <w:t xml:space="preserve"> </w:t>
      </w:r>
    </w:p>
    <w:p w14:paraId="253D488C" w14:textId="77777777" w:rsidR="00BE13A8" w:rsidRPr="00A3133E" w:rsidRDefault="00BE13A8" w:rsidP="000226C1">
      <w:pPr>
        <w:pBdr>
          <w:top w:val="nil"/>
          <w:left w:val="nil"/>
          <w:bottom w:val="nil"/>
          <w:right w:val="nil"/>
          <w:between w:val="nil"/>
        </w:pBdr>
        <w:rPr>
          <w:color w:val="000000"/>
        </w:rPr>
      </w:pPr>
    </w:p>
    <w:p w14:paraId="3B14EE63" w14:textId="2C5F9ACD" w:rsidR="00BE13A8" w:rsidRPr="00A3133E" w:rsidRDefault="00D70530" w:rsidP="000226C1">
      <w:pPr>
        <w:pBdr>
          <w:top w:val="nil"/>
          <w:left w:val="nil"/>
          <w:bottom w:val="nil"/>
          <w:right w:val="nil"/>
          <w:between w:val="nil"/>
        </w:pBdr>
        <w:rPr>
          <w:color w:val="000000"/>
        </w:rPr>
      </w:pPr>
      <w:r w:rsidRPr="00A3133E">
        <w:rPr>
          <w:color w:val="000000"/>
        </w:rPr>
        <w:t>The</w:t>
      </w:r>
      <w:r w:rsidR="00BF059B" w:rsidRPr="00A3133E">
        <w:rPr>
          <w:color w:val="000000"/>
        </w:rPr>
        <w:t xml:space="preserve"> </w:t>
      </w:r>
      <w:r w:rsidRPr="00A3133E">
        <w:rPr>
          <w:color w:val="000000"/>
        </w:rPr>
        <w:t>Horniman</w:t>
      </w:r>
      <w:r w:rsidR="00BF059B" w:rsidRPr="00A3133E">
        <w:rPr>
          <w:color w:val="000000"/>
        </w:rPr>
        <w:t xml:space="preserve"> </w:t>
      </w:r>
      <w:r w:rsidRPr="00A3133E">
        <w:rPr>
          <w:color w:val="000000"/>
        </w:rPr>
        <w:t>will:</w:t>
      </w:r>
    </w:p>
    <w:p w14:paraId="2D0A2967" w14:textId="1ECB8B23" w:rsidR="00BE13A8" w:rsidRPr="00A3133E" w:rsidRDefault="00D70530" w:rsidP="000226C1">
      <w:pPr>
        <w:numPr>
          <w:ilvl w:val="0"/>
          <w:numId w:val="10"/>
        </w:numPr>
        <w:pBdr>
          <w:top w:val="nil"/>
          <w:left w:val="nil"/>
          <w:bottom w:val="nil"/>
          <w:right w:val="nil"/>
          <w:between w:val="nil"/>
        </w:pBdr>
        <w:spacing w:line="276" w:lineRule="auto"/>
        <w:rPr>
          <w:color w:val="000000"/>
        </w:rPr>
      </w:pPr>
      <w:r w:rsidRPr="00A3133E">
        <w:rPr>
          <w:color w:val="000000"/>
        </w:rPr>
        <w:t>have</w:t>
      </w:r>
      <w:r w:rsidR="00BF059B" w:rsidRPr="00A3133E">
        <w:rPr>
          <w:color w:val="000000"/>
        </w:rPr>
        <w:t xml:space="preserve"> </w:t>
      </w:r>
      <w:r w:rsidRPr="00A3133E">
        <w:rPr>
          <w:color w:val="000000"/>
        </w:rPr>
        <w:t>secure</w:t>
      </w:r>
      <w:r w:rsidR="00BF059B" w:rsidRPr="00A3133E">
        <w:rPr>
          <w:color w:val="000000"/>
        </w:rPr>
        <w:t xml:space="preserve"> </w:t>
      </w:r>
      <w:r w:rsidRPr="00A3133E">
        <w:rPr>
          <w:color w:val="000000"/>
        </w:rPr>
        <w:t>title</w:t>
      </w:r>
      <w:r w:rsidR="00BF059B" w:rsidRPr="00A3133E">
        <w:rPr>
          <w:color w:val="000000"/>
        </w:rPr>
        <w:t xml:space="preserve"> </w:t>
      </w:r>
      <w:r w:rsidRPr="00A3133E">
        <w:rPr>
          <w:color w:val="000000"/>
        </w:rPr>
        <w:t>to</w:t>
      </w:r>
      <w:r w:rsidR="00BF059B" w:rsidRPr="00A3133E">
        <w:rPr>
          <w:color w:val="000000"/>
        </w:rPr>
        <w:t xml:space="preserve"> </w:t>
      </w:r>
      <w:r w:rsidRPr="00A3133E">
        <w:rPr>
          <w:color w:val="000000"/>
        </w:rPr>
        <w:t>all</w:t>
      </w:r>
      <w:r w:rsidR="00BF059B" w:rsidRPr="00A3133E">
        <w:rPr>
          <w:color w:val="000000"/>
        </w:rPr>
        <w:t xml:space="preserve"> </w:t>
      </w:r>
      <w:r w:rsidRPr="00A3133E">
        <w:rPr>
          <w:color w:val="000000"/>
        </w:rPr>
        <w:t>objects</w:t>
      </w:r>
      <w:r w:rsidR="00BF059B" w:rsidRPr="00A3133E">
        <w:rPr>
          <w:color w:val="000000"/>
        </w:rPr>
        <w:t xml:space="preserve"> </w:t>
      </w:r>
      <w:r w:rsidRPr="00A3133E">
        <w:rPr>
          <w:color w:val="000000"/>
        </w:rPr>
        <w:t>in</w:t>
      </w:r>
      <w:r w:rsidR="00BF059B" w:rsidRPr="00A3133E">
        <w:rPr>
          <w:color w:val="000000"/>
        </w:rPr>
        <w:t xml:space="preserve"> </w:t>
      </w:r>
      <w:r w:rsidRPr="00A3133E">
        <w:rPr>
          <w:color w:val="000000"/>
        </w:rPr>
        <w:t>the</w:t>
      </w:r>
      <w:r w:rsidR="00BF059B" w:rsidRPr="00A3133E">
        <w:rPr>
          <w:color w:val="000000"/>
        </w:rPr>
        <w:t xml:space="preserve"> </w:t>
      </w:r>
      <w:proofErr w:type="gramStart"/>
      <w:r w:rsidRPr="00A3133E">
        <w:rPr>
          <w:color w:val="000000"/>
        </w:rPr>
        <w:t>collection;</w:t>
      </w:r>
      <w:proofErr w:type="gramEnd"/>
    </w:p>
    <w:p w14:paraId="79E31B4C" w14:textId="17E8E2D9" w:rsidR="00BE13A8" w:rsidRPr="00A3133E" w:rsidRDefault="00D70530" w:rsidP="000226C1">
      <w:pPr>
        <w:numPr>
          <w:ilvl w:val="0"/>
          <w:numId w:val="10"/>
        </w:numPr>
        <w:pBdr>
          <w:top w:val="nil"/>
          <w:left w:val="nil"/>
          <w:bottom w:val="nil"/>
          <w:right w:val="nil"/>
          <w:between w:val="nil"/>
        </w:pBdr>
        <w:spacing w:line="276" w:lineRule="auto"/>
        <w:rPr>
          <w:color w:val="000000"/>
        </w:rPr>
      </w:pPr>
      <w:r w:rsidRPr="00A3133E">
        <w:rPr>
          <w:color w:val="000000"/>
        </w:rPr>
        <w:t>hold</w:t>
      </w:r>
      <w:r w:rsidR="00BF059B" w:rsidRPr="00A3133E">
        <w:rPr>
          <w:color w:val="000000"/>
        </w:rPr>
        <w:t xml:space="preserve"> </w:t>
      </w:r>
      <w:r w:rsidRPr="00A3133E">
        <w:rPr>
          <w:color w:val="000000"/>
        </w:rPr>
        <w:t>basic</w:t>
      </w:r>
      <w:r w:rsidR="00BF059B" w:rsidRPr="00A3133E">
        <w:rPr>
          <w:color w:val="000000"/>
        </w:rPr>
        <w:t xml:space="preserve"> </w:t>
      </w:r>
      <w:r w:rsidRPr="00A3133E">
        <w:rPr>
          <w:color w:val="000000"/>
        </w:rPr>
        <w:t>data</w:t>
      </w:r>
      <w:r w:rsidR="00BF059B" w:rsidRPr="00A3133E">
        <w:rPr>
          <w:color w:val="000000"/>
        </w:rPr>
        <w:t xml:space="preserve"> </w:t>
      </w:r>
      <w:r w:rsidRPr="00A3133E">
        <w:rPr>
          <w:color w:val="000000"/>
        </w:rPr>
        <w:t>on</w:t>
      </w:r>
      <w:r w:rsidR="00BF059B" w:rsidRPr="00A3133E">
        <w:rPr>
          <w:color w:val="000000"/>
        </w:rPr>
        <w:t xml:space="preserve"> </w:t>
      </w:r>
      <w:r w:rsidRPr="00A3133E">
        <w:rPr>
          <w:color w:val="000000"/>
        </w:rPr>
        <w:t>every</w:t>
      </w:r>
      <w:r w:rsidR="00BF059B" w:rsidRPr="00A3133E">
        <w:rPr>
          <w:color w:val="000000"/>
        </w:rPr>
        <w:t xml:space="preserve"> </w:t>
      </w:r>
      <w:r w:rsidRPr="00A3133E">
        <w:rPr>
          <w:color w:val="000000"/>
        </w:rPr>
        <w:t>object</w:t>
      </w:r>
      <w:r w:rsidR="00BF059B" w:rsidRPr="00A3133E">
        <w:rPr>
          <w:color w:val="000000"/>
        </w:rPr>
        <w:t xml:space="preserve"> </w:t>
      </w:r>
      <w:r w:rsidRPr="00A3133E">
        <w:rPr>
          <w:color w:val="000000"/>
        </w:rPr>
        <w:t>so</w:t>
      </w:r>
      <w:r w:rsidR="00BF059B" w:rsidRPr="00A3133E">
        <w:rPr>
          <w:color w:val="000000"/>
        </w:rPr>
        <w:t xml:space="preserve"> </w:t>
      </w:r>
      <w:r w:rsidRPr="00A3133E">
        <w:rPr>
          <w:color w:val="000000"/>
        </w:rPr>
        <w:t>that</w:t>
      </w:r>
      <w:r w:rsidR="00BF059B" w:rsidRPr="00A3133E">
        <w:rPr>
          <w:color w:val="000000"/>
        </w:rPr>
        <w:t xml:space="preserve"> </w:t>
      </w:r>
      <w:r w:rsidRPr="00A3133E">
        <w:rPr>
          <w:color w:val="000000"/>
        </w:rPr>
        <w:t>it</w:t>
      </w:r>
      <w:r w:rsidR="00BF059B" w:rsidRPr="00A3133E">
        <w:rPr>
          <w:color w:val="000000"/>
        </w:rPr>
        <w:t xml:space="preserve"> </w:t>
      </w:r>
      <w:r w:rsidRPr="00A3133E">
        <w:rPr>
          <w:color w:val="000000"/>
        </w:rPr>
        <w:t>can</w:t>
      </w:r>
      <w:r w:rsidR="00BF059B" w:rsidRPr="00A3133E">
        <w:rPr>
          <w:color w:val="000000"/>
        </w:rPr>
        <w:t xml:space="preserve"> </w:t>
      </w:r>
      <w:r w:rsidRPr="00A3133E">
        <w:rPr>
          <w:color w:val="000000"/>
        </w:rPr>
        <w:t>be</w:t>
      </w:r>
      <w:r w:rsidR="00BF059B" w:rsidRPr="00A3133E">
        <w:rPr>
          <w:color w:val="000000"/>
        </w:rPr>
        <w:t xml:space="preserve"> </w:t>
      </w:r>
      <w:r w:rsidRPr="00A3133E">
        <w:rPr>
          <w:color w:val="000000"/>
        </w:rPr>
        <w:t>uniquely</w:t>
      </w:r>
      <w:r w:rsidR="00BF059B" w:rsidRPr="00A3133E">
        <w:rPr>
          <w:color w:val="000000"/>
        </w:rPr>
        <w:t xml:space="preserve"> </w:t>
      </w:r>
      <w:r w:rsidRPr="00A3133E">
        <w:rPr>
          <w:color w:val="000000"/>
        </w:rPr>
        <w:t>identified</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collection</w:t>
      </w:r>
      <w:r w:rsidR="00BF059B" w:rsidRPr="00A3133E">
        <w:rPr>
          <w:color w:val="000000"/>
        </w:rPr>
        <w:t xml:space="preserve"> </w:t>
      </w:r>
      <w:r w:rsidRPr="00A3133E">
        <w:rPr>
          <w:color w:val="000000"/>
        </w:rPr>
        <w:t>audited</w:t>
      </w:r>
      <w:r w:rsidR="00BF059B" w:rsidRPr="00A3133E">
        <w:rPr>
          <w:color w:val="000000"/>
        </w:rPr>
        <w:t xml:space="preserve"> </w:t>
      </w:r>
      <w:proofErr w:type="gramStart"/>
      <w:r w:rsidRPr="00A3133E">
        <w:rPr>
          <w:color w:val="000000"/>
        </w:rPr>
        <w:t>regularly;</w:t>
      </w:r>
      <w:proofErr w:type="gramEnd"/>
    </w:p>
    <w:p w14:paraId="189B2C5F" w14:textId="04F1F5EE" w:rsidR="00BE13A8" w:rsidRPr="00A3133E" w:rsidRDefault="00D70530" w:rsidP="000226C1">
      <w:pPr>
        <w:numPr>
          <w:ilvl w:val="0"/>
          <w:numId w:val="10"/>
        </w:numPr>
        <w:pBdr>
          <w:top w:val="nil"/>
          <w:left w:val="nil"/>
          <w:bottom w:val="nil"/>
          <w:right w:val="nil"/>
          <w:between w:val="nil"/>
        </w:pBdr>
        <w:spacing w:line="276" w:lineRule="auto"/>
        <w:rPr>
          <w:color w:val="000000"/>
        </w:rPr>
      </w:pPr>
      <w:r w:rsidRPr="00A3133E">
        <w:rPr>
          <w:color w:val="000000"/>
        </w:rPr>
        <w:t>ensure</w:t>
      </w:r>
      <w:r w:rsidR="00BF059B" w:rsidRPr="00A3133E">
        <w:rPr>
          <w:color w:val="000000"/>
        </w:rPr>
        <w:t xml:space="preserve"> </w:t>
      </w:r>
      <w:r w:rsidRPr="00A3133E">
        <w:rPr>
          <w:color w:val="000000"/>
        </w:rPr>
        <w:t>records</w:t>
      </w:r>
      <w:r w:rsidR="00BF059B" w:rsidRPr="00A3133E">
        <w:rPr>
          <w:color w:val="000000"/>
        </w:rPr>
        <w:t xml:space="preserve"> </w:t>
      </w:r>
      <w:r w:rsidRPr="00A3133E">
        <w:rPr>
          <w:color w:val="000000"/>
        </w:rPr>
        <w:t>relating</w:t>
      </w:r>
      <w:r w:rsidR="00BF059B" w:rsidRPr="00A3133E">
        <w:rPr>
          <w:color w:val="000000"/>
        </w:rPr>
        <w:t xml:space="preserve"> </w:t>
      </w:r>
      <w:r w:rsidRPr="00A3133E">
        <w:rPr>
          <w:color w:val="000000"/>
        </w:rPr>
        <w:t>to</w:t>
      </w:r>
      <w:r w:rsidR="00BF059B" w:rsidRPr="00A3133E">
        <w:rPr>
          <w:color w:val="000000"/>
        </w:rPr>
        <w:t xml:space="preserve"> </w:t>
      </w:r>
      <w:r w:rsidRPr="00A3133E">
        <w:rPr>
          <w:color w:val="000000"/>
        </w:rPr>
        <w:t>objects</w:t>
      </w:r>
      <w:r w:rsidR="00BF059B" w:rsidRPr="00A3133E">
        <w:rPr>
          <w:color w:val="000000"/>
        </w:rPr>
        <w:t xml:space="preserve"> </w:t>
      </w:r>
      <w:r w:rsidRPr="00A3133E">
        <w:rPr>
          <w:color w:val="000000"/>
        </w:rPr>
        <w:t>in</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collection</w:t>
      </w:r>
      <w:r w:rsidR="00BF059B" w:rsidRPr="00A3133E">
        <w:rPr>
          <w:color w:val="000000"/>
        </w:rPr>
        <w:t xml:space="preserve"> </w:t>
      </w:r>
      <w:r w:rsidRPr="00A3133E">
        <w:rPr>
          <w:color w:val="000000"/>
        </w:rPr>
        <w:t>are</w:t>
      </w:r>
      <w:r w:rsidR="00BF059B" w:rsidRPr="00A3133E">
        <w:rPr>
          <w:color w:val="000000"/>
        </w:rPr>
        <w:t xml:space="preserve"> </w:t>
      </w:r>
      <w:r w:rsidRPr="00A3133E">
        <w:rPr>
          <w:color w:val="000000"/>
        </w:rPr>
        <w:t>enhanced</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made</w:t>
      </w:r>
      <w:r w:rsidR="00BF059B" w:rsidRPr="00A3133E">
        <w:rPr>
          <w:color w:val="000000"/>
        </w:rPr>
        <w:t xml:space="preserve"> </w:t>
      </w:r>
      <w:r w:rsidRPr="00A3133E">
        <w:rPr>
          <w:color w:val="000000"/>
        </w:rPr>
        <w:t>available</w:t>
      </w:r>
      <w:r w:rsidR="00BF059B" w:rsidRPr="00A3133E">
        <w:rPr>
          <w:color w:val="000000"/>
        </w:rPr>
        <w:t xml:space="preserve"> </w:t>
      </w:r>
      <w:r w:rsidRPr="00A3133E">
        <w:rPr>
          <w:color w:val="000000"/>
        </w:rPr>
        <w:t>to</w:t>
      </w:r>
      <w:r w:rsidR="00BF059B" w:rsidRPr="00A3133E">
        <w:rPr>
          <w:color w:val="000000"/>
        </w:rPr>
        <w:t xml:space="preserve"> </w:t>
      </w:r>
      <w:r w:rsidRPr="00A3133E">
        <w:rPr>
          <w:color w:val="000000"/>
        </w:rPr>
        <w:t>audiences</w:t>
      </w:r>
      <w:r w:rsidR="00BF059B" w:rsidRPr="00A3133E">
        <w:rPr>
          <w:color w:val="000000"/>
        </w:rPr>
        <w:t xml:space="preserve"> </w:t>
      </w:r>
      <w:r w:rsidRPr="00A3133E">
        <w:rPr>
          <w:color w:val="000000"/>
        </w:rPr>
        <w:t>where</w:t>
      </w:r>
      <w:r w:rsidR="00BF059B" w:rsidRPr="00A3133E">
        <w:rPr>
          <w:color w:val="000000"/>
        </w:rPr>
        <w:t xml:space="preserve"> </w:t>
      </w:r>
      <w:r w:rsidRPr="00A3133E">
        <w:rPr>
          <w:color w:val="000000"/>
        </w:rPr>
        <w:t>appropriate.</w:t>
      </w:r>
    </w:p>
    <w:p w14:paraId="1401F26F" w14:textId="77777777" w:rsidR="00BE13A8" w:rsidRPr="00A3133E" w:rsidRDefault="00BE13A8" w:rsidP="000226C1">
      <w:pPr>
        <w:spacing w:line="276" w:lineRule="auto"/>
        <w:rPr>
          <w:b/>
        </w:rPr>
      </w:pPr>
    </w:p>
    <w:p w14:paraId="29BE4F76" w14:textId="52421F4B" w:rsidR="00BE13A8" w:rsidRPr="00A3133E" w:rsidRDefault="00D70530" w:rsidP="000226C1">
      <w:pPr>
        <w:pStyle w:val="Heading5"/>
      </w:pPr>
      <w:r w:rsidRPr="00A3133E">
        <w:t>16.5</w:t>
      </w:r>
      <w:r w:rsidR="00BF059B" w:rsidRPr="00A3133E">
        <w:t xml:space="preserve"> </w:t>
      </w:r>
      <w:r w:rsidRPr="00A3133E">
        <w:t>An</w:t>
      </w:r>
      <w:r w:rsidR="00BF059B" w:rsidRPr="00A3133E">
        <w:t xml:space="preserve"> </w:t>
      </w:r>
      <w:r w:rsidRPr="00A3133E">
        <w:t>overview</w:t>
      </w:r>
      <w:r w:rsidR="00BF059B" w:rsidRPr="00A3133E">
        <w:t xml:space="preserve"> </w:t>
      </w:r>
      <w:r w:rsidRPr="00A3133E">
        <w:t>of</w:t>
      </w:r>
      <w:r w:rsidR="00BF059B" w:rsidRPr="00A3133E">
        <w:t xml:space="preserve"> </w:t>
      </w:r>
      <w:r w:rsidRPr="00A3133E">
        <w:t>the</w:t>
      </w:r>
      <w:r w:rsidR="00BF059B" w:rsidRPr="00A3133E">
        <w:t xml:space="preserve"> </w:t>
      </w:r>
      <w:r w:rsidRPr="00A3133E">
        <w:t>Collections</w:t>
      </w:r>
    </w:p>
    <w:p w14:paraId="04FB321F" w14:textId="180A7659" w:rsidR="00BE13A8" w:rsidRPr="00A3133E" w:rsidRDefault="00D70530" w:rsidP="000226C1">
      <w:pPr>
        <w:spacing w:line="276" w:lineRule="auto"/>
      </w:pPr>
      <w:r w:rsidRPr="00A3133E">
        <w:t>The</w:t>
      </w:r>
      <w:r w:rsidR="00BF059B" w:rsidRPr="00A3133E">
        <w:t xml:space="preserve"> </w:t>
      </w:r>
      <w:r w:rsidRPr="00A3133E">
        <w:t>definition</w:t>
      </w:r>
      <w:r w:rsidR="00BF059B" w:rsidRPr="00A3133E">
        <w:t xml:space="preserve"> </w:t>
      </w:r>
      <w:r w:rsidRPr="00A3133E">
        <w:t>of</w:t>
      </w:r>
      <w:r w:rsidR="00BF059B" w:rsidRPr="00A3133E">
        <w:t xml:space="preserve"> </w:t>
      </w:r>
      <w:r w:rsidRPr="00A3133E">
        <w:t>numbers</w:t>
      </w:r>
      <w:r w:rsidR="00BF059B" w:rsidRPr="00A3133E">
        <w:t xml:space="preserve"> </w:t>
      </w:r>
      <w:r w:rsidRPr="00A3133E">
        <w:t>in</w:t>
      </w:r>
      <w:r w:rsidR="00BF059B" w:rsidRPr="00A3133E">
        <w:t xml:space="preserve"> </w:t>
      </w:r>
      <w:r w:rsidRPr="00A3133E">
        <w:t>a</w:t>
      </w:r>
      <w:r w:rsidR="00BF059B" w:rsidRPr="00A3133E">
        <w:t xml:space="preserve"> </w:t>
      </w:r>
      <w:r w:rsidRPr="00A3133E">
        <w:t>collection</w:t>
      </w:r>
      <w:r w:rsidR="00BF059B" w:rsidRPr="00A3133E">
        <w:t xml:space="preserve"> </w:t>
      </w:r>
      <w:r w:rsidRPr="00A3133E">
        <w:t>is</w:t>
      </w:r>
      <w:r w:rsidR="00BF059B" w:rsidRPr="00A3133E">
        <w:t xml:space="preserve"> </w:t>
      </w:r>
      <w:r w:rsidRPr="00A3133E">
        <w:t>fairly</w:t>
      </w:r>
      <w:r w:rsidR="00BF059B" w:rsidRPr="00A3133E">
        <w:t xml:space="preserve"> </w:t>
      </w:r>
      <w:r w:rsidRPr="00A3133E">
        <w:t>arbitrary</w:t>
      </w:r>
      <w:r w:rsidR="00BF059B" w:rsidRPr="00A3133E">
        <w:t xml:space="preserve"> </w:t>
      </w:r>
      <w:r w:rsidRPr="00A3133E">
        <w:t>as</w:t>
      </w:r>
      <w:r w:rsidR="00BF059B" w:rsidRPr="00A3133E">
        <w:t xml:space="preserve"> </w:t>
      </w:r>
      <w:r w:rsidRPr="00A3133E">
        <w:t>single</w:t>
      </w:r>
      <w:r w:rsidR="00BF059B" w:rsidRPr="00A3133E">
        <w:t xml:space="preserve"> </w:t>
      </w:r>
      <w:r w:rsidRPr="00A3133E">
        <w:t>items</w:t>
      </w:r>
      <w:r w:rsidR="00BF059B" w:rsidRPr="00A3133E">
        <w:t xml:space="preserve"> </w:t>
      </w:r>
      <w:r w:rsidRPr="00A3133E">
        <w:t>accessioned</w:t>
      </w:r>
      <w:r w:rsidR="00BF059B" w:rsidRPr="00A3133E">
        <w:t xml:space="preserve"> </w:t>
      </w:r>
      <w:r w:rsidRPr="00A3133E">
        <w:t>may</w:t>
      </w:r>
      <w:r w:rsidR="00BF059B" w:rsidRPr="00A3133E">
        <w:t xml:space="preserve"> </w:t>
      </w:r>
      <w:r w:rsidRPr="00A3133E">
        <w:t>comprise</w:t>
      </w:r>
      <w:r w:rsidR="00BF059B" w:rsidRPr="00A3133E">
        <w:t xml:space="preserve"> </w:t>
      </w:r>
      <w:r w:rsidRPr="00A3133E">
        <w:t>a</w:t>
      </w:r>
      <w:r w:rsidR="00BF059B" w:rsidRPr="00A3133E">
        <w:t xml:space="preserve"> </w:t>
      </w:r>
      <w:r w:rsidRPr="00A3133E">
        <w:t>wide</w:t>
      </w:r>
      <w:r w:rsidR="00BF059B" w:rsidRPr="00A3133E">
        <w:t xml:space="preserve"> </w:t>
      </w:r>
      <w:r w:rsidRPr="00A3133E">
        <w:t>range</w:t>
      </w:r>
      <w:r w:rsidR="00BF059B" w:rsidRPr="00A3133E">
        <w:t xml:space="preserve"> </w:t>
      </w:r>
      <w:r w:rsidRPr="00A3133E">
        <w:t>of</w:t>
      </w:r>
      <w:r w:rsidR="00BF059B" w:rsidRPr="00A3133E">
        <w:t xml:space="preserve"> </w:t>
      </w:r>
      <w:r w:rsidRPr="00A3133E">
        <w:t>artefacts,</w:t>
      </w:r>
      <w:r w:rsidR="00BF059B" w:rsidRPr="00A3133E">
        <w:t xml:space="preserve"> </w:t>
      </w:r>
      <w:r w:rsidRPr="00A3133E">
        <w:t>components</w:t>
      </w:r>
      <w:r w:rsidR="00BF059B" w:rsidRPr="00A3133E">
        <w:t xml:space="preserve"> </w:t>
      </w:r>
      <w:r w:rsidRPr="00A3133E">
        <w:t>or</w:t>
      </w:r>
      <w:r w:rsidR="00BF059B" w:rsidRPr="00A3133E">
        <w:t xml:space="preserve"> </w:t>
      </w:r>
      <w:r w:rsidRPr="00A3133E">
        <w:t>supporting</w:t>
      </w:r>
      <w:r w:rsidR="00BF059B" w:rsidRPr="00A3133E">
        <w:t xml:space="preserve"> </w:t>
      </w:r>
      <w:r w:rsidRPr="00A3133E">
        <w:t>papers.</w:t>
      </w:r>
      <w:r w:rsidR="00BF059B" w:rsidRPr="00A3133E">
        <w:t xml:space="preserve"> </w:t>
      </w:r>
      <w:r w:rsidRPr="00A3133E">
        <w:t>However,</w:t>
      </w:r>
      <w:r w:rsidR="00BF059B" w:rsidRPr="00A3133E">
        <w:t xml:space="preserve"> </w:t>
      </w:r>
      <w:r w:rsidRPr="00A3133E">
        <w:t>this</w:t>
      </w:r>
      <w:r w:rsidR="00BF059B" w:rsidRPr="00A3133E">
        <w:t xml:space="preserve"> </w:t>
      </w:r>
      <w:r w:rsidRPr="00A3133E">
        <w:t>list</w:t>
      </w:r>
      <w:r w:rsidR="00BF059B" w:rsidRPr="00A3133E">
        <w:t xml:space="preserve"> </w:t>
      </w:r>
      <w:r w:rsidRPr="00A3133E">
        <w:t>reflects</w:t>
      </w:r>
      <w:r w:rsidR="00BF059B" w:rsidRPr="00A3133E">
        <w:t xml:space="preserve"> </w:t>
      </w:r>
      <w:r w:rsidRPr="00A3133E">
        <w:t>how</w:t>
      </w:r>
      <w:r w:rsidR="00BF059B" w:rsidRPr="00A3133E">
        <w:t xml:space="preserve"> </w:t>
      </w:r>
      <w:r w:rsidRPr="00A3133E">
        <w:t>they</w:t>
      </w:r>
      <w:r w:rsidR="00BF059B" w:rsidRPr="00A3133E">
        <w:t xml:space="preserve"> </w:t>
      </w:r>
      <w:r w:rsidRPr="00A3133E">
        <w:t>are</w:t>
      </w:r>
      <w:r w:rsidR="00BF059B" w:rsidRPr="00A3133E">
        <w:t xml:space="preserve"> </w:t>
      </w:r>
      <w:r w:rsidRPr="00A3133E">
        <w:t>accessioned</w:t>
      </w:r>
      <w:r w:rsidR="00BF059B" w:rsidRPr="00A3133E">
        <w:t xml:space="preserve"> </w:t>
      </w:r>
      <w:r w:rsidRPr="00A3133E">
        <w:t>in</w:t>
      </w:r>
      <w:r w:rsidR="00BF059B" w:rsidRPr="00A3133E">
        <w:t xml:space="preserve"> </w:t>
      </w:r>
      <w:r w:rsidRPr="00A3133E">
        <w:t>museum</w:t>
      </w:r>
      <w:r w:rsidR="00BF059B" w:rsidRPr="00A3133E">
        <w:t xml:space="preserve"> </w:t>
      </w:r>
      <w:r w:rsidRPr="00A3133E">
        <w:t>records.</w:t>
      </w:r>
    </w:p>
    <w:p w14:paraId="7F87D926" w14:textId="77777777" w:rsidR="00BE13A8" w:rsidRPr="00A3133E" w:rsidRDefault="00BE13A8">
      <w:pPr>
        <w:spacing w:line="276" w:lineRule="auto"/>
        <w:rPr>
          <w:color w:val="FF0000"/>
        </w:rPr>
      </w:pPr>
    </w:p>
    <w:tbl>
      <w:tblPr>
        <w:tblStyle w:val="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An overview of collections numbers"/>
        <w:tblDescription w:val="Showing number of objects in each collections category"/>
      </w:tblPr>
      <w:tblGrid>
        <w:gridCol w:w="2689"/>
        <w:gridCol w:w="2126"/>
        <w:gridCol w:w="2268"/>
        <w:gridCol w:w="2268"/>
      </w:tblGrid>
      <w:tr w:rsidR="000226C1" w:rsidRPr="00A3133E" w14:paraId="734A7227" w14:textId="77777777" w:rsidTr="000226C1">
        <w:trPr>
          <w:trHeight w:val="751"/>
          <w:tblHeader/>
        </w:trPr>
        <w:tc>
          <w:tcPr>
            <w:tcW w:w="2689" w:type="dxa"/>
            <w:tcBorders>
              <w:right w:val="nil"/>
            </w:tcBorders>
          </w:tcPr>
          <w:p w14:paraId="19A27819" w14:textId="707B753B" w:rsidR="000226C1" w:rsidRPr="00A3133E" w:rsidRDefault="000226C1">
            <w:pPr>
              <w:spacing w:line="276" w:lineRule="auto"/>
            </w:pPr>
            <w:r w:rsidRPr="00A3133E">
              <w:rPr>
                <w:b/>
              </w:rPr>
              <w:t>Category</w:t>
            </w:r>
          </w:p>
        </w:tc>
        <w:tc>
          <w:tcPr>
            <w:tcW w:w="2126" w:type="dxa"/>
          </w:tcPr>
          <w:p w14:paraId="1E27164B" w14:textId="22896C46" w:rsidR="000226C1" w:rsidRPr="00A3133E" w:rsidRDefault="000226C1">
            <w:pPr>
              <w:spacing w:line="276" w:lineRule="auto"/>
              <w:jc w:val="center"/>
              <w:rPr>
                <w:b/>
              </w:rPr>
            </w:pPr>
            <w:r w:rsidRPr="00A3133E">
              <w:rPr>
                <w:b/>
              </w:rPr>
              <w:t>Estimated number of items as at 31/03/25</w:t>
            </w:r>
          </w:p>
        </w:tc>
        <w:tc>
          <w:tcPr>
            <w:tcW w:w="2268" w:type="dxa"/>
          </w:tcPr>
          <w:p w14:paraId="5C8EEAF9" w14:textId="6CCAF7B9" w:rsidR="000226C1" w:rsidRPr="00A3133E" w:rsidRDefault="000226C1">
            <w:pPr>
              <w:spacing w:line="276" w:lineRule="auto"/>
              <w:jc w:val="center"/>
              <w:rPr>
                <w:b/>
              </w:rPr>
            </w:pPr>
            <w:r w:rsidRPr="00A3133E">
              <w:rPr>
                <w:b/>
              </w:rPr>
              <w:t xml:space="preserve">Number capitalised </w:t>
            </w:r>
          </w:p>
          <w:p w14:paraId="71D94758" w14:textId="042EAAEA" w:rsidR="000226C1" w:rsidRPr="00A3133E" w:rsidRDefault="000226C1">
            <w:pPr>
              <w:spacing w:line="276" w:lineRule="auto"/>
              <w:jc w:val="center"/>
              <w:rPr>
                <w:b/>
              </w:rPr>
            </w:pPr>
            <w:r w:rsidRPr="00A3133E">
              <w:rPr>
                <w:b/>
              </w:rPr>
              <w:t>at cost as at</w:t>
            </w:r>
          </w:p>
          <w:p w14:paraId="3792E298" w14:textId="77777777" w:rsidR="000226C1" w:rsidRPr="00A3133E" w:rsidRDefault="000226C1">
            <w:pPr>
              <w:spacing w:line="276" w:lineRule="auto"/>
              <w:jc w:val="center"/>
              <w:rPr>
                <w:b/>
              </w:rPr>
            </w:pPr>
            <w:r w:rsidRPr="00A3133E">
              <w:rPr>
                <w:b/>
              </w:rPr>
              <w:t>31/03/25</w:t>
            </w:r>
          </w:p>
        </w:tc>
        <w:tc>
          <w:tcPr>
            <w:tcW w:w="2268" w:type="dxa"/>
          </w:tcPr>
          <w:p w14:paraId="190BC327" w14:textId="1A54F4BF" w:rsidR="000226C1" w:rsidRPr="00A3133E" w:rsidRDefault="000226C1">
            <w:pPr>
              <w:spacing w:line="276" w:lineRule="auto"/>
              <w:jc w:val="center"/>
              <w:rPr>
                <w:b/>
              </w:rPr>
            </w:pPr>
            <w:r w:rsidRPr="00A3133E">
              <w:rPr>
                <w:b/>
              </w:rPr>
              <w:t>Number capitalised at valuation as at 31/03/25</w:t>
            </w:r>
          </w:p>
        </w:tc>
      </w:tr>
      <w:tr w:rsidR="000226C1" w:rsidRPr="00A3133E" w14:paraId="38CCDD98" w14:textId="77777777" w:rsidTr="000226C1">
        <w:trPr>
          <w:trHeight w:val="234"/>
        </w:trPr>
        <w:tc>
          <w:tcPr>
            <w:tcW w:w="2689" w:type="dxa"/>
          </w:tcPr>
          <w:p w14:paraId="55F600B1" w14:textId="77777777" w:rsidR="000226C1" w:rsidRPr="00A3133E" w:rsidRDefault="000226C1" w:rsidP="000226C1">
            <w:pPr>
              <w:spacing w:line="276" w:lineRule="auto"/>
              <w:ind w:left="25"/>
            </w:pPr>
            <w:r w:rsidRPr="00A3133E">
              <w:t>Musical Instruments</w:t>
            </w:r>
          </w:p>
        </w:tc>
        <w:tc>
          <w:tcPr>
            <w:tcW w:w="2126" w:type="dxa"/>
          </w:tcPr>
          <w:p w14:paraId="431A70DE" w14:textId="77777777" w:rsidR="000226C1" w:rsidRPr="00A3133E" w:rsidRDefault="000226C1">
            <w:pPr>
              <w:spacing w:line="276" w:lineRule="auto"/>
              <w:jc w:val="right"/>
            </w:pPr>
            <w:r w:rsidRPr="00A3133E">
              <w:t>8,000</w:t>
            </w:r>
          </w:p>
        </w:tc>
        <w:tc>
          <w:tcPr>
            <w:tcW w:w="2268" w:type="dxa"/>
          </w:tcPr>
          <w:p w14:paraId="6868CAAA" w14:textId="77777777" w:rsidR="000226C1" w:rsidRPr="00A3133E" w:rsidRDefault="000226C1">
            <w:pPr>
              <w:spacing w:line="276" w:lineRule="auto"/>
              <w:jc w:val="right"/>
            </w:pPr>
            <w:r w:rsidRPr="00A3133E">
              <w:t>19</w:t>
            </w:r>
          </w:p>
        </w:tc>
        <w:tc>
          <w:tcPr>
            <w:tcW w:w="2268" w:type="dxa"/>
          </w:tcPr>
          <w:p w14:paraId="1733C9AE" w14:textId="77777777" w:rsidR="000226C1" w:rsidRPr="00A3133E" w:rsidRDefault="000226C1">
            <w:pPr>
              <w:spacing w:line="276" w:lineRule="auto"/>
              <w:jc w:val="right"/>
            </w:pPr>
            <w:r w:rsidRPr="00A3133E">
              <w:t>103</w:t>
            </w:r>
          </w:p>
        </w:tc>
      </w:tr>
      <w:tr w:rsidR="000226C1" w:rsidRPr="00A3133E" w14:paraId="11A51D75" w14:textId="77777777" w:rsidTr="000226C1">
        <w:tc>
          <w:tcPr>
            <w:tcW w:w="2689" w:type="dxa"/>
          </w:tcPr>
          <w:p w14:paraId="49E5CED2" w14:textId="77777777" w:rsidR="000226C1" w:rsidRPr="00A3133E" w:rsidRDefault="000226C1" w:rsidP="000226C1">
            <w:pPr>
              <w:spacing w:line="276" w:lineRule="auto"/>
              <w:ind w:left="25"/>
            </w:pPr>
            <w:r w:rsidRPr="00A3133E">
              <w:t>Anthropology</w:t>
            </w:r>
          </w:p>
        </w:tc>
        <w:tc>
          <w:tcPr>
            <w:tcW w:w="2126" w:type="dxa"/>
          </w:tcPr>
          <w:p w14:paraId="7D0E45ED" w14:textId="77777777" w:rsidR="000226C1" w:rsidRPr="00A3133E" w:rsidRDefault="000226C1">
            <w:pPr>
              <w:spacing w:line="276" w:lineRule="auto"/>
              <w:jc w:val="right"/>
            </w:pPr>
            <w:r w:rsidRPr="00A3133E">
              <w:t>80,000</w:t>
            </w:r>
          </w:p>
        </w:tc>
        <w:tc>
          <w:tcPr>
            <w:tcW w:w="2268" w:type="dxa"/>
          </w:tcPr>
          <w:p w14:paraId="279D9680" w14:textId="77777777" w:rsidR="000226C1" w:rsidRPr="00A3133E" w:rsidRDefault="000226C1">
            <w:pPr>
              <w:spacing w:line="276" w:lineRule="auto"/>
              <w:jc w:val="right"/>
            </w:pPr>
            <w:r w:rsidRPr="00A3133E">
              <w:t>18</w:t>
            </w:r>
          </w:p>
        </w:tc>
        <w:tc>
          <w:tcPr>
            <w:tcW w:w="2268" w:type="dxa"/>
          </w:tcPr>
          <w:p w14:paraId="63A37AA6" w14:textId="77777777" w:rsidR="000226C1" w:rsidRPr="00A3133E" w:rsidRDefault="000226C1">
            <w:pPr>
              <w:spacing w:line="276" w:lineRule="auto"/>
              <w:jc w:val="right"/>
            </w:pPr>
            <w:r w:rsidRPr="00A3133E">
              <w:t>95</w:t>
            </w:r>
          </w:p>
        </w:tc>
      </w:tr>
      <w:tr w:rsidR="000226C1" w:rsidRPr="00A3133E" w14:paraId="627FBEA5" w14:textId="77777777" w:rsidTr="000226C1">
        <w:tc>
          <w:tcPr>
            <w:tcW w:w="2689" w:type="dxa"/>
          </w:tcPr>
          <w:p w14:paraId="0843EDF9" w14:textId="77777777" w:rsidR="000226C1" w:rsidRPr="00A3133E" w:rsidRDefault="000226C1" w:rsidP="000226C1">
            <w:pPr>
              <w:spacing w:line="276" w:lineRule="auto"/>
              <w:ind w:left="25"/>
            </w:pPr>
            <w:r w:rsidRPr="00A3133E">
              <w:t>Natural History</w:t>
            </w:r>
          </w:p>
        </w:tc>
        <w:tc>
          <w:tcPr>
            <w:tcW w:w="2126" w:type="dxa"/>
          </w:tcPr>
          <w:p w14:paraId="5486F3AB" w14:textId="77777777" w:rsidR="000226C1" w:rsidRPr="00A3133E" w:rsidRDefault="000226C1">
            <w:pPr>
              <w:spacing w:line="276" w:lineRule="auto"/>
              <w:jc w:val="right"/>
            </w:pPr>
            <w:r w:rsidRPr="00A3133E">
              <w:t>250,000</w:t>
            </w:r>
          </w:p>
        </w:tc>
        <w:tc>
          <w:tcPr>
            <w:tcW w:w="2268" w:type="dxa"/>
          </w:tcPr>
          <w:p w14:paraId="583EBF29" w14:textId="77777777" w:rsidR="000226C1" w:rsidRPr="00A3133E" w:rsidRDefault="000226C1">
            <w:pPr>
              <w:spacing w:line="276" w:lineRule="auto"/>
              <w:jc w:val="right"/>
            </w:pPr>
            <w:r w:rsidRPr="00A3133E">
              <w:t>0</w:t>
            </w:r>
          </w:p>
        </w:tc>
        <w:tc>
          <w:tcPr>
            <w:tcW w:w="2268" w:type="dxa"/>
          </w:tcPr>
          <w:p w14:paraId="7A387224" w14:textId="77777777" w:rsidR="000226C1" w:rsidRPr="00A3133E" w:rsidRDefault="000226C1">
            <w:pPr>
              <w:spacing w:line="276" w:lineRule="auto"/>
              <w:jc w:val="right"/>
            </w:pPr>
            <w:r w:rsidRPr="00A3133E">
              <w:t>0</w:t>
            </w:r>
          </w:p>
        </w:tc>
      </w:tr>
      <w:tr w:rsidR="000226C1" w:rsidRPr="00A3133E" w14:paraId="52CD6CAB" w14:textId="77777777" w:rsidTr="000226C1">
        <w:tc>
          <w:tcPr>
            <w:tcW w:w="2689" w:type="dxa"/>
          </w:tcPr>
          <w:p w14:paraId="297595CD" w14:textId="77777777" w:rsidR="000226C1" w:rsidRPr="00A3133E" w:rsidRDefault="000226C1" w:rsidP="000226C1">
            <w:pPr>
              <w:spacing w:line="276" w:lineRule="auto"/>
              <w:ind w:left="25"/>
            </w:pPr>
            <w:r w:rsidRPr="00A3133E">
              <w:t>Education Handling Collection</w:t>
            </w:r>
          </w:p>
        </w:tc>
        <w:tc>
          <w:tcPr>
            <w:tcW w:w="2126" w:type="dxa"/>
          </w:tcPr>
          <w:p w14:paraId="75E1808C" w14:textId="77777777" w:rsidR="000226C1" w:rsidRPr="00A3133E" w:rsidRDefault="000226C1">
            <w:pPr>
              <w:spacing w:line="276" w:lineRule="auto"/>
              <w:jc w:val="right"/>
            </w:pPr>
            <w:r w:rsidRPr="00A3133E">
              <w:t>3,000</w:t>
            </w:r>
          </w:p>
        </w:tc>
        <w:tc>
          <w:tcPr>
            <w:tcW w:w="2268" w:type="dxa"/>
          </w:tcPr>
          <w:p w14:paraId="670D64E1" w14:textId="77777777" w:rsidR="000226C1" w:rsidRPr="00A3133E" w:rsidRDefault="000226C1">
            <w:pPr>
              <w:spacing w:line="276" w:lineRule="auto"/>
              <w:jc w:val="right"/>
            </w:pPr>
            <w:r w:rsidRPr="00A3133E">
              <w:t>0</w:t>
            </w:r>
          </w:p>
        </w:tc>
        <w:tc>
          <w:tcPr>
            <w:tcW w:w="2268" w:type="dxa"/>
          </w:tcPr>
          <w:p w14:paraId="07E40CD8" w14:textId="77777777" w:rsidR="000226C1" w:rsidRPr="00A3133E" w:rsidRDefault="000226C1">
            <w:pPr>
              <w:spacing w:line="276" w:lineRule="auto"/>
              <w:jc w:val="right"/>
            </w:pPr>
            <w:r w:rsidRPr="00A3133E">
              <w:t>0</w:t>
            </w:r>
          </w:p>
        </w:tc>
      </w:tr>
      <w:tr w:rsidR="000226C1" w:rsidRPr="00A3133E" w14:paraId="4BF9B4C4" w14:textId="77777777" w:rsidTr="000226C1">
        <w:trPr>
          <w:trHeight w:val="397"/>
        </w:trPr>
        <w:tc>
          <w:tcPr>
            <w:tcW w:w="2689" w:type="dxa"/>
            <w:tcBorders>
              <w:right w:val="nil"/>
            </w:tcBorders>
            <w:vAlign w:val="bottom"/>
          </w:tcPr>
          <w:p w14:paraId="2DCED0C9" w14:textId="35314C94" w:rsidR="000226C1" w:rsidRPr="00A3133E" w:rsidRDefault="000226C1">
            <w:pPr>
              <w:spacing w:line="276" w:lineRule="auto"/>
            </w:pPr>
            <w:r w:rsidRPr="00A3133E">
              <w:t>TOTAL</w:t>
            </w:r>
          </w:p>
        </w:tc>
        <w:tc>
          <w:tcPr>
            <w:tcW w:w="2126" w:type="dxa"/>
            <w:vAlign w:val="bottom"/>
          </w:tcPr>
          <w:p w14:paraId="307A1DE2" w14:textId="77777777" w:rsidR="000226C1" w:rsidRPr="00A3133E" w:rsidRDefault="000226C1">
            <w:pPr>
              <w:spacing w:line="276" w:lineRule="auto"/>
              <w:jc w:val="right"/>
            </w:pPr>
            <w:r w:rsidRPr="00A3133E">
              <w:t>341,000</w:t>
            </w:r>
          </w:p>
        </w:tc>
        <w:tc>
          <w:tcPr>
            <w:tcW w:w="2268" w:type="dxa"/>
            <w:vAlign w:val="bottom"/>
          </w:tcPr>
          <w:p w14:paraId="57D92212" w14:textId="77777777" w:rsidR="000226C1" w:rsidRPr="00A3133E" w:rsidRDefault="000226C1">
            <w:pPr>
              <w:spacing w:line="276" w:lineRule="auto"/>
              <w:jc w:val="right"/>
            </w:pPr>
            <w:r w:rsidRPr="00A3133E">
              <w:t>37</w:t>
            </w:r>
          </w:p>
        </w:tc>
        <w:tc>
          <w:tcPr>
            <w:tcW w:w="2268" w:type="dxa"/>
          </w:tcPr>
          <w:p w14:paraId="3FFCE481" w14:textId="77777777" w:rsidR="000226C1" w:rsidRPr="00A3133E" w:rsidRDefault="000226C1">
            <w:pPr>
              <w:spacing w:line="276" w:lineRule="auto"/>
              <w:jc w:val="right"/>
            </w:pPr>
          </w:p>
          <w:p w14:paraId="63D70C24" w14:textId="77777777" w:rsidR="000226C1" w:rsidRPr="00A3133E" w:rsidRDefault="000226C1">
            <w:pPr>
              <w:spacing w:line="276" w:lineRule="auto"/>
              <w:jc w:val="right"/>
            </w:pPr>
            <w:r w:rsidRPr="00A3133E">
              <w:t>198</w:t>
            </w:r>
          </w:p>
        </w:tc>
      </w:tr>
    </w:tbl>
    <w:p w14:paraId="4598AE6D" w14:textId="77777777" w:rsidR="00BE13A8" w:rsidRPr="00A3133E" w:rsidRDefault="00BE13A8">
      <w:pPr>
        <w:spacing w:line="276" w:lineRule="auto"/>
        <w:rPr>
          <w:color w:val="FF0000"/>
        </w:rPr>
      </w:pPr>
    </w:p>
    <w:p w14:paraId="0D6862AB" w14:textId="582B0FF4" w:rsidR="00BE13A8" w:rsidRPr="00A3133E" w:rsidRDefault="00D70530" w:rsidP="000226C1">
      <w:pPr>
        <w:spacing w:line="276" w:lineRule="auto"/>
      </w:pPr>
      <w:r w:rsidRPr="00A3133E">
        <w:t>The</w:t>
      </w:r>
      <w:r w:rsidR="00BF059B" w:rsidRPr="00A3133E">
        <w:t xml:space="preserve"> </w:t>
      </w:r>
      <w:r w:rsidRPr="00A3133E">
        <w:t>Horniman</w:t>
      </w:r>
      <w:r w:rsidR="00BF059B" w:rsidRPr="00A3133E">
        <w:t xml:space="preserve"> </w:t>
      </w:r>
      <w:r w:rsidRPr="00A3133E">
        <w:t>Museum</w:t>
      </w:r>
      <w:r w:rsidR="00BF059B" w:rsidRPr="00A3133E">
        <w:t xml:space="preserve"> </w:t>
      </w:r>
      <w:r w:rsidRPr="00A3133E">
        <w:t>and</w:t>
      </w:r>
      <w:r w:rsidR="00BF059B" w:rsidRPr="00A3133E">
        <w:t xml:space="preserve"> </w:t>
      </w:r>
      <w:r w:rsidRPr="00A3133E">
        <w:t>Gardens</w:t>
      </w:r>
      <w:r w:rsidR="00BF059B" w:rsidRPr="00A3133E">
        <w:t xml:space="preserve"> </w:t>
      </w:r>
      <w:r w:rsidRPr="00A3133E">
        <w:t>was</w:t>
      </w:r>
      <w:r w:rsidR="00BF059B" w:rsidRPr="00A3133E">
        <w:t xml:space="preserve"> </w:t>
      </w:r>
      <w:r w:rsidRPr="00A3133E">
        <w:t>founded</w:t>
      </w:r>
      <w:r w:rsidR="00BF059B" w:rsidRPr="00A3133E">
        <w:t xml:space="preserve"> </w:t>
      </w:r>
      <w:r w:rsidRPr="00A3133E">
        <w:t>by</w:t>
      </w:r>
      <w:r w:rsidR="00BF059B" w:rsidRPr="00A3133E">
        <w:t xml:space="preserve"> </w:t>
      </w:r>
      <w:r w:rsidRPr="00A3133E">
        <w:t>Frederick</w:t>
      </w:r>
      <w:r w:rsidR="00BF059B" w:rsidRPr="00A3133E">
        <w:t xml:space="preserve"> </w:t>
      </w:r>
      <w:r w:rsidRPr="00A3133E">
        <w:t>John</w:t>
      </w:r>
      <w:r w:rsidR="00BF059B" w:rsidRPr="00A3133E">
        <w:t xml:space="preserve"> </w:t>
      </w:r>
      <w:r w:rsidRPr="00A3133E">
        <w:t>Horniman,</w:t>
      </w:r>
      <w:r w:rsidR="00BF059B" w:rsidRPr="00A3133E">
        <w:t xml:space="preserve"> </w:t>
      </w:r>
      <w:r w:rsidRPr="00A3133E">
        <w:t>son</w:t>
      </w:r>
      <w:r w:rsidR="00BF059B" w:rsidRPr="00A3133E">
        <w:t xml:space="preserve"> </w:t>
      </w:r>
      <w:r w:rsidRPr="00A3133E">
        <w:t>of</w:t>
      </w:r>
      <w:r w:rsidR="00BF059B" w:rsidRPr="00A3133E">
        <w:t xml:space="preserve"> </w:t>
      </w:r>
      <w:r w:rsidRPr="00A3133E">
        <w:t>the</w:t>
      </w:r>
      <w:r w:rsidR="00BF059B" w:rsidRPr="00A3133E">
        <w:t xml:space="preserve"> </w:t>
      </w:r>
      <w:r w:rsidRPr="00A3133E">
        <w:t>wealthy</w:t>
      </w:r>
      <w:r w:rsidR="00BF059B" w:rsidRPr="00A3133E">
        <w:t xml:space="preserve"> </w:t>
      </w:r>
      <w:r w:rsidRPr="00A3133E">
        <w:t>tea</w:t>
      </w:r>
      <w:r w:rsidR="00BF059B" w:rsidRPr="00A3133E">
        <w:t xml:space="preserve"> </w:t>
      </w:r>
      <w:r w:rsidRPr="00A3133E">
        <w:t>merchant,</w:t>
      </w:r>
      <w:r w:rsidR="00BF059B" w:rsidRPr="00A3133E">
        <w:t xml:space="preserve"> </w:t>
      </w:r>
      <w:r w:rsidRPr="00A3133E">
        <w:t>John</w:t>
      </w:r>
      <w:r w:rsidR="00BF059B" w:rsidRPr="00A3133E">
        <w:t xml:space="preserve"> </w:t>
      </w:r>
      <w:r w:rsidRPr="00A3133E">
        <w:t>Horniman.</w:t>
      </w:r>
      <w:r w:rsidR="00BF059B" w:rsidRPr="00A3133E">
        <w:t xml:space="preserve"> </w:t>
      </w:r>
      <w:r w:rsidRPr="00A3133E">
        <w:t>Born</w:t>
      </w:r>
      <w:r w:rsidR="00BF059B" w:rsidRPr="00A3133E">
        <w:t xml:space="preserve"> </w:t>
      </w:r>
      <w:r w:rsidRPr="00A3133E">
        <w:t>in</w:t>
      </w:r>
      <w:r w:rsidR="00BF059B" w:rsidRPr="00A3133E">
        <w:t xml:space="preserve"> </w:t>
      </w:r>
      <w:r w:rsidRPr="00A3133E">
        <w:t>1835,</w:t>
      </w:r>
      <w:r w:rsidR="00BF059B" w:rsidRPr="00A3133E">
        <w:t xml:space="preserve"> </w:t>
      </w:r>
      <w:r w:rsidRPr="00A3133E">
        <w:t>Frederick</w:t>
      </w:r>
      <w:r w:rsidR="00BF059B" w:rsidRPr="00A3133E">
        <w:t xml:space="preserve"> </w:t>
      </w:r>
      <w:r w:rsidRPr="00A3133E">
        <w:t>was</w:t>
      </w:r>
      <w:r w:rsidR="00BF059B" w:rsidRPr="00A3133E">
        <w:t xml:space="preserve"> </w:t>
      </w:r>
      <w:r w:rsidRPr="00A3133E">
        <w:t>an</w:t>
      </w:r>
      <w:r w:rsidR="00BF059B" w:rsidRPr="00A3133E">
        <w:t xml:space="preserve"> </w:t>
      </w:r>
      <w:r w:rsidRPr="00A3133E">
        <w:t>avid</w:t>
      </w:r>
      <w:r w:rsidR="00BF059B" w:rsidRPr="00A3133E">
        <w:t xml:space="preserve"> </w:t>
      </w:r>
      <w:r w:rsidRPr="00A3133E">
        <w:t>collector</w:t>
      </w:r>
      <w:r w:rsidR="00BF059B" w:rsidRPr="00A3133E">
        <w:t xml:space="preserve"> </w:t>
      </w:r>
      <w:r w:rsidRPr="00A3133E">
        <w:t>from</w:t>
      </w:r>
      <w:r w:rsidR="00BF059B" w:rsidRPr="00A3133E">
        <w:t xml:space="preserve"> </w:t>
      </w:r>
      <w:r w:rsidRPr="00A3133E">
        <w:t>childhood.</w:t>
      </w:r>
      <w:r w:rsidR="00BF059B" w:rsidRPr="00A3133E">
        <w:t xml:space="preserve"> </w:t>
      </w:r>
      <w:r w:rsidRPr="00A3133E">
        <w:t>He</w:t>
      </w:r>
      <w:r w:rsidR="00BF059B" w:rsidRPr="00A3133E">
        <w:t xml:space="preserve"> </w:t>
      </w:r>
      <w:r w:rsidRPr="00A3133E">
        <w:t>is</w:t>
      </w:r>
      <w:r w:rsidR="00BF059B" w:rsidRPr="00A3133E">
        <w:t xml:space="preserve"> </w:t>
      </w:r>
      <w:r w:rsidRPr="00A3133E">
        <w:t>thought</w:t>
      </w:r>
      <w:r w:rsidR="00BF059B" w:rsidRPr="00A3133E">
        <w:t xml:space="preserve"> </w:t>
      </w:r>
      <w:r w:rsidRPr="00A3133E">
        <w:t>to</w:t>
      </w:r>
      <w:r w:rsidR="00BF059B" w:rsidRPr="00A3133E">
        <w:t xml:space="preserve"> </w:t>
      </w:r>
      <w:r w:rsidRPr="00A3133E">
        <w:t>have</w:t>
      </w:r>
      <w:r w:rsidR="00BF059B" w:rsidRPr="00A3133E">
        <w:t xml:space="preserve"> </w:t>
      </w:r>
      <w:r w:rsidRPr="00A3133E">
        <w:t>started</w:t>
      </w:r>
      <w:r w:rsidR="00BF059B" w:rsidRPr="00A3133E">
        <w:t xml:space="preserve"> </w:t>
      </w:r>
      <w:r w:rsidRPr="00A3133E">
        <w:t>collecting</w:t>
      </w:r>
      <w:r w:rsidR="00BF059B" w:rsidRPr="00A3133E">
        <w:t xml:space="preserve"> </w:t>
      </w:r>
      <w:r w:rsidRPr="00A3133E">
        <w:t>seriously</w:t>
      </w:r>
      <w:r w:rsidR="00BF059B" w:rsidRPr="00A3133E">
        <w:t xml:space="preserve"> </w:t>
      </w:r>
      <w:r w:rsidRPr="00A3133E">
        <w:t>in</w:t>
      </w:r>
      <w:r w:rsidR="00BF059B" w:rsidRPr="00A3133E">
        <w:t xml:space="preserve"> </w:t>
      </w:r>
      <w:r w:rsidRPr="00A3133E">
        <w:t>about</w:t>
      </w:r>
      <w:r w:rsidR="00BF059B" w:rsidRPr="00A3133E">
        <w:t xml:space="preserve"> </w:t>
      </w:r>
      <w:r w:rsidRPr="00A3133E">
        <w:t>1860.</w:t>
      </w:r>
      <w:r w:rsidR="00BF059B" w:rsidRPr="00A3133E">
        <w:t xml:space="preserve"> </w:t>
      </w:r>
      <w:r w:rsidRPr="00A3133E">
        <w:t>The</w:t>
      </w:r>
      <w:r w:rsidR="00BF059B" w:rsidRPr="00A3133E">
        <w:t xml:space="preserve"> </w:t>
      </w:r>
      <w:r w:rsidRPr="00A3133E">
        <w:t>Horniman</w:t>
      </w:r>
      <w:r w:rsidR="00BF059B" w:rsidRPr="00A3133E">
        <w:t xml:space="preserve"> </w:t>
      </w:r>
      <w:r w:rsidRPr="00A3133E">
        <w:t>Museum’s</w:t>
      </w:r>
      <w:r w:rsidR="00BF059B" w:rsidRPr="00A3133E">
        <w:t xml:space="preserve"> </w:t>
      </w:r>
      <w:r w:rsidRPr="00A3133E">
        <w:t>collections</w:t>
      </w:r>
      <w:r w:rsidR="00BF059B" w:rsidRPr="00A3133E">
        <w:t xml:space="preserve"> </w:t>
      </w:r>
      <w:r w:rsidRPr="00A3133E">
        <w:t>are</w:t>
      </w:r>
      <w:r w:rsidR="00BF059B" w:rsidRPr="00A3133E">
        <w:t xml:space="preserve"> </w:t>
      </w:r>
      <w:r w:rsidRPr="00A3133E">
        <w:t>organised</w:t>
      </w:r>
      <w:r w:rsidR="00BF059B" w:rsidRPr="00A3133E">
        <w:t xml:space="preserve"> </w:t>
      </w:r>
      <w:r w:rsidRPr="00A3133E">
        <w:t>within</w:t>
      </w:r>
      <w:r w:rsidR="00BF059B" w:rsidRPr="00A3133E">
        <w:t xml:space="preserve"> </w:t>
      </w:r>
      <w:r w:rsidRPr="00A3133E">
        <w:t>three</w:t>
      </w:r>
      <w:r w:rsidR="00BF059B" w:rsidRPr="00A3133E">
        <w:t xml:space="preserve"> </w:t>
      </w:r>
      <w:r w:rsidRPr="00A3133E">
        <w:t>disciplines,</w:t>
      </w:r>
      <w:r w:rsidR="00BF059B" w:rsidRPr="00A3133E">
        <w:t xml:space="preserve"> </w:t>
      </w:r>
      <w:r w:rsidRPr="00A3133E">
        <w:t>Anthropology,</w:t>
      </w:r>
      <w:r w:rsidR="00BF059B" w:rsidRPr="00A3133E">
        <w:t xml:space="preserve"> </w:t>
      </w:r>
      <w:r w:rsidRPr="00A3133E">
        <w:t>Natural</w:t>
      </w:r>
      <w:r w:rsidR="00BF059B" w:rsidRPr="00A3133E">
        <w:t xml:space="preserve"> </w:t>
      </w:r>
      <w:r w:rsidRPr="00A3133E">
        <w:t>History</w:t>
      </w:r>
      <w:r w:rsidR="00BF059B" w:rsidRPr="00A3133E">
        <w:t xml:space="preserve"> </w:t>
      </w:r>
      <w:r w:rsidRPr="00A3133E">
        <w:t>and</w:t>
      </w:r>
      <w:r w:rsidR="00BF059B" w:rsidRPr="00A3133E">
        <w:t xml:space="preserve"> </w:t>
      </w:r>
      <w:r w:rsidRPr="00A3133E">
        <w:t>Musical</w:t>
      </w:r>
      <w:r w:rsidR="00BF059B" w:rsidRPr="00A3133E">
        <w:t xml:space="preserve"> </w:t>
      </w:r>
      <w:r w:rsidRPr="00A3133E">
        <w:t>Instruments,</w:t>
      </w:r>
      <w:r w:rsidR="00BF059B" w:rsidRPr="00A3133E">
        <w:t xml:space="preserve"> </w:t>
      </w:r>
      <w:r w:rsidRPr="00A3133E">
        <w:t>each</w:t>
      </w:r>
      <w:r w:rsidR="00BF059B" w:rsidRPr="00A3133E">
        <w:t xml:space="preserve"> </w:t>
      </w:r>
      <w:r w:rsidRPr="00A3133E">
        <w:t>of</w:t>
      </w:r>
      <w:r w:rsidR="00BF059B" w:rsidRPr="00A3133E">
        <w:t xml:space="preserve"> </w:t>
      </w:r>
      <w:r w:rsidRPr="00A3133E">
        <w:t>which</w:t>
      </w:r>
      <w:r w:rsidR="00BF059B" w:rsidRPr="00A3133E">
        <w:t xml:space="preserve"> </w:t>
      </w:r>
      <w:r w:rsidRPr="00A3133E">
        <w:t>is</w:t>
      </w:r>
      <w:r w:rsidR="00BF059B" w:rsidRPr="00A3133E">
        <w:t xml:space="preserve"> </w:t>
      </w:r>
      <w:r w:rsidRPr="00A3133E">
        <w:t>derived</w:t>
      </w:r>
      <w:r w:rsidR="00BF059B" w:rsidRPr="00A3133E">
        <w:t xml:space="preserve"> </w:t>
      </w:r>
      <w:r w:rsidRPr="00A3133E">
        <w:t>from</w:t>
      </w:r>
      <w:r w:rsidR="00BF059B" w:rsidRPr="00A3133E">
        <w:t xml:space="preserve"> </w:t>
      </w:r>
      <w:r w:rsidRPr="00A3133E">
        <w:t>a</w:t>
      </w:r>
      <w:r w:rsidR="00BF059B" w:rsidRPr="00A3133E">
        <w:t xml:space="preserve"> </w:t>
      </w:r>
      <w:r w:rsidRPr="00A3133E">
        <w:t>key</w:t>
      </w:r>
      <w:r w:rsidR="00BF059B" w:rsidRPr="00A3133E">
        <w:t xml:space="preserve"> </w:t>
      </w:r>
      <w:r w:rsidRPr="00A3133E">
        <w:t>element</w:t>
      </w:r>
      <w:r w:rsidR="00BF059B" w:rsidRPr="00A3133E">
        <w:t xml:space="preserve"> </w:t>
      </w:r>
      <w:r w:rsidRPr="00A3133E">
        <w:t>of</w:t>
      </w:r>
      <w:r w:rsidR="00BF059B" w:rsidRPr="00A3133E">
        <w:t xml:space="preserve"> </w:t>
      </w:r>
      <w:r w:rsidRPr="00A3133E">
        <w:t>Frederick</w:t>
      </w:r>
      <w:r w:rsidR="00BF059B" w:rsidRPr="00A3133E">
        <w:t xml:space="preserve"> </w:t>
      </w:r>
      <w:r w:rsidRPr="00A3133E">
        <w:t>Horniman’s</w:t>
      </w:r>
      <w:r w:rsidR="00BF059B" w:rsidRPr="00A3133E">
        <w:t xml:space="preserve"> </w:t>
      </w:r>
      <w:r w:rsidRPr="00A3133E">
        <w:t>original</w:t>
      </w:r>
      <w:r w:rsidR="00BF059B" w:rsidRPr="00A3133E">
        <w:t xml:space="preserve"> </w:t>
      </w:r>
      <w:r w:rsidRPr="00A3133E">
        <w:t>collection.</w:t>
      </w:r>
      <w:r w:rsidR="00BF059B" w:rsidRPr="00A3133E">
        <w:t xml:space="preserve"> </w:t>
      </w:r>
      <w:r w:rsidRPr="00A3133E">
        <w:t>These</w:t>
      </w:r>
      <w:r w:rsidR="00BF059B" w:rsidRPr="00A3133E">
        <w:t xml:space="preserve"> </w:t>
      </w:r>
      <w:r w:rsidRPr="00A3133E">
        <w:t>collections,</w:t>
      </w:r>
      <w:r w:rsidR="00BF059B" w:rsidRPr="00A3133E">
        <w:t xml:space="preserve"> </w:t>
      </w:r>
      <w:r w:rsidRPr="00A3133E">
        <w:t>well-curated</w:t>
      </w:r>
      <w:r w:rsidR="00BF059B" w:rsidRPr="00A3133E">
        <w:t xml:space="preserve"> </w:t>
      </w:r>
      <w:r w:rsidRPr="00A3133E">
        <w:t>and</w:t>
      </w:r>
      <w:r w:rsidR="00BF059B" w:rsidRPr="00A3133E">
        <w:t xml:space="preserve"> </w:t>
      </w:r>
      <w:r w:rsidRPr="00A3133E">
        <w:t>developed</w:t>
      </w:r>
      <w:r w:rsidR="00BF059B" w:rsidRPr="00A3133E">
        <w:t xml:space="preserve"> </w:t>
      </w:r>
      <w:r w:rsidRPr="00A3133E">
        <w:t>over</w:t>
      </w:r>
      <w:r w:rsidR="00BF059B" w:rsidRPr="00A3133E">
        <w:t xml:space="preserve"> </w:t>
      </w:r>
      <w:r w:rsidRPr="00A3133E">
        <w:t>the</w:t>
      </w:r>
      <w:r w:rsidR="00BF059B" w:rsidRPr="00A3133E">
        <w:t xml:space="preserve"> </w:t>
      </w:r>
      <w:r w:rsidRPr="00A3133E">
        <w:t>past</w:t>
      </w:r>
      <w:r w:rsidR="00BF059B" w:rsidRPr="00A3133E">
        <w:t xml:space="preserve"> </w:t>
      </w:r>
      <w:r w:rsidRPr="00A3133E">
        <w:lastRenderedPageBreak/>
        <w:t>100</w:t>
      </w:r>
      <w:r w:rsidR="00BF059B" w:rsidRPr="00A3133E">
        <w:t xml:space="preserve"> </w:t>
      </w:r>
      <w:r w:rsidRPr="00A3133E">
        <w:t>years,</w:t>
      </w:r>
      <w:r w:rsidR="00BF059B" w:rsidRPr="00A3133E">
        <w:t xml:space="preserve"> </w:t>
      </w:r>
      <w:r w:rsidRPr="00A3133E">
        <w:t>have</w:t>
      </w:r>
      <w:r w:rsidR="00BF059B" w:rsidRPr="00A3133E">
        <w:t xml:space="preserve"> </w:t>
      </w:r>
      <w:r w:rsidRPr="00A3133E">
        <w:t>enabled</w:t>
      </w:r>
      <w:r w:rsidR="00BF059B" w:rsidRPr="00A3133E">
        <w:t xml:space="preserve"> </w:t>
      </w:r>
      <w:r w:rsidRPr="00A3133E">
        <w:t>the</w:t>
      </w:r>
      <w:r w:rsidR="00BF059B" w:rsidRPr="00A3133E">
        <w:t xml:space="preserve"> </w:t>
      </w:r>
      <w:r w:rsidRPr="00A3133E">
        <w:t>Horniman</w:t>
      </w:r>
      <w:r w:rsidR="00BF059B" w:rsidRPr="00A3133E">
        <w:t xml:space="preserve"> </w:t>
      </w:r>
      <w:r w:rsidRPr="00A3133E">
        <w:t>to</w:t>
      </w:r>
      <w:r w:rsidR="00BF059B" w:rsidRPr="00A3133E">
        <w:t xml:space="preserve"> </w:t>
      </w:r>
      <w:r w:rsidRPr="00A3133E">
        <w:t>become</w:t>
      </w:r>
      <w:r w:rsidR="00BF059B" w:rsidRPr="00A3133E">
        <w:t xml:space="preserve"> </w:t>
      </w:r>
      <w:r w:rsidRPr="00A3133E">
        <w:t>one</w:t>
      </w:r>
      <w:r w:rsidR="00BF059B" w:rsidRPr="00A3133E">
        <w:t xml:space="preserve"> </w:t>
      </w:r>
      <w:r w:rsidRPr="00A3133E">
        <w:t>of</w:t>
      </w:r>
      <w:r w:rsidR="00BF059B" w:rsidRPr="00A3133E">
        <w:t xml:space="preserve"> </w:t>
      </w:r>
      <w:r w:rsidRPr="00A3133E">
        <w:t>the</w:t>
      </w:r>
      <w:r w:rsidR="00BF059B" w:rsidRPr="00A3133E">
        <w:t xml:space="preserve"> </w:t>
      </w:r>
      <w:r w:rsidRPr="00A3133E">
        <w:t>few</w:t>
      </w:r>
      <w:r w:rsidR="00BF059B" w:rsidRPr="00A3133E">
        <w:t xml:space="preserve"> </w:t>
      </w:r>
      <w:r w:rsidRPr="00A3133E">
        <w:t>museums</w:t>
      </w:r>
      <w:r w:rsidR="00BF059B" w:rsidRPr="00A3133E">
        <w:t xml:space="preserve"> </w:t>
      </w:r>
      <w:r w:rsidRPr="00A3133E">
        <w:t>in</w:t>
      </w:r>
      <w:r w:rsidR="00BF059B" w:rsidRPr="00A3133E">
        <w:t xml:space="preserve"> </w:t>
      </w:r>
      <w:r w:rsidRPr="00A3133E">
        <w:t>the</w:t>
      </w:r>
      <w:r w:rsidR="00BF059B" w:rsidRPr="00A3133E">
        <w:t xml:space="preserve"> </w:t>
      </w:r>
      <w:r w:rsidRPr="00A3133E">
        <w:t>country</w:t>
      </w:r>
      <w:r w:rsidR="00BF059B" w:rsidRPr="00A3133E">
        <w:t xml:space="preserve"> </w:t>
      </w:r>
      <w:r w:rsidRPr="00A3133E">
        <w:t>capable</w:t>
      </w:r>
      <w:r w:rsidR="00BF059B" w:rsidRPr="00A3133E">
        <w:t xml:space="preserve"> </w:t>
      </w:r>
      <w:r w:rsidRPr="00A3133E">
        <w:t>of</w:t>
      </w:r>
      <w:r w:rsidR="00BF059B" w:rsidRPr="00A3133E">
        <w:t xml:space="preserve"> </w:t>
      </w:r>
      <w:r w:rsidRPr="00A3133E">
        <w:t>illustrating</w:t>
      </w:r>
      <w:r w:rsidR="00BF059B" w:rsidRPr="00A3133E">
        <w:t xml:space="preserve"> </w:t>
      </w:r>
      <w:r w:rsidRPr="00A3133E">
        <w:t>the</w:t>
      </w:r>
      <w:r w:rsidR="00BF059B" w:rsidRPr="00A3133E">
        <w:t xml:space="preserve"> </w:t>
      </w:r>
      <w:r w:rsidRPr="00A3133E">
        <w:t>breadth</w:t>
      </w:r>
      <w:r w:rsidR="00BF059B" w:rsidRPr="00A3133E">
        <w:t xml:space="preserve"> </w:t>
      </w:r>
      <w:r w:rsidRPr="00A3133E">
        <w:t>of</w:t>
      </w:r>
      <w:r w:rsidR="00BF059B" w:rsidRPr="00A3133E">
        <w:t xml:space="preserve"> </w:t>
      </w:r>
      <w:r w:rsidRPr="00A3133E">
        <w:t>the</w:t>
      </w:r>
      <w:r w:rsidR="00BF059B" w:rsidRPr="00A3133E">
        <w:t xml:space="preserve"> </w:t>
      </w:r>
      <w:r w:rsidRPr="00A3133E">
        <w:t>world’s</w:t>
      </w:r>
      <w:r w:rsidR="00BF059B" w:rsidRPr="00A3133E">
        <w:t xml:space="preserve"> </w:t>
      </w:r>
      <w:r w:rsidRPr="00A3133E">
        <w:t>natural</w:t>
      </w:r>
      <w:r w:rsidR="00BF059B" w:rsidRPr="00A3133E">
        <w:t xml:space="preserve"> </w:t>
      </w:r>
      <w:r w:rsidRPr="00A3133E">
        <w:t>and</w:t>
      </w:r>
      <w:r w:rsidR="00BF059B" w:rsidRPr="00A3133E">
        <w:t xml:space="preserve"> </w:t>
      </w:r>
      <w:r w:rsidRPr="00A3133E">
        <w:t>cultural</w:t>
      </w:r>
      <w:r w:rsidR="00BF059B" w:rsidRPr="00A3133E">
        <w:t xml:space="preserve"> </w:t>
      </w:r>
      <w:r w:rsidRPr="00A3133E">
        <w:t>diversity.</w:t>
      </w:r>
    </w:p>
    <w:p w14:paraId="789DF024" w14:textId="3CBD78F2" w:rsidR="00BE13A8" w:rsidRPr="00A3133E" w:rsidRDefault="00D70530" w:rsidP="000226C1">
      <w:pPr>
        <w:pBdr>
          <w:top w:val="nil"/>
          <w:left w:val="nil"/>
          <w:bottom w:val="nil"/>
          <w:right w:val="nil"/>
          <w:between w:val="nil"/>
        </w:pBdr>
        <w:shd w:val="clear" w:color="auto" w:fill="FFFFFF"/>
        <w:spacing w:before="100" w:after="150" w:line="276" w:lineRule="auto"/>
        <w:rPr>
          <w:color w:val="000000"/>
        </w:rPr>
      </w:pPr>
      <w:r w:rsidRPr="00A3133E">
        <w:rPr>
          <w:color w:val="000000"/>
        </w:rPr>
        <w:t>The</w:t>
      </w:r>
      <w:r w:rsidR="00BF059B" w:rsidRPr="00A3133E">
        <w:rPr>
          <w:color w:val="000000"/>
        </w:rPr>
        <w:t xml:space="preserve"> </w:t>
      </w:r>
      <w:r w:rsidRPr="00A3133E">
        <w:rPr>
          <w:color w:val="000000"/>
        </w:rPr>
        <w:t>Horniman</w:t>
      </w:r>
      <w:r w:rsidR="00BF059B" w:rsidRPr="00A3133E">
        <w:rPr>
          <w:color w:val="000000"/>
        </w:rPr>
        <w:t xml:space="preserve"> </w:t>
      </w:r>
      <w:r w:rsidRPr="00A3133E">
        <w:rPr>
          <w:color w:val="000000"/>
        </w:rPr>
        <w:t>possesses</w:t>
      </w:r>
      <w:r w:rsidR="00BF059B" w:rsidRPr="00A3133E">
        <w:rPr>
          <w:color w:val="000000"/>
        </w:rPr>
        <w:t xml:space="preserve"> </w:t>
      </w:r>
      <w:r w:rsidRPr="00A3133E">
        <w:rPr>
          <w:color w:val="000000"/>
        </w:rPr>
        <w:t>one</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most</w:t>
      </w:r>
      <w:r w:rsidR="00BF059B" w:rsidRPr="00A3133E">
        <w:rPr>
          <w:color w:val="000000"/>
        </w:rPr>
        <w:t xml:space="preserve"> </w:t>
      </w:r>
      <w:r w:rsidRPr="00A3133E">
        <w:rPr>
          <w:color w:val="000000"/>
        </w:rPr>
        <w:t>significant</w:t>
      </w:r>
      <w:r w:rsidR="00BF059B" w:rsidRPr="00A3133E">
        <w:rPr>
          <w:color w:val="000000"/>
        </w:rPr>
        <w:t xml:space="preserve"> </w:t>
      </w:r>
      <w:r w:rsidRPr="00A3133E">
        <w:rPr>
          <w:color w:val="000000"/>
        </w:rPr>
        <w:t>ethnographic</w:t>
      </w:r>
      <w:r w:rsidR="00BF059B" w:rsidRPr="00A3133E">
        <w:rPr>
          <w:color w:val="000000"/>
        </w:rPr>
        <w:t xml:space="preserve"> </w:t>
      </w:r>
      <w:r w:rsidRPr="00A3133E">
        <w:rPr>
          <w:color w:val="000000"/>
        </w:rPr>
        <w:t>collections</w:t>
      </w:r>
      <w:r w:rsidR="00BF059B" w:rsidRPr="00A3133E">
        <w:rPr>
          <w:color w:val="000000"/>
        </w:rPr>
        <w:t xml:space="preserve"> </w:t>
      </w:r>
      <w:r w:rsidRPr="00A3133E">
        <w:rPr>
          <w:color w:val="000000"/>
        </w:rPr>
        <w:t>in</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United</w:t>
      </w:r>
      <w:r w:rsidR="00BF059B" w:rsidRPr="00A3133E">
        <w:rPr>
          <w:color w:val="000000"/>
        </w:rPr>
        <w:t xml:space="preserve"> </w:t>
      </w:r>
      <w:r w:rsidRPr="00A3133E">
        <w:rPr>
          <w:color w:val="000000"/>
        </w:rPr>
        <w:t>Kingdom,</w:t>
      </w:r>
      <w:r w:rsidR="00BF059B" w:rsidRPr="00A3133E">
        <w:rPr>
          <w:color w:val="000000"/>
        </w:rPr>
        <w:t xml:space="preserve"> </w:t>
      </w:r>
      <w:r w:rsidRPr="00A3133E">
        <w:rPr>
          <w:color w:val="000000"/>
        </w:rPr>
        <w:t>after</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British</w:t>
      </w:r>
      <w:r w:rsidR="00BF059B" w:rsidRPr="00A3133E">
        <w:rPr>
          <w:color w:val="000000"/>
        </w:rPr>
        <w:t xml:space="preserve"> </w:t>
      </w:r>
      <w:r w:rsidRPr="00A3133E">
        <w:rPr>
          <w:color w:val="000000"/>
        </w:rPr>
        <w:t>Museum,</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Pitt-Rivers</w:t>
      </w:r>
      <w:r w:rsidR="00BF059B" w:rsidRPr="00A3133E">
        <w:rPr>
          <w:color w:val="000000"/>
        </w:rPr>
        <w:t xml:space="preserve"> </w:t>
      </w:r>
      <w:r w:rsidRPr="00A3133E">
        <w:rPr>
          <w:color w:val="000000"/>
        </w:rPr>
        <w:t>Museum,</w:t>
      </w:r>
      <w:r w:rsidR="00BF059B" w:rsidRPr="00A3133E">
        <w:rPr>
          <w:color w:val="000000"/>
        </w:rPr>
        <w:t xml:space="preserve"> </w:t>
      </w:r>
      <w:r w:rsidRPr="00A3133E">
        <w:rPr>
          <w:color w:val="000000"/>
        </w:rPr>
        <w:t>Oxford</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Museum</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Archaeology</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Anthropology,</w:t>
      </w:r>
      <w:r w:rsidR="00BF059B" w:rsidRPr="00A3133E">
        <w:rPr>
          <w:color w:val="000000"/>
        </w:rPr>
        <w:t xml:space="preserve"> </w:t>
      </w:r>
      <w:r w:rsidRPr="00A3133E">
        <w:rPr>
          <w:color w:val="000000"/>
        </w:rPr>
        <w:t>Cambridge.</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collection</w:t>
      </w:r>
      <w:r w:rsidR="00BF059B" w:rsidRPr="00A3133E">
        <w:rPr>
          <w:color w:val="000000"/>
        </w:rPr>
        <w:t xml:space="preserve"> </w:t>
      </w:r>
      <w:r w:rsidRPr="00A3133E">
        <w:rPr>
          <w:color w:val="000000"/>
        </w:rPr>
        <w:t>provides</w:t>
      </w:r>
      <w:r w:rsidR="00BF059B" w:rsidRPr="00A3133E">
        <w:rPr>
          <w:color w:val="000000"/>
        </w:rPr>
        <w:t xml:space="preserve"> </w:t>
      </w:r>
      <w:r w:rsidRPr="00A3133E">
        <w:rPr>
          <w:color w:val="000000"/>
        </w:rPr>
        <w:t>a</w:t>
      </w:r>
      <w:r w:rsidR="00BF059B" w:rsidRPr="00A3133E">
        <w:rPr>
          <w:color w:val="000000"/>
        </w:rPr>
        <w:t xml:space="preserve"> </w:t>
      </w:r>
      <w:r w:rsidRPr="00A3133E">
        <w:rPr>
          <w:color w:val="000000"/>
        </w:rPr>
        <w:t>path</w:t>
      </w:r>
      <w:r w:rsidR="00BF059B" w:rsidRPr="00A3133E">
        <w:rPr>
          <w:color w:val="000000"/>
        </w:rPr>
        <w:t xml:space="preserve"> </w:t>
      </w:r>
      <w:r w:rsidRPr="00A3133E">
        <w:rPr>
          <w:color w:val="000000"/>
        </w:rPr>
        <w:t>into</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understanding</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everyday</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ceremonial</w:t>
      </w:r>
      <w:r w:rsidR="00BF059B" w:rsidRPr="00A3133E">
        <w:rPr>
          <w:color w:val="000000"/>
        </w:rPr>
        <w:t xml:space="preserve"> </w:t>
      </w:r>
      <w:r w:rsidRPr="00A3133E">
        <w:rPr>
          <w:color w:val="000000"/>
        </w:rPr>
        <w:t>life</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people</w:t>
      </w:r>
      <w:r w:rsidR="00BF059B" w:rsidRPr="00A3133E">
        <w:rPr>
          <w:color w:val="000000"/>
        </w:rPr>
        <w:t xml:space="preserve"> </w:t>
      </w:r>
      <w:r w:rsidRPr="00A3133E">
        <w:rPr>
          <w:color w:val="000000"/>
        </w:rPr>
        <w:t>from</w:t>
      </w:r>
      <w:r w:rsidR="00BF059B" w:rsidRPr="00A3133E">
        <w:rPr>
          <w:color w:val="000000"/>
        </w:rPr>
        <w:t xml:space="preserve"> </w:t>
      </w:r>
      <w:r w:rsidRPr="00A3133E">
        <w:rPr>
          <w:color w:val="000000"/>
        </w:rPr>
        <w:t>all</w:t>
      </w:r>
      <w:r w:rsidR="00BF059B" w:rsidRPr="00A3133E">
        <w:rPr>
          <w:color w:val="000000"/>
        </w:rPr>
        <w:t xml:space="preserve"> </w:t>
      </w:r>
      <w:r w:rsidRPr="00A3133E">
        <w:rPr>
          <w:color w:val="000000"/>
        </w:rPr>
        <w:t>over</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world,</w:t>
      </w:r>
      <w:r w:rsidR="00BF059B" w:rsidRPr="00A3133E">
        <w:rPr>
          <w:color w:val="000000"/>
        </w:rPr>
        <w:t xml:space="preserve"> </w:t>
      </w:r>
      <w:r w:rsidRPr="00A3133E">
        <w:rPr>
          <w:color w:val="000000"/>
        </w:rPr>
        <w:t>including</w:t>
      </w:r>
      <w:r w:rsidR="00BF059B" w:rsidRPr="00A3133E">
        <w:rPr>
          <w:color w:val="000000"/>
        </w:rPr>
        <w:t xml:space="preserve"> </w:t>
      </w:r>
      <w:r w:rsidRPr="00A3133E">
        <w:rPr>
          <w:color w:val="000000"/>
        </w:rPr>
        <w:t>ourselves.</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quality,</w:t>
      </w:r>
      <w:r w:rsidR="00BF059B" w:rsidRPr="00A3133E">
        <w:rPr>
          <w:color w:val="000000"/>
        </w:rPr>
        <w:t xml:space="preserve"> </w:t>
      </w:r>
      <w:r w:rsidRPr="00A3133E">
        <w:rPr>
          <w:color w:val="000000"/>
        </w:rPr>
        <w:t>diversity</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beauty</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objects</w:t>
      </w:r>
      <w:r w:rsidR="00BF059B" w:rsidRPr="00A3133E">
        <w:rPr>
          <w:color w:val="000000"/>
        </w:rPr>
        <w:t xml:space="preserve"> </w:t>
      </w:r>
      <w:r w:rsidRPr="00A3133E">
        <w:rPr>
          <w:color w:val="000000"/>
        </w:rPr>
        <w:t>in</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collection</w:t>
      </w:r>
      <w:r w:rsidR="00BF059B" w:rsidRPr="00A3133E">
        <w:rPr>
          <w:color w:val="000000"/>
        </w:rPr>
        <w:t xml:space="preserve"> </w:t>
      </w:r>
      <w:r w:rsidRPr="00A3133E">
        <w:rPr>
          <w:color w:val="000000"/>
        </w:rPr>
        <w:t>are</w:t>
      </w:r>
      <w:r w:rsidR="00BF059B" w:rsidRPr="00A3133E">
        <w:rPr>
          <w:color w:val="000000"/>
        </w:rPr>
        <w:t xml:space="preserve"> </w:t>
      </w:r>
      <w:r w:rsidRPr="00A3133E">
        <w:rPr>
          <w:color w:val="000000"/>
        </w:rPr>
        <w:t>a</w:t>
      </w:r>
      <w:r w:rsidR="00BF059B" w:rsidRPr="00A3133E">
        <w:rPr>
          <w:color w:val="000000"/>
        </w:rPr>
        <w:t xml:space="preserve"> </w:t>
      </w:r>
      <w:r w:rsidRPr="00A3133E">
        <w:rPr>
          <w:color w:val="000000"/>
        </w:rPr>
        <w:t>testament</w:t>
      </w:r>
      <w:r w:rsidR="00BF059B" w:rsidRPr="00A3133E">
        <w:rPr>
          <w:color w:val="000000"/>
        </w:rPr>
        <w:t xml:space="preserve"> </w:t>
      </w:r>
      <w:r w:rsidRPr="00A3133E">
        <w:rPr>
          <w:color w:val="000000"/>
        </w:rPr>
        <w:t>to</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technical,</w:t>
      </w:r>
      <w:r w:rsidR="00BF059B" w:rsidRPr="00A3133E">
        <w:rPr>
          <w:color w:val="000000"/>
        </w:rPr>
        <w:t xml:space="preserve"> </w:t>
      </w:r>
      <w:r w:rsidRPr="00A3133E">
        <w:rPr>
          <w:color w:val="000000"/>
        </w:rPr>
        <w:t>aesthetic</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practical</w:t>
      </w:r>
      <w:r w:rsidR="00BF059B" w:rsidRPr="00A3133E">
        <w:rPr>
          <w:color w:val="000000"/>
        </w:rPr>
        <w:t xml:space="preserve"> </w:t>
      </w:r>
      <w:r w:rsidRPr="00A3133E">
        <w:rPr>
          <w:color w:val="000000"/>
        </w:rPr>
        <w:t>skills</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people</w:t>
      </w:r>
      <w:r w:rsidR="00BF059B" w:rsidRPr="00A3133E">
        <w:rPr>
          <w:color w:val="000000"/>
        </w:rPr>
        <w:t xml:space="preserve"> </w:t>
      </w:r>
      <w:r w:rsidRPr="00A3133E">
        <w:rPr>
          <w:color w:val="000000"/>
        </w:rPr>
        <w:t>throughout</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world.</w:t>
      </w:r>
    </w:p>
    <w:p w14:paraId="5E1293DB" w14:textId="6439863F" w:rsidR="00BE13A8" w:rsidRPr="00A3133E" w:rsidRDefault="00D70530" w:rsidP="000226C1">
      <w:pPr>
        <w:pBdr>
          <w:top w:val="nil"/>
          <w:left w:val="nil"/>
          <w:bottom w:val="nil"/>
          <w:right w:val="nil"/>
          <w:between w:val="nil"/>
        </w:pBdr>
        <w:shd w:val="clear" w:color="auto" w:fill="FFFFFF"/>
        <w:spacing w:before="100" w:after="150" w:line="276" w:lineRule="auto"/>
        <w:rPr>
          <w:color w:val="000000"/>
        </w:rPr>
      </w:pPr>
      <w:r w:rsidRPr="00A3133E">
        <w:rPr>
          <w:color w:val="000000"/>
        </w:rPr>
        <w:t>Music</w:t>
      </w:r>
      <w:r w:rsidR="00BF059B" w:rsidRPr="00A3133E">
        <w:rPr>
          <w:color w:val="000000"/>
        </w:rPr>
        <w:t xml:space="preserve"> </w:t>
      </w:r>
      <w:r w:rsidRPr="00A3133E">
        <w:rPr>
          <w:color w:val="000000"/>
        </w:rPr>
        <w:t>making</w:t>
      </w:r>
      <w:r w:rsidR="00BF059B" w:rsidRPr="00A3133E">
        <w:rPr>
          <w:color w:val="000000"/>
        </w:rPr>
        <w:t xml:space="preserve"> </w:t>
      </w:r>
      <w:r w:rsidRPr="00A3133E">
        <w:rPr>
          <w:color w:val="000000"/>
        </w:rPr>
        <w:t>around</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world</w:t>
      </w:r>
      <w:r w:rsidR="00BF059B" w:rsidRPr="00A3133E">
        <w:rPr>
          <w:color w:val="000000"/>
        </w:rPr>
        <w:t xml:space="preserve"> </w:t>
      </w:r>
      <w:r w:rsidRPr="00A3133E">
        <w:rPr>
          <w:color w:val="000000"/>
        </w:rPr>
        <w:t>is</w:t>
      </w:r>
      <w:r w:rsidR="00BF059B" w:rsidRPr="00A3133E">
        <w:rPr>
          <w:color w:val="000000"/>
        </w:rPr>
        <w:t xml:space="preserve"> </w:t>
      </w:r>
      <w:r w:rsidRPr="00A3133E">
        <w:rPr>
          <w:color w:val="000000"/>
        </w:rPr>
        <w:t>represented</w:t>
      </w:r>
      <w:r w:rsidR="00BF059B" w:rsidRPr="00A3133E">
        <w:rPr>
          <w:color w:val="000000"/>
        </w:rPr>
        <w:t xml:space="preserve"> </w:t>
      </w:r>
      <w:r w:rsidRPr="00A3133E">
        <w:rPr>
          <w:color w:val="000000"/>
        </w:rPr>
        <w:t>by</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Horniman's</w:t>
      </w:r>
      <w:r w:rsidR="00BF059B" w:rsidRPr="00A3133E">
        <w:rPr>
          <w:color w:val="000000"/>
        </w:rPr>
        <w:t xml:space="preserve"> </w:t>
      </w:r>
      <w:r w:rsidRPr="00A3133E">
        <w:rPr>
          <w:color w:val="000000"/>
        </w:rPr>
        <w:t>collection</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musical</w:t>
      </w:r>
      <w:r w:rsidR="00BF059B" w:rsidRPr="00A3133E">
        <w:rPr>
          <w:color w:val="000000"/>
        </w:rPr>
        <w:t xml:space="preserve"> </w:t>
      </w:r>
      <w:r w:rsidRPr="00A3133E">
        <w:rPr>
          <w:color w:val="000000"/>
        </w:rPr>
        <w:t>instruments,</w:t>
      </w:r>
      <w:r w:rsidR="00BF059B" w:rsidRPr="00A3133E">
        <w:rPr>
          <w:color w:val="000000"/>
        </w:rPr>
        <w:t xml:space="preserve"> </w:t>
      </w:r>
      <w:r w:rsidRPr="00A3133E">
        <w:rPr>
          <w:color w:val="000000"/>
        </w:rPr>
        <w:t>one</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most</w:t>
      </w:r>
      <w:r w:rsidR="00BF059B" w:rsidRPr="00A3133E">
        <w:rPr>
          <w:color w:val="000000"/>
        </w:rPr>
        <w:t xml:space="preserve"> </w:t>
      </w:r>
      <w:r w:rsidRPr="00A3133E">
        <w:rPr>
          <w:color w:val="000000"/>
        </w:rPr>
        <w:t>comprehensive</w:t>
      </w:r>
      <w:r w:rsidR="00BF059B" w:rsidRPr="00A3133E">
        <w:rPr>
          <w:color w:val="000000"/>
        </w:rPr>
        <w:t xml:space="preserve"> </w:t>
      </w:r>
      <w:r w:rsidRPr="00A3133E">
        <w:rPr>
          <w:color w:val="000000"/>
        </w:rPr>
        <w:t>in</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UK.</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oldest</w:t>
      </w:r>
      <w:r w:rsidR="00BF059B" w:rsidRPr="00A3133E">
        <w:rPr>
          <w:color w:val="000000"/>
        </w:rPr>
        <w:t xml:space="preserve"> </w:t>
      </w:r>
      <w:r w:rsidRPr="00A3133E">
        <w:rPr>
          <w:color w:val="000000"/>
        </w:rPr>
        <w:t>instrument</w:t>
      </w:r>
      <w:r w:rsidR="00BF059B" w:rsidRPr="00A3133E">
        <w:rPr>
          <w:color w:val="000000"/>
        </w:rPr>
        <w:t xml:space="preserve"> </w:t>
      </w:r>
      <w:r w:rsidRPr="00A3133E">
        <w:rPr>
          <w:color w:val="000000"/>
        </w:rPr>
        <w:t>is</w:t>
      </w:r>
      <w:r w:rsidR="00BF059B" w:rsidRPr="00A3133E">
        <w:rPr>
          <w:color w:val="000000"/>
        </w:rPr>
        <w:t xml:space="preserve"> </w:t>
      </w:r>
      <w:r w:rsidRPr="00A3133E">
        <w:rPr>
          <w:color w:val="000000"/>
        </w:rPr>
        <w:t>a</w:t>
      </w:r>
      <w:r w:rsidR="00BF059B" w:rsidRPr="00A3133E">
        <w:rPr>
          <w:color w:val="000000"/>
        </w:rPr>
        <w:t xml:space="preserve"> </w:t>
      </w:r>
      <w:r w:rsidRPr="00A3133E">
        <w:rPr>
          <w:color w:val="000000"/>
        </w:rPr>
        <w:t>pair</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bone</w:t>
      </w:r>
      <w:r w:rsidR="00BF059B" w:rsidRPr="00A3133E">
        <w:rPr>
          <w:color w:val="000000"/>
        </w:rPr>
        <w:t xml:space="preserve"> </w:t>
      </w:r>
      <w:r w:rsidRPr="00A3133E">
        <w:rPr>
          <w:color w:val="000000"/>
        </w:rPr>
        <w:t>clappers</w:t>
      </w:r>
      <w:r w:rsidR="00BF059B" w:rsidRPr="00A3133E">
        <w:rPr>
          <w:color w:val="000000"/>
        </w:rPr>
        <w:t xml:space="preserve"> </w:t>
      </w:r>
      <w:r w:rsidRPr="00A3133E">
        <w:rPr>
          <w:color w:val="000000"/>
        </w:rPr>
        <w:t>in</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form</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human</w:t>
      </w:r>
      <w:r w:rsidR="00BF059B" w:rsidRPr="00A3133E">
        <w:rPr>
          <w:color w:val="000000"/>
        </w:rPr>
        <w:t xml:space="preserve"> </w:t>
      </w:r>
      <w:r w:rsidRPr="00A3133E">
        <w:rPr>
          <w:color w:val="000000"/>
        </w:rPr>
        <w:t>hands</w:t>
      </w:r>
      <w:r w:rsidR="00BF059B" w:rsidRPr="00A3133E">
        <w:rPr>
          <w:color w:val="000000"/>
        </w:rPr>
        <w:t xml:space="preserve"> </w:t>
      </w:r>
      <w:r w:rsidRPr="00A3133E">
        <w:rPr>
          <w:color w:val="000000"/>
        </w:rPr>
        <w:t>made</w:t>
      </w:r>
      <w:r w:rsidR="00BF059B" w:rsidRPr="00A3133E">
        <w:rPr>
          <w:color w:val="000000"/>
        </w:rPr>
        <w:t xml:space="preserve"> </w:t>
      </w:r>
      <w:r w:rsidRPr="00A3133E">
        <w:rPr>
          <w:color w:val="000000"/>
        </w:rPr>
        <w:t>in</w:t>
      </w:r>
      <w:r w:rsidR="00BF059B" w:rsidRPr="00A3133E">
        <w:rPr>
          <w:color w:val="000000"/>
        </w:rPr>
        <w:t xml:space="preserve"> </w:t>
      </w:r>
      <w:r w:rsidRPr="00A3133E">
        <w:rPr>
          <w:color w:val="000000"/>
        </w:rPr>
        <w:t>Egypt</w:t>
      </w:r>
      <w:r w:rsidR="00BF059B" w:rsidRPr="00A3133E">
        <w:rPr>
          <w:color w:val="000000"/>
        </w:rPr>
        <w:t xml:space="preserve"> </w:t>
      </w:r>
      <w:r w:rsidRPr="00A3133E">
        <w:rPr>
          <w:color w:val="000000"/>
        </w:rPr>
        <w:t>around</w:t>
      </w:r>
      <w:r w:rsidR="00BF059B" w:rsidRPr="00A3133E">
        <w:rPr>
          <w:color w:val="000000"/>
        </w:rPr>
        <w:t xml:space="preserve"> </w:t>
      </w:r>
      <w:r w:rsidRPr="00A3133E">
        <w:rPr>
          <w:color w:val="000000"/>
        </w:rPr>
        <w:t>1,500</w:t>
      </w:r>
      <w:r w:rsidR="00BF059B" w:rsidRPr="00A3133E">
        <w:rPr>
          <w:color w:val="000000"/>
        </w:rPr>
        <w:t xml:space="preserve"> </w:t>
      </w:r>
      <w:r w:rsidRPr="00A3133E">
        <w:rPr>
          <w:color w:val="000000"/>
        </w:rPr>
        <w:t>BC.</w:t>
      </w:r>
      <w:r w:rsidR="00BF059B" w:rsidRPr="00A3133E">
        <w:rPr>
          <w:color w:val="000000"/>
        </w:rPr>
        <w:t xml:space="preserve"> </w:t>
      </w:r>
      <w:r w:rsidRPr="00A3133E">
        <w:rPr>
          <w:color w:val="000000"/>
        </w:rPr>
        <w:t>Electric</w:t>
      </w:r>
      <w:r w:rsidR="00BF059B" w:rsidRPr="00A3133E">
        <w:rPr>
          <w:color w:val="000000"/>
        </w:rPr>
        <w:t xml:space="preserve"> </w:t>
      </w:r>
      <w:r w:rsidRPr="00A3133E">
        <w:rPr>
          <w:color w:val="000000"/>
        </w:rPr>
        <w:t>guitars</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synthesizers</w:t>
      </w:r>
      <w:r w:rsidR="00BF059B" w:rsidRPr="00A3133E">
        <w:rPr>
          <w:color w:val="000000"/>
        </w:rPr>
        <w:t xml:space="preserve"> </w:t>
      </w:r>
      <w:r w:rsidRPr="00A3133E">
        <w:rPr>
          <w:color w:val="000000"/>
        </w:rPr>
        <w:t>dating</w:t>
      </w:r>
      <w:r w:rsidR="00BF059B" w:rsidRPr="00A3133E">
        <w:rPr>
          <w:color w:val="000000"/>
        </w:rPr>
        <w:t xml:space="preserve"> </w:t>
      </w:r>
      <w:r w:rsidRPr="00A3133E">
        <w:rPr>
          <w:color w:val="000000"/>
        </w:rPr>
        <w:t>from</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1990s</w:t>
      </w:r>
      <w:r w:rsidR="00BF059B" w:rsidRPr="00A3133E">
        <w:rPr>
          <w:color w:val="000000"/>
        </w:rPr>
        <w:t xml:space="preserve"> </w:t>
      </w:r>
      <w:r w:rsidRPr="00A3133E">
        <w:rPr>
          <w:color w:val="000000"/>
        </w:rPr>
        <w:t>are</w:t>
      </w:r>
      <w:r w:rsidR="00BF059B" w:rsidRPr="00A3133E">
        <w:rPr>
          <w:color w:val="000000"/>
        </w:rPr>
        <w:t xml:space="preserve"> </w:t>
      </w:r>
      <w:r w:rsidRPr="00A3133E">
        <w:rPr>
          <w:color w:val="000000"/>
        </w:rPr>
        <w:t>among</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most</w:t>
      </w:r>
      <w:r w:rsidR="00BF059B" w:rsidRPr="00A3133E">
        <w:rPr>
          <w:color w:val="000000"/>
        </w:rPr>
        <w:t xml:space="preserve"> </w:t>
      </w:r>
      <w:r w:rsidRPr="00A3133E">
        <w:rPr>
          <w:color w:val="000000"/>
        </w:rPr>
        <w:t>recent</w:t>
      </w:r>
      <w:r w:rsidR="00BF059B" w:rsidRPr="00A3133E">
        <w:rPr>
          <w:color w:val="000000"/>
        </w:rPr>
        <w:t xml:space="preserve"> </w:t>
      </w:r>
      <w:r w:rsidRPr="00A3133E">
        <w:rPr>
          <w:color w:val="000000"/>
        </w:rPr>
        <w:t>acquisitions.</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Horniman</w:t>
      </w:r>
      <w:r w:rsidR="00BF059B" w:rsidRPr="00A3133E">
        <w:rPr>
          <w:color w:val="000000"/>
        </w:rPr>
        <w:t xml:space="preserve"> </w:t>
      </w:r>
      <w:r w:rsidRPr="00A3133E">
        <w:rPr>
          <w:color w:val="000000"/>
        </w:rPr>
        <w:t>aims</w:t>
      </w:r>
      <w:r w:rsidR="00BF059B" w:rsidRPr="00A3133E">
        <w:rPr>
          <w:color w:val="000000"/>
        </w:rPr>
        <w:t xml:space="preserve"> </w:t>
      </w:r>
      <w:r w:rsidRPr="00A3133E">
        <w:rPr>
          <w:color w:val="000000"/>
        </w:rPr>
        <w:t>to</w:t>
      </w:r>
      <w:r w:rsidR="00BF059B" w:rsidRPr="00A3133E">
        <w:rPr>
          <w:color w:val="000000"/>
        </w:rPr>
        <w:t xml:space="preserve"> </w:t>
      </w:r>
      <w:r w:rsidRPr="00A3133E">
        <w:rPr>
          <w:color w:val="000000"/>
        </w:rPr>
        <w:t>acquire</w:t>
      </w:r>
      <w:r w:rsidR="00BF059B" w:rsidRPr="00A3133E">
        <w:rPr>
          <w:color w:val="000000"/>
        </w:rPr>
        <w:t xml:space="preserve"> </w:t>
      </w:r>
      <w:r w:rsidRPr="00A3133E">
        <w:rPr>
          <w:color w:val="000000"/>
        </w:rPr>
        <w:t>sound</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video</w:t>
      </w:r>
      <w:r w:rsidR="00BF059B" w:rsidRPr="00A3133E">
        <w:rPr>
          <w:color w:val="000000"/>
        </w:rPr>
        <w:t xml:space="preserve"> </w:t>
      </w:r>
      <w:r w:rsidRPr="00A3133E">
        <w:rPr>
          <w:color w:val="000000"/>
        </w:rPr>
        <w:t>recordings</w:t>
      </w:r>
      <w:r w:rsidR="00BF059B" w:rsidRPr="00A3133E">
        <w:rPr>
          <w:color w:val="000000"/>
        </w:rPr>
        <w:t xml:space="preserve"> </w:t>
      </w:r>
      <w:r w:rsidRPr="00A3133E">
        <w:rPr>
          <w:color w:val="000000"/>
        </w:rPr>
        <w:t>with</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documentation</w:t>
      </w:r>
      <w:r w:rsidR="00BF059B" w:rsidRPr="00A3133E">
        <w:rPr>
          <w:color w:val="000000"/>
        </w:rPr>
        <w:t xml:space="preserve"> </w:t>
      </w:r>
      <w:r w:rsidRPr="00A3133E">
        <w:rPr>
          <w:color w:val="000000"/>
        </w:rPr>
        <w:t>for</w:t>
      </w:r>
      <w:r w:rsidR="00BF059B" w:rsidRPr="00A3133E">
        <w:rPr>
          <w:color w:val="000000"/>
        </w:rPr>
        <w:t xml:space="preserve"> </w:t>
      </w:r>
      <w:r w:rsidRPr="00A3133E">
        <w:rPr>
          <w:color w:val="000000"/>
        </w:rPr>
        <w:t>each</w:t>
      </w:r>
      <w:r w:rsidR="00BF059B" w:rsidRPr="00A3133E">
        <w:rPr>
          <w:color w:val="000000"/>
        </w:rPr>
        <w:t xml:space="preserve"> </w:t>
      </w:r>
      <w:r w:rsidRPr="00A3133E">
        <w:rPr>
          <w:color w:val="000000"/>
        </w:rPr>
        <w:t>new</w:t>
      </w:r>
      <w:r w:rsidR="00BF059B" w:rsidRPr="00A3133E">
        <w:rPr>
          <w:color w:val="000000"/>
        </w:rPr>
        <w:t xml:space="preserve"> </w:t>
      </w:r>
      <w:r w:rsidRPr="00A3133E">
        <w:rPr>
          <w:color w:val="000000"/>
        </w:rPr>
        <w:t>instrument.</w:t>
      </w:r>
      <w:r w:rsidR="00BF059B" w:rsidRPr="00A3133E">
        <w:rPr>
          <w:color w:val="000000"/>
        </w:rPr>
        <w:t xml:space="preserve"> </w:t>
      </w:r>
      <w:r w:rsidRPr="00A3133E">
        <w:rPr>
          <w:color w:val="000000"/>
        </w:rPr>
        <w:t>Recent</w:t>
      </w:r>
      <w:r w:rsidR="00BF059B" w:rsidRPr="00A3133E">
        <w:rPr>
          <w:color w:val="000000"/>
        </w:rPr>
        <w:t xml:space="preserve"> </w:t>
      </w:r>
      <w:r w:rsidRPr="00A3133E">
        <w:rPr>
          <w:color w:val="000000"/>
        </w:rPr>
        <w:t>collections</w:t>
      </w:r>
      <w:r w:rsidR="00BF059B" w:rsidRPr="00A3133E">
        <w:rPr>
          <w:color w:val="000000"/>
        </w:rPr>
        <w:t xml:space="preserve"> </w:t>
      </w:r>
      <w:r w:rsidRPr="00A3133E">
        <w:rPr>
          <w:color w:val="000000"/>
        </w:rPr>
        <w:t>include</w:t>
      </w:r>
      <w:r w:rsidR="00BF059B" w:rsidRPr="00A3133E">
        <w:rPr>
          <w:color w:val="000000"/>
        </w:rPr>
        <w:t xml:space="preserve"> </w:t>
      </w:r>
      <w:r w:rsidRPr="00A3133E">
        <w:rPr>
          <w:color w:val="000000"/>
        </w:rPr>
        <w:t>instruments</w:t>
      </w:r>
      <w:r w:rsidR="00BF059B" w:rsidRPr="00A3133E">
        <w:rPr>
          <w:color w:val="000000"/>
        </w:rPr>
        <w:t xml:space="preserve"> </w:t>
      </w:r>
      <w:r w:rsidRPr="00A3133E">
        <w:rPr>
          <w:color w:val="000000"/>
        </w:rPr>
        <w:t>commissioned</w:t>
      </w:r>
      <w:r w:rsidR="00BF059B" w:rsidRPr="00A3133E">
        <w:rPr>
          <w:color w:val="000000"/>
        </w:rPr>
        <w:t xml:space="preserve"> </w:t>
      </w:r>
      <w:r w:rsidRPr="00A3133E">
        <w:rPr>
          <w:color w:val="000000"/>
        </w:rPr>
        <w:t>from</w:t>
      </w:r>
      <w:r w:rsidR="00BF059B" w:rsidRPr="00A3133E">
        <w:rPr>
          <w:color w:val="000000"/>
        </w:rPr>
        <w:t xml:space="preserve"> </w:t>
      </w:r>
      <w:r w:rsidRPr="00A3133E">
        <w:rPr>
          <w:color w:val="000000"/>
        </w:rPr>
        <w:t>makers</w:t>
      </w:r>
      <w:r w:rsidR="00BF059B" w:rsidRPr="00A3133E">
        <w:rPr>
          <w:color w:val="000000"/>
        </w:rPr>
        <w:t xml:space="preserve"> </w:t>
      </w:r>
      <w:r w:rsidRPr="00A3133E">
        <w:rPr>
          <w:color w:val="000000"/>
        </w:rPr>
        <w:t>associated</w:t>
      </w:r>
      <w:r w:rsidR="00BF059B" w:rsidRPr="00A3133E">
        <w:rPr>
          <w:color w:val="000000"/>
        </w:rPr>
        <w:t xml:space="preserve"> </w:t>
      </w:r>
      <w:r w:rsidRPr="00A3133E">
        <w:rPr>
          <w:color w:val="000000"/>
        </w:rPr>
        <w:t>with</w:t>
      </w:r>
      <w:r w:rsidR="00BF059B" w:rsidRPr="00A3133E">
        <w:rPr>
          <w:color w:val="000000"/>
        </w:rPr>
        <w:t xml:space="preserve"> </w:t>
      </w:r>
      <w:r w:rsidRPr="00A3133E">
        <w:rPr>
          <w:color w:val="000000"/>
        </w:rPr>
        <w:t>traditional</w:t>
      </w:r>
      <w:r w:rsidR="00BF059B" w:rsidRPr="00A3133E">
        <w:rPr>
          <w:color w:val="000000"/>
        </w:rPr>
        <w:t xml:space="preserve"> </w:t>
      </w:r>
      <w:r w:rsidRPr="00A3133E">
        <w:rPr>
          <w:color w:val="000000"/>
        </w:rPr>
        <w:t>music</w:t>
      </w:r>
      <w:r w:rsidR="00BF059B" w:rsidRPr="00A3133E">
        <w:rPr>
          <w:color w:val="000000"/>
        </w:rPr>
        <w:t xml:space="preserve"> </w:t>
      </w:r>
      <w:r w:rsidRPr="00A3133E">
        <w:rPr>
          <w:color w:val="000000"/>
        </w:rPr>
        <w:t>in</w:t>
      </w:r>
      <w:r w:rsidR="00BF059B" w:rsidRPr="00A3133E">
        <w:rPr>
          <w:color w:val="000000"/>
        </w:rPr>
        <w:t xml:space="preserve"> </w:t>
      </w:r>
      <w:r w:rsidRPr="00A3133E">
        <w:rPr>
          <w:color w:val="000000"/>
        </w:rPr>
        <w:t>India</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instruments</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archives</w:t>
      </w:r>
      <w:r w:rsidR="00BF059B" w:rsidRPr="00A3133E">
        <w:rPr>
          <w:color w:val="000000"/>
        </w:rPr>
        <w:t xml:space="preserve"> </w:t>
      </w:r>
      <w:r w:rsidRPr="00A3133E">
        <w:rPr>
          <w:color w:val="000000"/>
        </w:rPr>
        <w:t>from</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Boosey</w:t>
      </w:r>
      <w:r w:rsidR="00BF059B" w:rsidRPr="00A3133E">
        <w:rPr>
          <w:color w:val="000000"/>
        </w:rPr>
        <w:t xml:space="preserve"> </w:t>
      </w:r>
      <w:r w:rsidRPr="00A3133E">
        <w:rPr>
          <w:color w:val="000000"/>
        </w:rPr>
        <w:t>&amp;</w:t>
      </w:r>
      <w:r w:rsidR="00BF059B" w:rsidRPr="00A3133E">
        <w:rPr>
          <w:color w:val="000000"/>
        </w:rPr>
        <w:t xml:space="preserve"> </w:t>
      </w:r>
      <w:r w:rsidRPr="00A3133E">
        <w:rPr>
          <w:color w:val="000000"/>
        </w:rPr>
        <w:t>Hawkes</w:t>
      </w:r>
      <w:r w:rsidR="00BF059B" w:rsidRPr="00A3133E">
        <w:rPr>
          <w:color w:val="000000"/>
        </w:rPr>
        <w:t xml:space="preserve"> </w:t>
      </w:r>
      <w:r w:rsidRPr="00A3133E">
        <w:rPr>
          <w:color w:val="000000"/>
        </w:rPr>
        <w:t>factory.</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Horniman</w:t>
      </w:r>
      <w:r w:rsidR="00BF059B" w:rsidRPr="00A3133E">
        <w:rPr>
          <w:color w:val="000000"/>
        </w:rPr>
        <w:t xml:space="preserve"> </w:t>
      </w:r>
      <w:r w:rsidRPr="00A3133E">
        <w:rPr>
          <w:color w:val="000000"/>
        </w:rPr>
        <w:t>also</w:t>
      </w:r>
      <w:r w:rsidR="00BF059B" w:rsidRPr="00A3133E">
        <w:rPr>
          <w:color w:val="000000"/>
        </w:rPr>
        <w:t xml:space="preserve"> </w:t>
      </w:r>
      <w:r w:rsidRPr="00A3133E">
        <w:rPr>
          <w:color w:val="000000"/>
        </w:rPr>
        <w:t>holds</w:t>
      </w:r>
      <w:r w:rsidR="00BF059B" w:rsidRPr="00A3133E">
        <w:rPr>
          <w:color w:val="000000"/>
        </w:rPr>
        <w:t xml:space="preserve"> </w:t>
      </w:r>
      <w:r w:rsidRPr="00A3133E">
        <w:rPr>
          <w:color w:val="000000"/>
        </w:rPr>
        <w:t>other</w:t>
      </w:r>
      <w:r w:rsidR="00BF059B" w:rsidRPr="00A3133E">
        <w:rPr>
          <w:color w:val="000000"/>
        </w:rPr>
        <w:t xml:space="preserve"> </w:t>
      </w:r>
      <w:r w:rsidRPr="00A3133E">
        <w:rPr>
          <w:color w:val="000000"/>
        </w:rPr>
        <w:t>significant</w:t>
      </w:r>
      <w:r w:rsidR="00BF059B" w:rsidRPr="00A3133E">
        <w:rPr>
          <w:color w:val="000000"/>
        </w:rPr>
        <w:t xml:space="preserve"> </w:t>
      </w:r>
      <w:r w:rsidRPr="00A3133E">
        <w:rPr>
          <w:color w:val="000000"/>
        </w:rPr>
        <w:t>archives</w:t>
      </w:r>
      <w:r w:rsidR="00BF059B" w:rsidRPr="00A3133E">
        <w:rPr>
          <w:color w:val="000000"/>
        </w:rPr>
        <w:t xml:space="preserve"> </w:t>
      </w:r>
      <w:r w:rsidRPr="00A3133E">
        <w:rPr>
          <w:color w:val="000000"/>
        </w:rPr>
        <w:t>associated</w:t>
      </w:r>
      <w:r w:rsidR="00BF059B" w:rsidRPr="00A3133E">
        <w:rPr>
          <w:color w:val="000000"/>
        </w:rPr>
        <w:t xml:space="preserve"> </w:t>
      </w:r>
      <w:r w:rsidRPr="00A3133E">
        <w:rPr>
          <w:color w:val="000000"/>
        </w:rPr>
        <w:t>with</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Carse</w:t>
      </w:r>
      <w:r w:rsidR="00BF059B" w:rsidRPr="00A3133E">
        <w:rPr>
          <w:color w:val="000000"/>
        </w:rPr>
        <w:t xml:space="preserve"> </w:t>
      </w:r>
      <w:r w:rsidRPr="00A3133E">
        <w:rPr>
          <w:color w:val="000000"/>
        </w:rPr>
        <w:t>collection</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wind</w:t>
      </w:r>
      <w:r w:rsidR="00BF059B" w:rsidRPr="00A3133E">
        <w:rPr>
          <w:color w:val="000000"/>
        </w:rPr>
        <w:t xml:space="preserve"> </w:t>
      </w:r>
      <w:r w:rsidRPr="00A3133E">
        <w:rPr>
          <w:color w:val="000000"/>
        </w:rPr>
        <w:t>instruments</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Wayne</w:t>
      </w:r>
      <w:r w:rsidR="00BF059B" w:rsidRPr="00A3133E">
        <w:rPr>
          <w:color w:val="000000"/>
        </w:rPr>
        <w:t xml:space="preserve"> </w:t>
      </w:r>
      <w:r w:rsidRPr="00A3133E">
        <w:rPr>
          <w:color w:val="000000"/>
        </w:rPr>
        <w:t>collection</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concertinas.</w:t>
      </w:r>
    </w:p>
    <w:p w14:paraId="04200E7D" w14:textId="167BE652" w:rsidR="00BE13A8" w:rsidRDefault="00D70530" w:rsidP="000226C1">
      <w:pPr>
        <w:pBdr>
          <w:top w:val="nil"/>
          <w:left w:val="nil"/>
          <w:bottom w:val="nil"/>
          <w:right w:val="nil"/>
          <w:between w:val="nil"/>
        </w:pBdr>
        <w:shd w:val="clear" w:color="auto" w:fill="FFFFFF"/>
        <w:spacing w:before="100" w:after="150" w:line="276" w:lineRule="auto"/>
        <w:rPr>
          <w:color w:val="000000"/>
        </w:rPr>
      </w:pPr>
      <w:r w:rsidRPr="00A3133E">
        <w:rPr>
          <w:color w:val="000000"/>
        </w:rPr>
        <w:t>The</w:t>
      </w:r>
      <w:r w:rsidR="00BF059B" w:rsidRPr="00A3133E">
        <w:rPr>
          <w:color w:val="000000"/>
        </w:rPr>
        <w:t xml:space="preserve"> </w:t>
      </w:r>
      <w:r w:rsidRPr="00A3133E">
        <w:rPr>
          <w:color w:val="000000"/>
        </w:rPr>
        <w:t>Natural</w:t>
      </w:r>
      <w:r w:rsidR="00BF059B" w:rsidRPr="00A3133E">
        <w:rPr>
          <w:color w:val="000000"/>
        </w:rPr>
        <w:t xml:space="preserve"> </w:t>
      </w:r>
      <w:r w:rsidRPr="00A3133E">
        <w:rPr>
          <w:color w:val="000000"/>
        </w:rPr>
        <w:t>History</w:t>
      </w:r>
      <w:r w:rsidR="00BF059B" w:rsidRPr="00A3133E">
        <w:rPr>
          <w:color w:val="000000"/>
        </w:rPr>
        <w:t xml:space="preserve"> </w:t>
      </w:r>
      <w:r w:rsidRPr="00A3133E">
        <w:rPr>
          <w:color w:val="000000"/>
        </w:rPr>
        <w:t>collection</w:t>
      </w:r>
      <w:r w:rsidR="00BF059B" w:rsidRPr="00A3133E">
        <w:rPr>
          <w:color w:val="000000"/>
        </w:rPr>
        <w:t xml:space="preserve"> </w:t>
      </w:r>
      <w:r w:rsidRPr="00A3133E">
        <w:rPr>
          <w:color w:val="000000"/>
        </w:rPr>
        <w:t>is</w:t>
      </w:r>
      <w:r w:rsidR="00BF059B" w:rsidRPr="00A3133E">
        <w:rPr>
          <w:color w:val="000000"/>
        </w:rPr>
        <w:t xml:space="preserve"> </w:t>
      </w:r>
      <w:r w:rsidRPr="00A3133E">
        <w:rPr>
          <w:color w:val="000000"/>
        </w:rPr>
        <w:t>varied</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contains</w:t>
      </w:r>
      <w:r w:rsidR="00BF059B" w:rsidRPr="00A3133E">
        <w:rPr>
          <w:color w:val="000000"/>
        </w:rPr>
        <w:t xml:space="preserve"> </w:t>
      </w:r>
      <w:r w:rsidRPr="00A3133E">
        <w:rPr>
          <w:color w:val="000000"/>
        </w:rPr>
        <w:t>a</w:t>
      </w:r>
      <w:r w:rsidR="00BF059B" w:rsidRPr="00A3133E">
        <w:rPr>
          <w:color w:val="000000"/>
        </w:rPr>
        <w:t xml:space="preserve"> </w:t>
      </w:r>
      <w:r w:rsidRPr="00A3133E">
        <w:rPr>
          <w:color w:val="000000"/>
        </w:rPr>
        <w:t>range</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biological</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geological</w:t>
      </w:r>
      <w:r w:rsidR="00BF059B" w:rsidRPr="00A3133E">
        <w:rPr>
          <w:color w:val="000000"/>
        </w:rPr>
        <w:t xml:space="preserve"> </w:t>
      </w:r>
      <w:r w:rsidRPr="00A3133E">
        <w:rPr>
          <w:color w:val="000000"/>
        </w:rPr>
        <w:t>material</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its</w:t>
      </w:r>
      <w:r w:rsidR="00BF059B" w:rsidRPr="00A3133E">
        <w:rPr>
          <w:color w:val="000000"/>
        </w:rPr>
        <w:t xml:space="preserve"> </w:t>
      </w:r>
      <w:r w:rsidRPr="00A3133E">
        <w:rPr>
          <w:color w:val="000000"/>
        </w:rPr>
        <w:t>associated</w:t>
      </w:r>
      <w:r w:rsidR="00BF059B" w:rsidRPr="00A3133E">
        <w:rPr>
          <w:color w:val="000000"/>
        </w:rPr>
        <w:t xml:space="preserve"> </w:t>
      </w:r>
      <w:r w:rsidRPr="00A3133E">
        <w:rPr>
          <w:color w:val="000000"/>
        </w:rPr>
        <w:t>data.</w:t>
      </w:r>
      <w:r w:rsidR="00BF059B" w:rsidRPr="00A3133E">
        <w:rPr>
          <w:color w:val="000000"/>
        </w:rPr>
        <w:t xml:space="preserve"> </w:t>
      </w:r>
      <w:r w:rsidRPr="00A3133E">
        <w:rPr>
          <w:color w:val="000000"/>
        </w:rPr>
        <w:t>This</w:t>
      </w:r>
      <w:r w:rsidR="00BF059B" w:rsidRPr="00A3133E">
        <w:rPr>
          <w:color w:val="000000"/>
        </w:rPr>
        <w:t xml:space="preserve"> </w:t>
      </w:r>
      <w:r w:rsidRPr="00A3133E">
        <w:rPr>
          <w:color w:val="000000"/>
        </w:rPr>
        <w:t>includes</w:t>
      </w:r>
      <w:r w:rsidR="00BF059B" w:rsidRPr="00A3133E">
        <w:rPr>
          <w:color w:val="000000"/>
        </w:rPr>
        <w:t xml:space="preserve"> </w:t>
      </w:r>
      <w:r w:rsidRPr="00A3133E">
        <w:rPr>
          <w:color w:val="000000"/>
        </w:rPr>
        <w:t>taxidermy</w:t>
      </w:r>
      <w:r w:rsidR="00BF059B" w:rsidRPr="00A3133E">
        <w:rPr>
          <w:color w:val="000000"/>
        </w:rPr>
        <w:t xml:space="preserve"> </w:t>
      </w:r>
      <w:r w:rsidRPr="00A3133E">
        <w:rPr>
          <w:color w:val="000000"/>
        </w:rPr>
        <w:t>mounts,</w:t>
      </w:r>
      <w:r w:rsidR="00BF059B" w:rsidRPr="00A3133E">
        <w:rPr>
          <w:color w:val="000000"/>
        </w:rPr>
        <w:t xml:space="preserve"> </w:t>
      </w:r>
      <w:r w:rsidRPr="00A3133E">
        <w:rPr>
          <w:color w:val="000000"/>
        </w:rPr>
        <w:t>study</w:t>
      </w:r>
      <w:r w:rsidR="00BF059B" w:rsidRPr="00A3133E">
        <w:rPr>
          <w:color w:val="000000"/>
        </w:rPr>
        <w:t xml:space="preserve"> </w:t>
      </w:r>
      <w:r w:rsidRPr="00A3133E">
        <w:rPr>
          <w:color w:val="000000"/>
        </w:rPr>
        <w:t>skins,</w:t>
      </w:r>
      <w:r w:rsidR="00BF059B" w:rsidRPr="00A3133E">
        <w:rPr>
          <w:color w:val="000000"/>
        </w:rPr>
        <w:t xml:space="preserve"> </w:t>
      </w:r>
      <w:r w:rsidRPr="00A3133E">
        <w:rPr>
          <w:color w:val="000000"/>
        </w:rPr>
        <w:t>articulated</w:t>
      </w:r>
      <w:r w:rsidR="00BF059B" w:rsidRPr="00A3133E">
        <w:rPr>
          <w:color w:val="000000"/>
        </w:rPr>
        <w:t xml:space="preserve"> </w:t>
      </w:r>
      <w:r w:rsidRPr="00A3133E">
        <w:rPr>
          <w:color w:val="000000"/>
        </w:rPr>
        <w:t>skeletons</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bones,</w:t>
      </w:r>
      <w:r w:rsidR="00BF059B" w:rsidRPr="00A3133E">
        <w:rPr>
          <w:color w:val="000000"/>
        </w:rPr>
        <w:t xml:space="preserve"> </w:t>
      </w:r>
      <w:r w:rsidRPr="00A3133E">
        <w:rPr>
          <w:color w:val="000000"/>
        </w:rPr>
        <w:t>dried</w:t>
      </w:r>
      <w:r w:rsidR="00BF059B" w:rsidRPr="00A3133E">
        <w:rPr>
          <w:color w:val="000000"/>
        </w:rPr>
        <w:t xml:space="preserve"> </w:t>
      </w:r>
      <w:r w:rsidRPr="00A3133E">
        <w:rPr>
          <w:color w:val="000000"/>
        </w:rPr>
        <w:t>pressed</w:t>
      </w:r>
      <w:r w:rsidR="00BF059B" w:rsidRPr="00A3133E">
        <w:rPr>
          <w:color w:val="000000"/>
        </w:rPr>
        <w:t xml:space="preserve"> </w:t>
      </w:r>
      <w:r w:rsidRPr="00A3133E">
        <w:rPr>
          <w:color w:val="000000"/>
        </w:rPr>
        <w:t>plants,</w:t>
      </w:r>
      <w:r w:rsidR="00BF059B" w:rsidRPr="00A3133E">
        <w:rPr>
          <w:color w:val="000000"/>
        </w:rPr>
        <w:t xml:space="preserve"> </w:t>
      </w:r>
      <w:r w:rsidRPr="00A3133E">
        <w:rPr>
          <w:color w:val="000000"/>
        </w:rPr>
        <w:t>mollusc</w:t>
      </w:r>
      <w:r w:rsidR="00BF059B" w:rsidRPr="00A3133E">
        <w:rPr>
          <w:color w:val="000000"/>
        </w:rPr>
        <w:t xml:space="preserve"> </w:t>
      </w:r>
      <w:r w:rsidRPr="00A3133E">
        <w:rPr>
          <w:color w:val="000000"/>
        </w:rPr>
        <w:t>shells,</w:t>
      </w:r>
      <w:r w:rsidR="00BF059B" w:rsidRPr="00A3133E">
        <w:rPr>
          <w:color w:val="000000"/>
        </w:rPr>
        <w:t xml:space="preserve"> </w:t>
      </w:r>
      <w:r w:rsidRPr="00A3133E">
        <w:rPr>
          <w:color w:val="000000"/>
        </w:rPr>
        <w:t>birds'</w:t>
      </w:r>
      <w:r w:rsidR="00BF059B" w:rsidRPr="00A3133E">
        <w:rPr>
          <w:color w:val="000000"/>
        </w:rPr>
        <w:t xml:space="preserve"> </w:t>
      </w:r>
      <w:r w:rsidRPr="00A3133E">
        <w:rPr>
          <w:color w:val="000000"/>
        </w:rPr>
        <w:t>eggs,</w:t>
      </w:r>
      <w:r w:rsidR="00BF059B" w:rsidRPr="00A3133E">
        <w:rPr>
          <w:color w:val="000000"/>
        </w:rPr>
        <w:t xml:space="preserve"> </w:t>
      </w:r>
      <w:r w:rsidRPr="00A3133E">
        <w:rPr>
          <w:color w:val="000000"/>
        </w:rPr>
        <w:t>pinned</w:t>
      </w:r>
      <w:r w:rsidR="00BF059B" w:rsidRPr="00A3133E">
        <w:rPr>
          <w:color w:val="000000"/>
        </w:rPr>
        <w:t xml:space="preserve"> </w:t>
      </w:r>
      <w:r w:rsidRPr="00A3133E">
        <w:rPr>
          <w:color w:val="000000"/>
        </w:rPr>
        <w:t>insects,</w:t>
      </w:r>
      <w:r w:rsidR="00BF059B" w:rsidRPr="00A3133E">
        <w:rPr>
          <w:color w:val="000000"/>
        </w:rPr>
        <w:t xml:space="preserve"> </w:t>
      </w:r>
      <w:r w:rsidRPr="00A3133E">
        <w:rPr>
          <w:color w:val="000000"/>
        </w:rPr>
        <w:t>freeze</w:t>
      </w:r>
      <w:r w:rsidR="00BF059B" w:rsidRPr="00A3133E">
        <w:rPr>
          <w:color w:val="000000"/>
        </w:rPr>
        <w:t xml:space="preserve"> </w:t>
      </w:r>
      <w:r w:rsidRPr="00A3133E">
        <w:rPr>
          <w:color w:val="000000"/>
        </w:rPr>
        <w:t>dried</w:t>
      </w:r>
      <w:r w:rsidR="00BF059B" w:rsidRPr="00A3133E">
        <w:rPr>
          <w:color w:val="000000"/>
        </w:rPr>
        <w:t xml:space="preserve"> </w:t>
      </w:r>
      <w:r w:rsidRPr="00A3133E">
        <w:rPr>
          <w:color w:val="000000"/>
        </w:rPr>
        <w:t>specimens,</w:t>
      </w:r>
      <w:r w:rsidR="00BF059B" w:rsidRPr="00A3133E">
        <w:rPr>
          <w:color w:val="000000"/>
        </w:rPr>
        <w:t xml:space="preserve"> </w:t>
      </w:r>
      <w:r w:rsidRPr="00A3133E">
        <w:rPr>
          <w:color w:val="000000"/>
        </w:rPr>
        <w:t>histological</w:t>
      </w:r>
      <w:r w:rsidR="00BF059B" w:rsidRPr="00A3133E">
        <w:rPr>
          <w:color w:val="000000"/>
        </w:rPr>
        <w:t xml:space="preserve"> </w:t>
      </w:r>
      <w:r w:rsidRPr="00A3133E">
        <w:rPr>
          <w:color w:val="000000"/>
        </w:rPr>
        <w:t>slides,</w:t>
      </w:r>
      <w:r w:rsidR="00BF059B" w:rsidRPr="00A3133E">
        <w:rPr>
          <w:color w:val="000000"/>
        </w:rPr>
        <w:t xml:space="preserve"> </w:t>
      </w:r>
      <w:r w:rsidRPr="00A3133E">
        <w:rPr>
          <w:color w:val="000000"/>
        </w:rPr>
        <w:t>models,</w:t>
      </w:r>
      <w:r w:rsidR="00BF059B" w:rsidRPr="00A3133E">
        <w:rPr>
          <w:color w:val="000000"/>
        </w:rPr>
        <w:t xml:space="preserve"> </w:t>
      </w:r>
      <w:r w:rsidRPr="00A3133E">
        <w:rPr>
          <w:color w:val="000000"/>
        </w:rPr>
        <w:t>fluid</w:t>
      </w:r>
      <w:r w:rsidR="00BF059B" w:rsidRPr="00A3133E">
        <w:rPr>
          <w:color w:val="000000"/>
        </w:rPr>
        <w:t xml:space="preserve"> </w:t>
      </w:r>
      <w:r w:rsidRPr="00A3133E">
        <w:rPr>
          <w:color w:val="000000"/>
        </w:rPr>
        <w:t>preserved</w:t>
      </w:r>
      <w:r w:rsidR="00BF059B" w:rsidRPr="00A3133E">
        <w:rPr>
          <w:color w:val="000000"/>
        </w:rPr>
        <w:t xml:space="preserve"> </w:t>
      </w:r>
      <w:r w:rsidRPr="00A3133E">
        <w:rPr>
          <w:color w:val="000000"/>
        </w:rPr>
        <w:t>material,</w:t>
      </w:r>
      <w:r w:rsidR="00BF059B" w:rsidRPr="00A3133E">
        <w:rPr>
          <w:color w:val="000000"/>
        </w:rPr>
        <w:t xml:space="preserve"> </w:t>
      </w:r>
      <w:r w:rsidRPr="00A3133E">
        <w:rPr>
          <w:color w:val="000000"/>
        </w:rPr>
        <w:t>fossils,</w:t>
      </w:r>
      <w:r w:rsidR="00BF059B" w:rsidRPr="00A3133E">
        <w:rPr>
          <w:color w:val="000000"/>
        </w:rPr>
        <w:t xml:space="preserve"> </w:t>
      </w:r>
      <w:r w:rsidRPr="00A3133E">
        <w:rPr>
          <w:color w:val="000000"/>
        </w:rPr>
        <w:t>minerals</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rocks.</w:t>
      </w:r>
      <w:r w:rsidR="00BF059B" w:rsidRPr="00A3133E">
        <w:rPr>
          <w:color w:val="000000"/>
        </w:rPr>
        <w:t xml:space="preserve"> </w:t>
      </w:r>
      <w:r w:rsidRPr="00A3133E">
        <w:rPr>
          <w:color w:val="000000"/>
        </w:rPr>
        <w:t>Some</w:t>
      </w:r>
      <w:r w:rsidR="00BF059B" w:rsidRPr="00A3133E">
        <w:rPr>
          <w:color w:val="000000"/>
        </w:rPr>
        <w:t xml:space="preserve"> </w:t>
      </w:r>
      <w:r w:rsidRPr="00A3133E">
        <w:rPr>
          <w:color w:val="000000"/>
        </w:rPr>
        <w:t>parts</w:t>
      </w:r>
      <w:r w:rsidR="00BF059B" w:rsidRPr="00A3133E">
        <w:rPr>
          <w:color w:val="000000"/>
        </w:rPr>
        <w:t xml:space="preserve"> </w:t>
      </w:r>
      <w:r w:rsidRPr="00A3133E">
        <w:rPr>
          <w:color w:val="000000"/>
        </w:rPr>
        <w:t>of</w:t>
      </w:r>
      <w:r w:rsidR="00BF059B" w:rsidRPr="00A3133E">
        <w:rPr>
          <w:color w:val="000000"/>
        </w:rPr>
        <w:t xml:space="preserve"> </w:t>
      </w:r>
      <w:r w:rsidRPr="00A3133E">
        <w:rPr>
          <w:color w:val="000000"/>
        </w:rPr>
        <w:t>the</w:t>
      </w:r>
      <w:r w:rsidR="00BF059B" w:rsidRPr="00A3133E">
        <w:rPr>
          <w:color w:val="000000"/>
        </w:rPr>
        <w:t xml:space="preserve"> </w:t>
      </w:r>
      <w:r w:rsidRPr="00A3133E">
        <w:rPr>
          <w:color w:val="000000"/>
        </w:rPr>
        <w:t>collection</w:t>
      </w:r>
      <w:r w:rsidR="00BF059B" w:rsidRPr="00A3133E">
        <w:rPr>
          <w:color w:val="000000"/>
        </w:rPr>
        <w:t xml:space="preserve"> </w:t>
      </w:r>
      <w:r w:rsidRPr="00A3133E">
        <w:rPr>
          <w:color w:val="000000"/>
        </w:rPr>
        <w:t>contain</w:t>
      </w:r>
      <w:r w:rsidR="00BF059B" w:rsidRPr="00A3133E">
        <w:rPr>
          <w:color w:val="000000"/>
        </w:rPr>
        <w:t xml:space="preserve"> </w:t>
      </w:r>
      <w:r w:rsidRPr="00A3133E">
        <w:rPr>
          <w:color w:val="000000"/>
        </w:rPr>
        <w:t>related</w:t>
      </w:r>
      <w:r w:rsidR="00BF059B" w:rsidRPr="00A3133E">
        <w:rPr>
          <w:color w:val="000000"/>
        </w:rPr>
        <w:t xml:space="preserve"> </w:t>
      </w:r>
      <w:r w:rsidRPr="00A3133E">
        <w:rPr>
          <w:color w:val="000000"/>
        </w:rPr>
        <w:t>field</w:t>
      </w:r>
      <w:r w:rsidR="00BF059B" w:rsidRPr="00A3133E">
        <w:rPr>
          <w:color w:val="000000"/>
        </w:rPr>
        <w:t xml:space="preserve"> </w:t>
      </w:r>
      <w:r w:rsidRPr="00A3133E">
        <w:rPr>
          <w:color w:val="000000"/>
        </w:rPr>
        <w:t>notebooks,</w:t>
      </w:r>
      <w:r w:rsidR="00BF059B" w:rsidRPr="00A3133E">
        <w:rPr>
          <w:color w:val="000000"/>
        </w:rPr>
        <w:t xml:space="preserve"> </w:t>
      </w:r>
      <w:r w:rsidRPr="00A3133E">
        <w:rPr>
          <w:color w:val="000000"/>
        </w:rPr>
        <w:t>photographs</w:t>
      </w:r>
      <w:r w:rsidR="00BF059B" w:rsidRPr="00A3133E">
        <w:rPr>
          <w:color w:val="000000"/>
        </w:rPr>
        <w:t xml:space="preserve"> </w:t>
      </w:r>
      <w:r w:rsidRPr="00A3133E">
        <w:rPr>
          <w:color w:val="000000"/>
        </w:rPr>
        <w:t>and</w:t>
      </w:r>
      <w:r w:rsidR="00BF059B" w:rsidRPr="00A3133E">
        <w:rPr>
          <w:color w:val="000000"/>
        </w:rPr>
        <w:t xml:space="preserve"> </w:t>
      </w:r>
      <w:r w:rsidRPr="00A3133E">
        <w:rPr>
          <w:color w:val="000000"/>
        </w:rPr>
        <w:t>other</w:t>
      </w:r>
      <w:r w:rsidR="00BF059B" w:rsidRPr="00A3133E">
        <w:rPr>
          <w:color w:val="000000"/>
        </w:rPr>
        <w:t xml:space="preserve"> </w:t>
      </w:r>
      <w:r w:rsidRPr="00A3133E">
        <w:rPr>
          <w:color w:val="000000"/>
        </w:rPr>
        <w:t>archival</w:t>
      </w:r>
      <w:r w:rsidR="00BF059B" w:rsidRPr="00A3133E">
        <w:rPr>
          <w:color w:val="000000"/>
        </w:rPr>
        <w:t xml:space="preserve"> </w:t>
      </w:r>
      <w:r w:rsidRPr="00A3133E">
        <w:rPr>
          <w:color w:val="000000"/>
        </w:rPr>
        <w:t>information.</w:t>
      </w:r>
    </w:p>
    <w:p w14:paraId="621F2943" w14:textId="77777777" w:rsidR="000226C1" w:rsidRPr="00A3133E" w:rsidRDefault="000226C1" w:rsidP="000226C1">
      <w:pPr>
        <w:pBdr>
          <w:top w:val="nil"/>
          <w:left w:val="nil"/>
          <w:bottom w:val="nil"/>
          <w:right w:val="nil"/>
          <w:between w:val="nil"/>
        </w:pBdr>
        <w:shd w:val="clear" w:color="auto" w:fill="FFFFFF"/>
        <w:spacing w:before="100" w:after="150" w:line="276" w:lineRule="auto"/>
        <w:rPr>
          <w:color w:val="000000"/>
        </w:rPr>
      </w:pPr>
    </w:p>
    <w:p w14:paraId="5CD87227" w14:textId="3FF2FEBE" w:rsidR="00BE13A8" w:rsidRPr="00A3133E" w:rsidRDefault="00D70530" w:rsidP="000226C1">
      <w:pPr>
        <w:pStyle w:val="Heading5"/>
      </w:pPr>
      <w:r w:rsidRPr="00A3133E">
        <w:t>16.6</w:t>
      </w:r>
      <w:r w:rsidR="00BF059B" w:rsidRPr="00A3133E">
        <w:t xml:space="preserve"> </w:t>
      </w:r>
      <w:r w:rsidRPr="00A3133E">
        <w:t>Non-inclusion</w:t>
      </w:r>
      <w:r w:rsidR="00BF059B" w:rsidRPr="00A3133E">
        <w:t xml:space="preserve"> </w:t>
      </w:r>
      <w:r w:rsidRPr="00A3133E">
        <w:t>of</w:t>
      </w:r>
      <w:r w:rsidR="00BF059B" w:rsidRPr="00A3133E">
        <w:t xml:space="preserve"> </w:t>
      </w:r>
      <w:r w:rsidRPr="00A3133E">
        <w:t>Heritage</w:t>
      </w:r>
      <w:r w:rsidR="00BF059B" w:rsidRPr="00A3133E">
        <w:t xml:space="preserve"> </w:t>
      </w:r>
      <w:r w:rsidRPr="00A3133E">
        <w:t>Assets</w:t>
      </w:r>
      <w:r w:rsidR="00BF059B" w:rsidRPr="00A3133E">
        <w:t xml:space="preserve"> </w:t>
      </w:r>
      <w:r w:rsidRPr="00A3133E">
        <w:t>in</w:t>
      </w:r>
      <w:r w:rsidR="00BF059B" w:rsidRPr="00A3133E">
        <w:t xml:space="preserve"> </w:t>
      </w:r>
      <w:r w:rsidRPr="00A3133E">
        <w:t>the</w:t>
      </w:r>
      <w:r w:rsidR="00BF059B" w:rsidRPr="00A3133E">
        <w:t xml:space="preserve"> </w:t>
      </w:r>
      <w:r w:rsidRPr="00A3133E">
        <w:t>Balance</w:t>
      </w:r>
      <w:r w:rsidR="00BF059B" w:rsidRPr="00A3133E">
        <w:t xml:space="preserve"> </w:t>
      </w:r>
      <w:r w:rsidRPr="00A3133E">
        <w:t>Sheet</w:t>
      </w:r>
    </w:p>
    <w:p w14:paraId="76A02A77" w14:textId="681E49DF" w:rsidR="00BE13A8" w:rsidRPr="00A3133E" w:rsidRDefault="00D70530" w:rsidP="000226C1">
      <w:pPr>
        <w:spacing w:after="120" w:line="276" w:lineRule="auto"/>
        <w:rPr>
          <w:b/>
        </w:rPr>
      </w:pPr>
      <w:r w:rsidRPr="00A3133E">
        <w:t>In</w:t>
      </w:r>
      <w:r w:rsidR="00BF059B" w:rsidRPr="00A3133E">
        <w:t xml:space="preserve"> </w:t>
      </w:r>
      <w:r w:rsidRPr="00A3133E">
        <w:t>the</w:t>
      </w:r>
      <w:r w:rsidR="00BF059B" w:rsidRPr="00A3133E">
        <w:t xml:space="preserve"> </w:t>
      </w:r>
      <w:r w:rsidRPr="00A3133E">
        <w:t>opinion</w:t>
      </w:r>
      <w:r w:rsidR="00BF059B" w:rsidRPr="00A3133E">
        <w:t xml:space="preserve"> </w:t>
      </w:r>
      <w:r w:rsidRPr="00A3133E">
        <w:t>of</w:t>
      </w:r>
      <w:r w:rsidR="00BF059B" w:rsidRPr="00A3133E">
        <w:t xml:space="preserve"> </w:t>
      </w:r>
      <w:r w:rsidRPr="00A3133E">
        <w:t>the</w:t>
      </w:r>
      <w:r w:rsidR="00BF059B" w:rsidRPr="00A3133E">
        <w:t xml:space="preserve"> </w:t>
      </w:r>
      <w:r w:rsidRPr="00A3133E">
        <w:t>Trustees,</w:t>
      </w:r>
      <w:r w:rsidR="00BF059B" w:rsidRPr="00A3133E">
        <w:t xml:space="preserve"> </w:t>
      </w:r>
      <w:r w:rsidRPr="00A3133E">
        <w:t>reliable</w:t>
      </w:r>
      <w:r w:rsidR="00BF059B" w:rsidRPr="00A3133E">
        <w:t xml:space="preserve"> </w:t>
      </w:r>
      <w:r w:rsidRPr="00A3133E">
        <w:t>information</w:t>
      </w:r>
      <w:r w:rsidR="00BF059B" w:rsidRPr="00A3133E">
        <w:t xml:space="preserve"> </w:t>
      </w:r>
      <w:r w:rsidRPr="00A3133E">
        <w:t>on</w:t>
      </w:r>
      <w:r w:rsidR="00BF059B" w:rsidRPr="00A3133E">
        <w:t xml:space="preserve"> </w:t>
      </w:r>
      <w:r w:rsidRPr="00A3133E">
        <w:t>cost</w:t>
      </w:r>
      <w:r w:rsidR="00BF059B" w:rsidRPr="00A3133E">
        <w:t xml:space="preserve"> </w:t>
      </w:r>
      <w:r w:rsidRPr="00A3133E">
        <w:t>or</w:t>
      </w:r>
      <w:r w:rsidR="00BF059B" w:rsidRPr="00A3133E">
        <w:t xml:space="preserve"> </w:t>
      </w:r>
      <w:r w:rsidRPr="00A3133E">
        <w:t>value</w:t>
      </w:r>
      <w:r w:rsidR="00BF059B" w:rsidRPr="00A3133E">
        <w:t xml:space="preserve"> </w:t>
      </w:r>
      <w:r w:rsidRPr="00A3133E">
        <w:t>is</w:t>
      </w:r>
      <w:r w:rsidR="00BF059B" w:rsidRPr="00A3133E">
        <w:t xml:space="preserve"> </w:t>
      </w:r>
      <w:r w:rsidRPr="00A3133E">
        <w:t>not</w:t>
      </w:r>
      <w:r w:rsidR="00BF059B" w:rsidRPr="00A3133E">
        <w:t xml:space="preserve"> </w:t>
      </w:r>
      <w:r w:rsidRPr="00A3133E">
        <w:t>available</w:t>
      </w:r>
      <w:r w:rsidR="00BF059B" w:rsidRPr="00A3133E">
        <w:t xml:space="preserve"> </w:t>
      </w:r>
      <w:r w:rsidRPr="00A3133E">
        <w:t>for</w:t>
      </w:r>
      <w:r w:rsidR="00BF059B" w:rsidRPr="00A3133E">
        <w:t xml:space="preserve"> </w:t>
      </w:r>
      <w:r w:rsidRPr="00A3133E">
        <w:t>the</w:t>
      </w:r>
      <w:r w:rsidR="00BF059B" w:rsidRPr="00A3133E">
        <w:t xml:space="preserve"> </w:t>
      </w:r>
      <w:r w:rsidRPr="00A3133E">
        <w:t>Horniman’s</w:t>
      </w:r>
      <w:r w:rsidR="00BF059B" w:rsidRPr="00A3133E">
        <w:t xml:space="preserve"> </w:t>
      </w:r>
      <w:r w:rsidRPr="00A3133E">
        <w:t>collections</w:t>
      </w:r>
      <w:r w:rsidR="00BF059B" w:rsidRPr="00A3133E">
        <w:t xml:space="preserve"> </w:t>
      </w:r>
      <w:r w:rsidRPr="00A3133E">
        <w:t>acquired</w:t>
      </w:r>
      <w:r w:rsidR="00BF059B" w:rsidRPr="00A3133E">
        <w:t xml:space="preserve"> </w:t>
      </w:r>
      <w:r w:rsidRPr="00A3133E">
        <w:t>prior</w:t>
      </w:r>
      <w:r w:rsidR="00BF059B" w:rsidRPr="00A3133E">
        <w:t xml:space="preserve"> </w:t>
      </w:r>
      <w:r w:rsidRPr="00A3133E">
        <w:t>to</w:t>
      </w:r>
      <w:r w:rsidR="00BF059B" w:rsidRPr="00A3133E">
        <w:t xml:space="preserve"> </w:t>
      </w:r>
      <w:r w:rsidRPr="00A3133E">
        <w:t>April</w:t>
      </w:r>
      <w:r w:rsidR="00BF059B" w:rsidRPr="00A3133E">
        <w:t xml:space="preserve"> </w:t>
      </w:r>
      <w:r w:rsidRPr="00A3133E">
        <w:t>2001.</w:t>
      </w:r>
      <w:r w:rsidR="00BF059B" w:rsidRPr="00A3133E">
        <w:t xml:space="preserve"> </w:t>
      </w:r>
      <w:r w:rsidRPr="00A3133E">
        <w:t>This</w:t>
      </w:r>
      <w:r w:rsidR="00BF059B" w:rsidRPr="00A3133E">
        <w:t xml:space="preserve"> </w:t>
      </w:r>
      <w:r w:rsidRPr="00A3133E">
        <w:t>is</w:t>
      </w:r>
      <w:r w:rsidR="00BF059B" w:rsidRPr="00A3133E">
        <w:t xml:space="preserve"> </w:t>
      </w:r>
      <w:r w:rsidRPr="00A3133E">
        <w:t>owing</w:t>
      </w:r>
      <w:r w:rsidR="00BF059B" w:rsidRPr="00A3133E">
        <w:t xml:space="preserve"> </w:t>
      </w:r>
      <w:r w:rsidRPr="00A3133E">
        <w:t>to</w:t>
      </w:r>
      <w:r w:rsidR="00BF059B" w:rsidRPr="00A3133E">
        <w:t xml:space="preserve"> </w:t>
      </w:r>
      <w:r w:rsidRPr="00A3133E">
        <w:t>the</w:t>
      </w:r>
      <w:r w:rsidR="00BF059B" w:rsidRPr="00A3133E">
        <w:t xml:space="preserve"> </w:t>
      </w:r>
      <w:r w:rsidRPr="00A3133E">
        <w:t>lack</w:t>
      </w:r>
      <w:r w:rsidR="00BF059B" w:rsidRPr="00A3133E">
        <w:t xml:space="preserve"> </w:t>
      </w:r>
      <w:r w:rsidRPr="00A3133E">
        <w:t>of</w:t>
      </w:r>
      <w:r w:rsidR="00BF059B" w:rsidRPr="00A3133E">
        <w:t xml:space="preserve"> </w:t>
      </w:r>
      <w:r w:rsidRPr="00A3133E">
        <w:t>reliable</w:t>
      </w:r>
      <w:r w:rsidR="00BF059B" w:rsidRPr="00A3133E">
        <w:t xml:space="preserve"> </w:t>
      </w:r>
      <w:r w:rsidRPr="00A3133E">
        <w:t>information</w:t>
      </w:r>
      <w:r w:rsidR="00BF059B" w:rsidRPr="00A3133E">
        <w:t xml:space="preserve"> </w:t>
      </w:r>
      <w:r w:rsidRPr="00A3133E">
        <w:t>on</w:t>
      </w:r>
      <w:r w:rsidR="00BF059B" w:rsidRPr="00A3133E">
        <w:t xml:space="preserve"> </w:t>
      </w:r>
      <w:r w:rsidRPr="00A3133E">
        <w:t>purchase</w:t>
      </w:r>
      <w:r w:rsidR="00BF059B" w:rsidRPr="00A3133E">
        <w:t xml:space="preserve"> </w:t>
      </w:r>
      <w:r w:rsidRPr="00A3133E">
        <w:t>cost;</w:t>
      </w:r>
      <w:r w:rsidR="00BF059B" w:rsidRPr="00A3133E">
        <w:t xml:space="preserve"> </w:t>
      </w:r>
      <w:r w:rsidRPr="00A3133E">
        <w:t>the</w:t>
      </w:r>
      <w:r w:rsidR="00BF059B" w:rsidRPr="00A3133E">
        <w:t xml:space="preserve"> </w:t>
      </w:r>
      <w:r w:rsidRPr="00A3133E">
        <w:t>lack</w:t>
      </w:r>
      <w:r w:rsidR="00BF059B" w:rsidRPr="00A3133E">
        <w:t xml:space="preserve"> </w:t>
      </w:r>
      <w:r w:rsidRPr="00A3133E">
        <w:t>of</w:t>
      </w:r>
      <w:r w:rsidR="00BF059B" w:rsidRPr="00A3133E">
        <w:t xml:space="preserve"> </w:t>
      </w:r>
      <w:r w:rsidRPr="00A3133E">
        <w:t>comparable</w:t>
      </w:r>
      <w:r w:rsidR="00BF059B" w:rsidRPr="00A3133E">
        <w:t xml:space="preserve"> </w:t>
      </w:r>
      <w:r w:rsidRPr="00A3133E">
        <w:t>market</w:t>
      </w:r>
      <w:r w:rsidR="00BF059B" w:rsidRPr="00A3133E">
        <w:t xml:space="preserve"> </w:t>
      </w:r>
      <w:r w:rsidRPr="00A3133E">
        <w:t>values;</w:t>
      </w:r>
      <w:r w:rsidR="00BF059B" w:rsidRPr="00A3133E">
        <w:t xml:space="preserve"> </w:t>
      </w:r>
      <w:r w:rsidRPr="00A3133E">
        <w:t>the</w:t>
      </w:r>
      <w:r w:rsidR="00BF059B" w:rsidRPr="00A3133E">
        <w:t xml:space="preserve"> </w:t>
      </w:r>
      <w:r w:rsidRPr="00A3133E">
        <w:t>diverse</w:t>
      </w:r>
      <w:r w:rsidR="00BF059B" w:rsidRPr="00A3133E">
        <w:t xml:space="preserve"> </w:t>
      </w:r>
      <w:r w:rsidRPr="00A3133E">
        <w:t>nature</w:t>
      </w:r>
      <w:r w:rsidR="00BF059B" w:rsidRPr="00A3133E">
        <w:t xml:space="preserve"> </w:t>
      </w:r>
      <w:r w:rsidRPr="00A3133E">
        <w:t>of</w:t>
      </w:r>
      <w:r w:rsidR="00BF059B" w:rsidRPr="00A3133E">
        <w:t xml:space="preserve"> </w:t>
      </w:r>
      <w:r w:rsidRPr="00A3133E">
        <w:t>the</w:t>
      </w:r>
      <w:r w:rsidR="00BF059B" w:rsidRPr="00A3133E">
        <w:t xml:space="preserve"> </w:t>
      </w:r>
      <w:r w:rsidRPr="00A3133E">
        <w:t>objects;</w:t>
      </w:r>
      <w:r w:rsidR="00BF059B" w:rsidRPr="00A3133E">
        <w:t xml:space="preserve"> </w:t>
      </w:r>
      <w:r w:rsidRPr="00A3133E">
        <w:t>and</w:t>
      </w:r>
      <w:r w:rsidR="00BF059B" w:rsidRPr="00A3133E">
        <w:t xml:space="preserve"> </w:t>
      </w:r>
      <w:r w:rsidRPr="00A3133E">
        <w:t>the</w:t>
      </w:r>
      <w:r w:rsidR="00BF059B" w:rsidRPr="00A3133E">
        <w:t xml:space="preserve"> </w:t>
      </w:r>
      <w:r w:rsidRPr="00A3133E">
        <w:t>volume</w:t>
      </w:r>
      <w:r w:rsidR="00BF059B" w:rsidRPr="00A3133E">
        <w:t xml:space="preserve"> </w:t>
      </w:r>
      <w:r w:rsidRPr="00A3133E">
        <w:t>of</w:t>
      </w:r>
      <w:r w:rsidR="00BF059B" w:rsidRPr="00A3133E">
        <w:t xml:space="preserve"> </w:t>
      </w:r>
      <w:r w:rsidRPr="00A3133E">
        <w:t>items</w:t>
      </w:r>
      <w:r w:rsidR="00BF059B" w:rsidRPr="00A3133E">
        <w:t xml:space="preserve"> </w:t>
      </w:r>
      <w:r w:rsidRPr="00A3133E">
        <w:t>held.</w:t>
      </w:r>
    </w:p>
    <w:p w14:paraId="798A116F" w14:textId="508083BD" w:rsidR="00BE13A8" w:rsidRPr="00A3133E" w:rsidRDefault="00D70530" w:rsidP="000226C1">
      <w:pPr>
        <w:spacing w:after="120" w:line="276" w:lineRule="auto"/>
        <w:rPr>
          <w:b/>
        </w:rPr>
      </w:pPr>
      <w:r w:rsidRPr="00A3133E">
        <w:t>In</w:t>
      </w:r>
      <w:r w:rsidR="00BF059B" w:rsidRPr="00A3133E">
        <w:t xml:space="preserve"> </w:t>
      </w:r>
      <w:r w:rsidRPr="00A3133E">
        <w:t>the</w:t>
      </w:r>
      <w:r w:rsidR="00BF059B" w:rsidRPr="00A3133E">
        <w:t xml:space="preserve"> </w:t>
      </w:r>
      <w:r w:rsidRPr="00A3133E">
        <w:t>Trustees’</w:t>
      </w:r>
      <w:r w:rsidR="00BF059B" w:rsidRPr="00A3133E">
        <w:t xml:space="preserve"> </w:t>
      </w:r>
      <w:r w:rsidRPr="00A3133E">
        <w:t>opinion,</w:t>
      </w:r>
      <w:r w:rsidR="00BF059B" w:rsidRPr="00A3133E">
        <w:t xml:space="preserve"> </w:t>
      </w:r>
      <w:r w:rsidRPr="00A3133E">
        <w:t>conventional</w:t>
      </w:r>
      <w:r w:rsidR="00BF059B" w:rsidRPr="00A3133E">
        <w:t xml:space="preserve"> </w:t>
      </w:r>
      <w:r w:rsidRPr="00A3133E">
        <w:t>valuation</w:t>
      </w:r>
      <w:r w:rsidR="00BF059B" w:rsidRPr="00A3133E">
        <w:t xml:space="preserve"> </w:t>
      </w:r>
      <w:r w:rsidRPr="00A3133E">
        <w:t>approaches</w:t>
      </w:r>
      <w:r w:rsidR="00BF059B" w:rsidRPr="00A3133E">
        <w:t xml:space="preserve"> </w:t>
      </w:r>
      <w:r w:rsidRPr="00A3133E">
        <w:t>lack</w:t>
      </w:r>
      <w:r w:rsidR="00BF059B" w:rsidRPr="00A3133E">
        <w:t xml:space="preserve"> </w:t>
      </w:r>
      <w:r w:rsidRPr="00A3133E">
        <w:t>sufficient</w:t>
      </w:r>
      <w:r w:rsidR="00BF059B" w:rsidRPr="00A3133E">
        <w:t xml:space="preserve"> </w:t>
      </w:r>
      <w:r w:rsidRPr="00A3133E">
        <w:t>reliability,</w:t>
      </w:r>
      <w:r w:rsidR="00BF059B" w:rsidRPr="00A3133E">
        <w:t xml:space="preserve"> </w:t>
      </w:r>
      <w:r w:rsidRPr="00A3133E">
        <w:t>and</w:t>
      </w:r>
      <w:r w:rsidR="00BF059B" w:rsidRPr="00A3133E">
        <w:t xml:space="preserve"> </w:t>
      </w:r>
      <w:r w:rsidRPr="00A3133E">
        <w:t>any</w:t>
      </w:r>
      <w:r w:rsidR="00BF059B" w:rsidRPr="00A3133E">
        <w:t xml:space="preserve"> </w:t>
      </w:r>
      <w:r w:rsidRPr="00A3133E">
        <w:t>valuation</w:t>
      </w:r>
      <w:r w:rsidR="00BF059B" w:rsidRPr="00A3133E">
        <w:t xml:space="preserve"> </w:t>
      </w:r>
      <w:r w:rsidRPr="00A3133E">
        <w:t>is</w:t>
      </w:r>
      <w:r w:rsidR="00BF059B" w:rsidRPr="00A3133E">
        <w:t xml:space="preserve"> </w:t>
      </w:r>
      <w:r w:rsidRPr="00A3133E">
        <w:t>likely</w:t>
      </w:r>
      <w:r w:rsidR="00BF059B" w:rsidRPr="00A3133E">
        <w:t xml:space="preserve"> </w:t>
      </w:r>
      <w:r w:rsidRPr="00A3133E">
        <w:t>to</w:t>
      </w:r>
      <w:r w:rsidR="00BF059B" w:rsidRPr="00A3133E">
        <w:t xml:space="preserve"> </w:t>
      </w:r>
      <w:r w:rsidRPr="00A3133E">
        <w:t>incur</w:t>
      </w:r>
      <w:r w:rsidR="00BF059B" w:rsidRPr="00A3133E">
        <w:t xml:space="preserve"> </w:t>
      </w:r>
      <w:r w:rsidRPr="00A3133E">
        <w:t>significant</w:t>
      </w:r>
      <w:r w:rsidR="00BF059B" w:rsidRPr="00A3133E">
        <w:t xml:space="preserve"> </w:t>
      </w:r>
      <w:r w:rsidRPr="00A3133E">
        <w:t>cost</w:t>
      </w:r>
      <w:r w:rsidR="00BF059B" w:rsidRPr="00A3133E">
        <w:t xml:space="preserve"> </w:t>
      </w:r>
      <w:r w:rsidRPr="00A3133E">
        <w:t>and</w:t>
      </w:r>
      <w:r w:rsidR="00BF059B" w:rsidRPr="00A3133E">
        <w:t xml:space="preserve"> </w:t>
      </w:r>
      <w:r w:rsidRPr="00A3133E">
        <w:t>a</w:t>
      </w:r>
      <w:r w:rsidR="00BF059B" w:rsidRPr="00A3133E">
        <w:t xml:space="preserve"> </w:t>
      </w:r>
      <w:r w:rsidRPr="00A3133E">
        <w:t>time</w:t>
      </w:r>
      <w:r w:rsidR="00BF059B" w:rsidRPr="00A3133E">
        <w:t xml:space="preserve"> </w:t>
      </w:r>
      <w:r w:rsidRPr="00A3133E">
        <w:t>commitment</w:t>
      </w:r>
      <w:r w:rsidR="00BF059B" w:rsidRPr="00A3133E">
        <w:t xml:space="preserve"> </w:t>
      </w:r>
      <w:r w:rsidRPr="00A3133E">
        <w:t>that</w:t>
      </w:r>
      <w:r w:rsidR="00BF059B" w:rsidRPr="00A3133E">
        <w:t xml:space="preserve"> </w:t>
      </w:r>
      <w:r w:rsidRPr="00A3133E">
        <w:t>is</w:t>
      </w:r>
      <w:r w:rsidR="00BF059B" w:rsidRPr="00A3133E">
        <w:t xml:space="preserve"> </w:t>
      </w:r>
      <w:r w:rsidRPr="00A3133E">
        <w:t>likely</w:t>
      </w:r>
      <w:r w:rsidR="00BF059B" w:rsidRPr="00A3133E">
        <w:t xml:space="preserve"> </w:t>
      </w:r>
      <w:r w:rsidRPr="00A3133E">
        <w:t>to</w:t>
      </w:r>
      <w:r w:rsidR="00BF059B" w:rsidRPr="00A3133E">
        <w:t xml:space="preserve"> </w:t>
      </w:r>
      <w:r w:rsidRPr="00A3133E">
        <w:t>be</w:t>
      </w:r>
      <w:r w:rsidR="00BF059B" w:rsidRPr="00A3133E">
        <w:t xml:space="preserve"> </w:t>
      </w:r>
      <w:r w:rsidRPr="00A3133E">
        <w:t>onerous.</w:t>
      </w:r>
      <w:r w:rsidR="00BF059B" w:rsidRPr="00A3133E">
        <w:t xml:space="preserve"> </w:t>
      </w:r>
      <w:r w:rsidRPr="00A3133E">
        <w:t>Even</w:t>
      </w:r>
      <w:r w:rsidR="00BF059B" w:rsidRPr="00A3133E">
        <w:t xml:space="preserve"> </w:t>
      </w:r>
      <w:r w:rsidRPr="00A3133E">
        <w:t>if</w:t>
      </w:r>
      <w:r w:rsidR="00BF059B" w:rsidRPr="00A3133E">
        <w:t xml:space="preserve"> </w:t>
      </w:r>
      <w:r w:rsidRPr="00A3133E">
        <w:t>valuations</w:t>
      </w:r>
      <w:r w:rsidR="00BF059B" w:rsidRPr="00A3133E">
        <w:t xml:space="preserve"> </w:t>
      </w:r>
      <w:r w:rsidRPr="00A3133E">
        <w:t>could</w:t>
      </w:r>
      <w:r w:rsidR="00BF059B" w:rsidRPr="00A3133E">
        <w:t xml:space="preserve"> </w:t>
      </w:r>
      <w:r w:rsidRPr="00A3133E">
        <w:t>be</w:t>
      </w:r>
      <w:r w:rsidR="00BF059B" w:rsidRPr="00A3133E">
        <w:t xml:space="preserve"> </w:t>
      </w:r>
      <w:r w:rsidRPr="00A3133E">
        <w:t>obtained</w:t>
      </w:r>
      <w:r w:rsidR="00BF059B" w:rsidRPr="00A3133E">
        <w:t xml:space="preserve"> </w:t>
      </w:r>
      <w:r w:rsidRPr="00A3133E">
        <w:t>the</w:t>
      </w:r>
      <w:r w:rsidR="00BF059B" w:rsidRPr="00A3133E">
        <w:t xml:space="preserve"> </w:t>
      </w:r>
      <w:r w:rsidRPr="00A3133E">
        <w:t>cost</w:t>
      </w:r>
      <w:r w:rsidR="00BF059B" w:rsidRPr="00A3133E">
        <w:t xml:space="preserve"> </w:t>
      </w:r>
      <w:r w:rsidRPr="00A3133E">
        <w:t>would</w:t>
      </w:r>
      <w:r w:rsidR="00BF059B" w:rsidRPr="00A3133E">
        <w:t xml:space="preserve"> </w:t>
      </w:r>
      <w:r w:rsidRPr="00A3133E">
        <w:t>not</w:t>
      </w:r>
      <w:r w:rsidR="00BF059B" w:rsidRPr="00A3133E">
        <w:t xml:space="preserve"> </w:t>
      </w:r>
      <w:r w:rsidRPr="00A3133E">
        <w:t>be</w:t>
      </w:r>
      <w:r w:rsidR="00BF059B" w:rsidRPr="00A3133E">
        <w:t xml:space="preserve"> </w:t>
      </w:r>
      <w:r w:rsidRPr="00A3133E">
        <w:t>commensurate</w:t>
      </w:r>
      <w:r w:rsidR="00BF059B" w:rsidRPr="00A3133E">
        <w:t xml:space="preserve"> </w:t>
      </w:r>
      <w:r w:rsidRPr="00A3133E">
        <w:t>with</w:t>
      </w:r>
      <w:r w:rsidR="00BF059B" w:rsidRPr="00A3133E">
        <w:t xml:space="preserve"> </w:t>
      </w:r>
      <w:r w:rsidRPr="00A3133E">
        <w:t>any</w:t>
      </w:r>
      <w:r w:rsidR="00BF059B" w:rsidRPr="00A3133E">
        <w:t xml:space="preserve"> </w:t>
      </w:r>
      <w:r w:rsidRPr="00A3133E">
        <w:t>benefits</w:t>
      </w:r>
      <w:r w:rsidR="00BF059B" w:rsidRPr="00A3133E">
        <w:t xml:space="preserve"> </w:t>
      </w:r>
      <w:r w:rsidRPr="00A3133E">
        <w:t>to</w:t>
      </w:r>
      <w:r w:rsidR="00BF059B" w:rsidRPr="00A3133E">
        <w:t xml:space="preserve"> </w:t>
      </w:r>
      <w:r w:rsidRPr="00A3133E">
        <w:t>the</w:t>
      </w:r>
      <w:r w:rsidR="00BF059B" w:rsidRPr="00A3133E">
        <w:t xml:space="preserve"> </w:t>
      </w:r>
      <w:r w:rsidRPr="00A3133E">
        <w:t>Horniman</w:t>
      </w:r>
      <w:r w:rsidR="00BF059B" w:rsidRPr="00A3133E">
        <w:t xml:space="preserve"> </w:t>
      </w:r>
      <w:r w:rsidRPr="00A3133E">
        <w:t>management,</w:t>
      </w:r>
      <w:r w:rsidR="00BF059B" w:rsidRPr="00A3133E">
        <w:t xml:space="preserve"> </w:t>
      </w:r>
      <w:r w:rsidRPr="00A3133E">
        <w:t>curatorial</w:t>
      </w:r>
      <w:r w:rsidR="00BF059B" w:rsidRPr="00A3133E">
        <w:t xml:space="preserve"> </w:t>
      </w:r>
      <w:r w:rsidRPr="00A3133E">
        <w:t>staff,</w:t>
      </w:r>
      <w:r w:rsidR="00BF059B" w:rsidRPr="00A3133E">
        <w:t xml:space="preserve"> </w:t>
      </w:r>
      <w:r w:rsidRPr="00A3133E">
        <w:t>the</w:t>
      </w:r>
      <w:r w:rsidR="00BF059B" w:rsidRPr="00A3133E">
        <w:t xml:space="preserve"> </w:t>
      </w:r>
      <w:r w:rsidRPr="00A3133E">
        <w:t>public,</w:t>
      </w:r>
      <w:r w:rsidR="00BF059B" w:rsidRPr="00A3133E">
        <w:t xml:space="preserve"> </w:t>
      </w:r>
      <w:r w:rsidRPr="00A3133E">
        <w:t>or</w:t>
      </w:r>
      <w:r w:rsidR="00BF059B" w:rsidRPr="00A3133E">
        <w:t xml:space="preserve"> </w:t>
      </w:r>
      <w:r w:rsidRPr="00A3133E">
        <w:t>users</w:t>
      </w:r>
      <w:r w:rsidR="00BF059B" w:rsidRPr="00A3133E">
        <w:t xml:space="preserve"> </w:t>
      </w:r>
      <w:r w:rsidRPr="00A3133E">
        <w:t>of</w:t>
      </w:r>
      <w:r w:rsidR="00BF059B" w:rsidRPr="00A3133E">
        <w:t xml:space="preserve"> </w:t>
      </w:r>
      <w:r w:rsidRPr="00A3133E">
        <w:t>the</w:t>
      </w:r>
      <w:r w:rsidR="00BF059B" w:rsidRPr="00A3133E">
        <w:t xml:space="preserve"> </w:t>
      </w:r>
      <w:r w:rsidRPr="00A3133E">
        <w:t>financial</w:t>
      </w:r>
      <w:r w:rsidR="00BF059B" w:rsidRPr="00A3133E">
        <w:t xml:space="preserve"> </w:t>
      </w:r>
      <w:r w:rsidRPr="00A3133E">
        <w:t>statements.</w:t>
      </w:r>
      <w:r w:rsidR="00BF059B" w:rsidRPr="00A3133E">
        <w:t xml:space="preserve"> </w:t>
      </w:r>
    </w:p>
    <w:p w14:paraId="40CBD96B" w14:textId="189B95CA" w:rsidR="00BE13A8" w:rsidRPr="00A3133E" w:rsidRDefault="00D70530" w:rsidP="000226C1">
      <w:pPr>
        <w:spacing w:after="120" w:line="276" w:lineRule="auto"/>
        <w:rPr>
          <w:b/>
        </w:rPr>
      </w:pPr>
      <w:r w:rsidRPr="00A3133E">
        <w:t>For</w:t>
      </w:r>
      <w:r w:rsidR="00BF059B" w:rsidRPr="00A3133E">
        <w:t xml:space="preserve"> </w:t>
      </w:r>
      <w:r w:rsidRPr="00A3133E">
        <w:t>this</w:t>
      </w:r>
      <w:r w:rsidR="00BF059B" w:rsidRPr="00A3133E">
        <w:t xml:space="preserve"> </w:t>
      </w:r>
      <w:proofErr w:type="gramStart"/>
      <w:r w:rsidRPr="00A3133E">
        <w:t>reason</w:t>
      </w:r>
      <w:proofErr w:type="gramEnd"/>
      <w:r w:rsidR="00BF059B" w:rsidRPr="00A3133E">
        <w:t xml:space="preserve"> </w:t>
      </w:r>
      <w:r w:rsidRPr="00A3133E">
        <w:t>the</w:t>
      </w:r>
      <w:r w:rsidR="00BF059B" w:rsidRPr="00A3133E">
        <w:t xml:space="preserve"> </w:t>
      </w:r>
      <w:r w:rsidRPr="00A3133E">
        <w:t>Collections</w:t>
      </w:r>
      <w:r w:rsidR="00BF059B" w:rsidRPr="00A3133E">
        <w:t xml:space="preserve"> </w:t>
      </w:r>
      <w:r w:rsidRPr="00A3133E">
        <w:t>assembled</w:t>
      </w:r>
      <w:r w:rsidR="00BF059B" w:rsidRPr="00A3133E">
        <w:t xml:space="preserve"> </w:t>
      </w:r>
      <w:r w:rsidRPr="00A3133E">
        <w:t>up</w:t>
      </w:r>
      <w:r w:rsidR="00BF059B" w:rsidRPr="00A3133E">
        <w:t xml:space="preserve"> </w:t>
      </w:r>
      <w:r w:rsidRPr="00A3133E">
        <w:t>to</w:t>
      </w:r>
      <w:r w:rsidR="00BF059B" w:rsidRPr="00A3133E">
        <w:t xml:space="preserve"> </w:t>
      </w:r>
      <w:r w:rsidRPr="00A3133E">
        <w:t>the</w:t>
      </w:r>
      <w:r w:rsidR="00BF059B" w:rsidRPr="00A3133E">
        <w:t xml:space="preserve"> </w:t>
      </w:r>
      <w:r w:rsidRPr="00A3133E">
        <w:t>end</w:t>
      </w:r>
      <w:r w:rsidR="00BF059B" w:rsidRPr="00A3133E">
        <w:t xml:space="preserve"> </w:t>
      </w:r>
      <w:r w:rsidRPr="00A3133E">
        <w:t>of</w:t>
      </w:r>
      <w:r w:rsidR="00BF059B" w:rsidRPr="00A3133E">
        <w:t xml:space="preserve"> </w:t>
      </w:r>
      <w:r w:rsidRPr="00A3133E">
        <w:t>the</w:t>
      </w:r>
      <w:r w:rsidR="00BF059B" w:rsidRPr="00A3133E">
        <w:t xml:space="preserve"> </w:t>
      </w:r>
      <w:r w:rsidRPr="00A3133E">
        <w:t>twentieth</w:t>
      </w:r>
      <w:r w:rsidR="00BF059B" w:rsidRPr="00A3133E">
        <w:t xml:space="preserve"> </w:t>
      </w:r>
      <w:r w:rsidRPr="00A3133E">
        <w:t>century,</w:t>
      </w:r>
      <w:r w:rsidR="00BF059B" w:rsidRPr="00A3133E">
        <w:t xml:space="preserve"> </w:t>
      </w:r>
      <w:r w:rsidRPr="00A3133E">
        <w:t>large</w:t>
      </w:r>
      <w:r w:rsidR="00BF059B" w:rsidRPr="00A3133E">
        <w:t xml:space="preserve"> </w:t>
      </w:r>
      <w:r w:rsidRPr="00A3133E">
        <w:t>proportions</w:t>
      </w:r>
      <w:r w:rsidR="00BF059B" w:rsidRPr="00A3133E">
        <w:t xml:space="preserve"> </w:t>
      </w:r>
      <w:r w:rsidRPr="00A3133E">
        <w:t>of</w:t>
      </w:r>
      <w:r w:rsidR="00BF059B" w:rsidRPr="00A3133E">
        <w:t xml:space="preserve"> </w:t>
      </w:r>
      <w:r w:rsidRPr="00A3133E">
        <w:t>which</w:t>
      </w:r>
      <w:r w:rsidR="00BF059B" w:rsidRPr="00A3133E">
        <w:t xml:space="preserve"> </w:t>
      </w:r>
      <w:r w:rsidRPr="00A3133E">
        <w:t>were</w:t>
      </w:r>
      <w:r w:rsidR="00BF059B" w:rsidRPr="00A3133E">
        <w:t xml:space="preserve"> </w:t>
      </w:r>
      <w:r w:rsidRPr="00A3133E">
        <w:t>gifted</w:t>
      </w:r>
      <w:r w:rsidR="00BF059B" w:rsidRPr="00A3133E">
        <w:t xml:space="preserve"> </w:t>
      </w:r>
      <w:r w:rsidRPr="00A3133E">
        <w:t>to</w:t>
      </w:r>
      <w:r w:rsidR="00BF059B" w:rsidRPr="00A3133E">
        <w:t xml:space="preserve"> </w:t>
      </w:r>
      <w:r w:rsidRPr="00A3133E">
        <w:t>the</w:t>
      </w:r>
      <w:r w:rsidR="00BF059B" w:rsidRPr="00A3133E">
        <w:t xml:space="preserve"> </w:t>
      </w:r>
      <w:r w:rsidRPr="00A3133E">
        <w:t>Horniman</w:t>
      </w:r>
      <w:r w:rsidR="00BF059B" w:rsidRPr="00A3133E">
        <w:t xml:space="preserve"> </w:t>
      </w:r>
      <w:r w:rsidRPr="00A3133E">
        <w:t>at</w:t>
      </w:r>
      <w:r w:rsidR="00BF059B" w:rsidRPr="00A3133E">
        <w:t xml:space="preserve"> </w:t>
      </w:r>
      <w:r w:rsidRPr="00A3133E">
        <w:t>nil</w:t>
      </w:r>
      <w:r w:rsidR="00BF059B" w:rsidRPr="00A3133E">
        <w:t xml:space="preserve"> </w:t>
      </w:r>
      <w:r w:rsidRPr="00A3133E">
        <w:t>cost,</w:t>
      </w:r>
      <w:r w:rsidR="00BF059B" w:rsidRPr="00A3133E">
        <w:t xml:space="preserve"> </w:t>
      </w:r>
      <w:r w:rsidRPr="00A3133E">
        <w:t>and</w:t>
      </w:r>
      <w:r w:rsidR="00BF059B" w:rsidRPr="00A3133E">
        <w:t xml:space="preserve"> </w:t>
      </w:r>
      <w:r w:rsidRPr="00A3133E">
        <w:t>are</w:t>
      </w:r>
      <w:r w:rsidR="00BF059B" w:rsidRPr="00A3133E">
        <w:t xml:space="preserve"> </w:t>
      </w:r>
      <w:r w:rsidRPr="00A3133E">
        <w:t>incomparable</w:t>
      </w:r>
      <w:r w:rsidR="00BF059B" w:rsidRPr="00A3133E">
        <w:t xml:space="preserve"> </w:t>
      </w:r>
      <w:r w:rsidRPr="00A3133E">
        <w:t>in</w:t>
      </w:r>
      <w:r w:rsidR="00BF059B" w:rsidRPr="00A3133E">
        <w:t xml:space="preserve"> </w:t>
      </w:r>
      <w:r w:rsidRPr="00A3133E">
        <w:t>nature,</w:t>
      </w:r>
      <w:r w:rsidR="00BF059B" w:rsidRPr="00A3133E">
        <w:t xml:space="preserve"> </w:t>
      </w:r>
      <w:r w:rsidRPr="00A3133E">
        <w:t>are</w:t>
      </w:r>
      <w:r w:rsidR="00BF059B" w:rsidRPr="00A3133E">
        <w:t xml:space="preserve"> </w:t>
      </w:r>
      <w:r w:rsidRPr="00A3133E">
        <w:t>not</w:t>
      </w:r>
      <w:r w:rsidR="00BF059B" w:rsidRPr="00A3133E">
        <w:t xml:space="preserve"> </w:t>
      </w:r>
      <w:r w:rsidRPr="00A3133E">
        <w:t>recognised</w:t>
      </w:r>
      <w:r w:rsidR="00BF059B" w:rsidRPr="00A3133E">
        <w:t xml:space="preserve"> </w:t>
      </w:r>
      <w:r w:rsidRPr="00A3133E">
        <w:t>as</w:t>
      </w:r>
      <w:r w:rsidR="00BF059B" w:rsidRPr="00A3133E">
        <w:t xml:space="preserve"> </w:t>
      </w:r>
      <w:r w:rsidRPr="00A3133E">
        <w:t>assets</w:t>
      </w:r>
      <w:r w:rsidR="00BF059B" w:rsidRPr="00A3133E">
        <w:t xml:space="preserve"> </w:t>
      </w:r>
      <w:r w:rsidRPr="00A3133E">
        <w:t>in</w:t>
      </w:r>
      <w:r w:rsidR="00BF059B" w:rsidRPr="00A3133E">
        <w:t xml:space="preserve"> </w:t>
      </w:r>
      <w:r w:rsidRPr="00A3133E">
        <w:t>the</w:t>
      </w:r>
      <w:r w:rsidR="00BF059B" w:rsidRPr="00A3133E">
        <w:t xml:space="preserve"> </w:t>
      </w:r>
      <w:r w:rsidRPr="00A3133E">
        <w:t>Horniman’s</w:t>
      </w:r>
      <w:r w:rsidR="00BF059B" w:rsidRPr="00A3133E">
        <w:t xml:space="preserve"> </w:t>
      </w:r>
      <w:r w:rsidRPr="00A3133E">
        <w:t>Balance</w:t>
      </w:r>
      <w:r w:rsidR="00BF059B" w:rsidRPr="00A3133E">
        <w:t xml:space="preserve"> </w:t>
      </w:r>
      <w:r w:rsidRPr="00A3133E">
        <w:t>Sheet</w:t>
      </w:r>
      <w:r w:rsidR="00BF059B" w:rsidRPr="00A3133E">
        <w:t xml:space="preserve"> </w:t>
      </w:r>
      <w:r w:rsidRPr="00A3133E">
        <w:t>except</w:t>
      </w:r>
      <w:r w:rsidR="00BF059B" w:rsidRPr="00A3133E">
        <w:t xml:space="preserve"> </w:t>
      </w:r>
      <w:r w:rsidRPr="00A3133E">
        <w:t>where</w:t>
      </w:r>
      <w:r w:rsidR="00BF059B" w:rsidRPr="00A3133E">
        <w:t xml:space="preserve"> </w:t>
      </w:r>
      <w:r w:rsidRPr="00A3133E">
        <w:t>cost</w:t>
      </w:r>
      <w:r w:rsidR="00BF059B" w:rsidRPr="00A3133E">
        <w:t xml:space="preserve"> </w:t>
      </w:r>
      <w:r w:rsidRPr="00A3133E">
        <w:t>or</w:t>
      </w:r>
      <w:r w:rsidR="00BF059B" w:rsidRPr="00A3133E">
        <w:t xml:space="preserve"> </w:t>
      </w:r>
      <w:r w:rsidRPr="00A3133E">
        <w:t>valuation</w:t>
      </w:r>
      <w:r w:rsidR="00BF059B" w:rsidRPr="00A3133E">
        <w:t xml:space="preserve"> </w:t>
      </w:r>
      <w:r w:rsidRPr="00A3133E">
        <w:t>is</w:t>
      </w:r>
      <w:r w:rsidR="00BF059B" w:rsidRPr="00A3133E">
        <w:t xml:space="preserve"> </w:t>
      </w:r>
      <w:r w:rsidRPr="00A3133E">
        <w:t>already</w:t>
      </w:r>
      <w:r w:rsidR="00BF059B" w:rsidRPr="00A3133E">
        <w:t xml:space="preserve"> </w:t>
      </w:r>
      <w:r w:rsidRPr="00A3133E">
        <w:t>available.</w:t>
      </w:r>
    </w:p>
    <w:p w14:paraId="6760AEB7" w14:textId="78718E6D" w:rsidR="00BE13A8" w:rsidRDefault="00033508">
      <w:pPr>
        <w:rPr>
          <w:b/>
          <w:color w:val="FF0000"/>
          <w:sz w:val="20"/>
          <w:szCs w:val="20"/>
        </w:rPr>
      </w:pPr>
      <w:r>
        <w:rPr>
          <w:b/>
          <w:color w:val="FF0000"/>
        </w:rPr>
        <w:lastRenderedPageBreak/>
        <w:pict w14:anchorId="2FCF9705">
          <v:shape id="_x0000_i1034" type="#_x0000_t75" alt="Capital commitments at 31 March 2025 amounted to £97K in repect of the main lift replacement&#10;&#10;17 - tangible fixed assets listed&#10;&#10;18 - intangible fixed assets" style="width:498pt;height:663.35pt">
            <v:imagedata r:id="rId21" o:title=""/>
          </v:shape>
        </w:pict>
      </w:r>
    </w:p>
    <w:p w14:paraId="031BA250" w14:textId="77E6BA53" w:rsidR="00BE13A8" w:rsidRDefault="00033508">
      <w:pPr>
        <w:rPr>
          <w:b/>
          <w:color w:val="FF0000"/>
        </w:rPr>
      </w:pPr>
      <w:r>
        <w:rPr>
          <w:b/>
          <w:color w:val="FF0000"/>
        </w:rPr>
        <w:lastRenderedPageBreak/>
        <w:pict w14:anchorId="49E17987">
          <v:shape id="_x0000_i1035" type="#_x0000_t75" alt="Details of debtors, cash, creditors, contingent libabilities" style="width:493.35pt;height:662.65pt">
            <v:imagedata r:id="rId22" o:title=""/>
          </v:shape>
        </w:pict>
      </w:r>
    </w:p>
    <w:p w14:paraId="562E85E4" w14:textId="77777777" w:rsidR="00BE13A8" w:rsidRDefault="00BE13A8">
      <w:pPr>
        <w:rPr>
          <w:b/>
          <w:color w:val="FF0000"/>
        </w:rPr>
      </w:pPr>
    </w:p>
    <w:p w14:paraId="51D369D3" w14:textId="3211039B" w:rsidR="00BE13A8" w:rsidRDefault="00033508">
      <w:pPr>
        <w:rPr>
          <w:b/>
          <w:color w:val="FF0000"/>
        </w:rPr>
      </w:pPr>
      <w:r>
        <w:rPr>
          <w:b/>
          <w:color w:val="FF0000"/>
        </w:rPr>
        <w:lastRenderedPageBreak/>
        <w:pict w14:anchorId="69FFFA4B">
          <v:shape id="_x0000_i1036" type="#_x0000_t75" alt="24. analysis of group net assets between funds&#10;25. statement of funds 2025" style="width:492.65pt;height:608.65pt">
            <v:imagedata r:id="rId23" o:title=""/>
          </v:shape>
        </w:pict>
      </w:r>
    </w:p>
    <w:p w14:paraId="368FA702" w14:textId="77777777" w:rsidR="00BE13A8" w:rsidRDefault="00BE13A8">
      <w:pPr>
        <w:rPr>
          <w:b/>
          <w:i/>
          <w:color w:val="FF0000"/>
        </w:rPr>
      </w:pPr>
    </w:p>
    <w:p w14:paraId="4006CC05" w14:textId="77777777" w:rsidR="00BE13A8" w:rsidRDefault="00BE13A8">
      <w:pPr>
        <w:rPr>
          <w:b/>
          <w:i/>
          <w:color w:val="FF0000"/>
        </w:rPr>
      </w:pPr>
    </w:p>
    <w:p w14:paraId="5FCDC2EB" w14:textId="21059BB5" w:rsidR="00BE13A8" w:rsidRDefault="00033508">
      <w:pPr>
        <w:rPr>
          <w:b/>
          <w:color w:val="FF0000"/>
        </w:rPr>
      </w:pPr>
      <w:r>
        <w:rPr>
          <w:b/>
          <w:color w:val="FF0000"/>
        </w:rPr>
        <w:lastRenderedPageBreak/>
        <w:pict w14:anchorId="1C320FAD">
          <v:shape id="_x0000_i1037" type="#_x0000_t75" alt="Statement of funds 2024&#10;&#10;26. Reconciliation of net income/expenditure to net cash flow from operating activities&#10;&#10;" style="width:494.65pt;height:612pt">
            <v:imagedata r:id="rId24" o:title=""/>
          </v:shape>
        </w:pict>
      </w:r>
    </w:p>
    <w:p w14:paraId="73BB88CF" w14:textId="77777777" w:rsidR="00BE13A8" w:rsidRDefault="00BE13A8">
      <w:pPr>
        <w:rPr>
          <w:b/>
          <w:i/>
          <w:color w:val="FF0000"/>
        </w:rPr>
      </w:pPr>
    </w:p>
    <w:p w14:paraId="7C7C6C6D" w14:textId="77777777" w:rsidR="00BE13A8" w:rsidRDefault="00BE13A8">
      <w:pPr>
        <w:rPr>
          <w:b/>
          <w:i/>
          <w:color w:val="FF0000"/>
        </w:rPr>
      </w:pPr>
    </w:p>
    <w:p w14:paraId="4C587BEC" w14:textId="77777777" w:rsidR="00BE13A8" w:rsidRDefault="00BE13A8">
      <w:pPr>
        <w:rPr>
          <w:b/>
          <w:i/>
          <w:color w:val="FF0000"/>
        </w:rPr>
      </w:pPr>
    </w:p>
    <w:p w14:paraId="7996DCFB" w14:textId="77777777" w:rsidR="00BE13A8" w:rsidRDefault="00BE13A8">
      <w:pPr>
        <w:rPr>
          <w:b/>
          <w:color w:val="FF0000"/>
        </w:rPr>
      </w:pPr>
    </w:p>
    <w:p w14:paraId="2BA877A1" w14:textId="77777777" w:rsidR="00BE13A8" w:rsidRDefault="00BE13A8">
      <w:pPr>
        <w:rPr>
          <w:b/>
          <w:color w:val="FF0000"/>
        </w:rPr>
      </w:pPr>
    </w:p>
    <w:p w14:paraId="79022B6F" w14:textId="511D7697" w:rsidR="00BE13A8" w:rsidRDefault="00033508">
      <w:pPr>
        <w:rPr>
          <w:b/>
          <w:color w:val="FF0000"/>
        </w:rPr>
      </w:pPr>
      <w:r>
        <w:rPr>
          <w:b/>
          <w:color w:val="FF0000"/>
        </w:rPr>
        <w:lastRenderedPageBreak/>
        <w:pict w14:anchorId="47902010">
          <v:shape id="_x0000_i1038" type="#_x0000_t75" alt="27. Pension scheme details" style="width:490.65pt;height:626pt">
            <v:imagedata r:id="rId25" o:title=""/>
          </v:shape>
        </w:pict>
      </w:r>
    </w:p>
    <w:p w14:paraId="63493A42" w14:textId="77777777" w:rsidR="00BE13A8" w:rsidRDefault="00BE13A8">
      <w:pPr>
        <w:rPr>
          <w:b/>
          <w:i/>
          <w:color w:val="FF0000"/>
        </w:rPr>
      </w:pPr>
    </w:p>
    <w:p w14:paraId="25251934" w14:textId="4DF437F9" w:rsidR="00BE13A8" w:rsidRPr="007E1C9E" w:rsidRDefault="00033508">
      <w:pPr>
        <w:rPr>
          <w:b/>
          <w:color w:val="FF0000"/>
        </w:rPr>
      </w:pPr>
      <w:r>
        <w:rPr>
          <w:b/>
          <w:color w:val="FF0000"/>
        </w:rPr>
        <w:lastRenderedPageBreak/>
        <w:pict w14:anchorId="7F2AD2D6">
          <v:shape id="_x0000_i1039" type="#_x0000_t75" alt="Details of benefit obligations and fair value of employer assets&#10;&#10;28 Related party transactions" style="width:491.35pt;height:516.65pt">
            <v:imagedata r:id="rId26" o:title=""/>
          </v:shape>
        </w:pict>
      </w:r>
    </w:p>
    <w:p w14:paraId="1B44B4C9" w14:textId="382137CC" w:rsidR="00BE13A8" w:rsidRPr="007E1C9E" w:rsidRDefault="00D70530" w:rsidP="007E1C9E">
      <w:pPr>
        <w:pStyle w:val="Heading2"/>
      </w:pPr>
      <w:r w:rsidRPr="007E1C9E">
        <w:t>Appendix</w:t>
      </w:r>
      <w:r w:rsidR="00BF059B" w:rsidRPr="007E1C9E">
        <w:t xml:space="preserve"> </w:t>
      </w:r>
      <w:r w:rsidRPr="007E1C9E">
        <w:t>I</w:t>
      </w:r>
    </w:p>
    <w:p w14:paraId="35D85524" w14:textId="77777777" w:rsidR="00BE13A8" w:rsidRDefault="00BE13A8">
      <w:pPr>
        <w:rPr>
          <w:b/>
          <w:i/>
          <w:color w:val="FF0000"/>
        </w:rPr>
      </w:pPr>
    </w:p>
    <w:p w14:paraId="474722EA" w14:textId="0B2999BB" w:rsidR="00BE13A8" w:rsidRDefault="00D70530" w:rsidP="007E1C9E">
      <w:pPr>
        <w:pStyle w:val="Heading3"/>
      </w:pPr>
      <w:r>
        <w:t>Additional</w:t>
      </w:r>
      <w:r w:rsidR="00BF059B">
        <w:t xml:space="preserve"> </w:t>
      </w:r>
      <w:r>
        <w:t>information</w:t>
      </w:r>
    </w:p>
    <w:p w14:paraId="0F1346E0" w14:textId="77777777" w:rsidR="00BE13A8" w:rsidRDefault="00BE13A8">
      <w:pPr>
        <w:rPr>
          <w:b/>
        </w:rPr>
      </w:pPr>
    </w:p>
    <w:p w14:paraId="7192A702" w14:textId="4CA37227" w:rsidR="00BE13A8" w:rsidRDefault="00D70530">
      <w:pPr>
        <w:jc w:val="both"/>
        <w:rPr>
          <w:sz w:val="22"/>
          <w:szCs w:val="22"/>
        </w:rPr>
      </w:pPr>
      <w:r>
        <w:rPr>
          <w:sz w:val="22"/>
          <w:szCs w:val="22"/>
        </w:rPr>
        <w:t>This</w:t>
      </w:r>
      <w:r w:rsidR="00BF059B">
        <w:rPr>
          <w:sz w:val="22"/>
          <w:szCs w:val="22"/>
        </w:rPr>
        <w:t xml:space="preserve"> </w:t>
      </w:r>
      <w:r>
        <w:rPr>
          <w:sz w:val="22"/>
          <w:szCs w:val="22"/>
        </w:rPr>
        <w:t>information</w:t>
      </w:r>
      <w:r w:rsidR="00BF059B">
        <w:rPr>
          <w:sz w:val="22"/>
          <w:szCs w:val="22"/>
        </w:rPr>
        <w:t xml:space="preserve"> </w:t>
      </w:r>
      <w:r>
        <w:rPr>
          <w:sz w:val="22"/>
          <w:szCs w:val="22"/>
        </w:rPr>
        <w:t>has</w:t>
      </w:r>
      <w:r w:rsidR="00BF059B">
        <w:rPr>
          <w:sz w:val="22"/>
          <w:szCs w:val="22"/>
        </w:rPr>
        <w:t xml:space="preserve"> </w:t>
      </w:r>
      <w:r>
        <w:rPr>
          <w:sz w:val="22"/>
          <w:szCs w:val="22"/>
        </w:rPr>
        <w:t>been</w:t>
      </w:r>
      <w:r w:rsidR="00BF059B">
        <w:rPr>
          <w:sz w:val="22"/>
          <w:szCs w:val="22"/>
        </w:rPr>
        <w:t xml:space="preserve"> </w:t>
      </w:r>
      <w:r>
        <w:rPr>
          <w:sz w:val="22"/>
          <w:szCs w:val="22"/>
        </w:rPr>
        <w:t>prepared</w:t>
      </w:r>
      <w:r w:rsidR="00BF059B">
        <w:rPr>
          <w:sz w:val="22"/>
          <w:szCs w:val="22"/>
        </w:rPr>
        <w:t xml:space="preserve"> </w:t>
      </w:r>
      <w:r>
        <w:rPr>
          <w:sz w:val="22"/>
          <w:szCs w:val="22"/>
        </w:rPr>
        <w:t>from</w:t>
      </w:r>
      <w:r w:rsidR="00BF059B">
        <w:rPr>
          <w:sz w:val="22"/>
          <w:szCs w:val="22"/>
        </w:rPr>
        <w:t xml:space="preserve"> </w:t>
      </w:r>
      <w:r>
        <w:rPr>
          <w:sz w:val="22"/>
          <w:szCs w:val="22"/>
        </w:rPr>
        <w:t>the</w:t>
      </w:r>
      <w:r w:rsidR="00BF059B">
        <w:rPr>
          <w:sz w:val="22"/>
          <w:szCs w:val="22"/>
        </w:rPr>
        <w:t xml:space="preserve"> </w:t>
      </w:r>
      <w:r>
        <w:rPr>
          <w:sz w:val="22"/>
          <w:szCs w:val="22"/>
        </w:rPr>
        <w:t>accounting</w:t>
      </w:r>
      <w:r w:rsidR="00BF059B">
        <w:rPr>
          <w:sz w:val="22"/>
          <w:szCs w:val="22"/>
        </w:rPr>
        <w:t xml:space="preserve"> </w:t>
      </w:r>
      <w:r>
        <w:rPr>
          <w:sz w:val="22"/>
          <w:szCs w:val="22"/>
        </w:rPr>
        <w:t>and</w:t>
      </w:r>
      <w:r w:rsidR="00BF059B">
        <w:rPr>
          <w:sz w:val="22"/>
          <w:szCs w:val="22"/>
        </w:rPr>
        <w:t xml:space="preserve"> </w:t>
      </w:r>
      <w:r>
        <w:rPr>
          <w:sz w:val="22"/>
          <w:szCs w:val="22"/>
        </w:rPr>
        <w:t>other</w:t>
      </w:r>
      <w:r w:rsidR="00BF059B">
        <w:rPr>
          <w:sz w:val="22"/>
          <w:szCs w:val="22"/>
        </w:rPr>
        <w:t xml:space="preserve"> </w:t>
      </w:r>
      <w:r>
        <w:rPr>
          <w:sz w:val="22"/>
          <w:szCs w:val="22"/>
        </w:rPr>
        <w:t>records</w:t>
      </w:r>
      <w:r w:rsidR="00BF059B">
        <w:rPr>
          <w:sz w:val="22"/>
          <w:szCs w:val="22"/>
        </w:rPr>
        <w:t xml:space="preserve"> </w:t>
      </w:r>
      <w:r>
        <w:rPr>
          <w:sz w:val="22"/>
          <w:szCs w:val="22"/>
        </w:rPr>
        <w:t>of</w:t>
      </w:r>
      <w:r w:rsidR="00BF059B">
        <w:rPr>
          <w:sz w:val="22"/>
          <w:szCs w:val="22"/>
        </w:rPr>
        <w:t xml:space="preserve"> </w:t>
      </w:r>
      <w:r>
        <w:rPr>
          <w:sz w:val="22"/>
          <w:szCs w:val="22"/>
        </w:rPr>
        <w:t>the</w:t>
      </w:r>
      <w:r w:rsidR="00BF059B">
        <w:rPr>
          <w:sz w:val="22"/>
          <w:szCs w:val="22"/>
        </w:rPr>
        <w:t xml:space="preserve"> </w:t>
      </w:r>
      <w:r>
        <w:rPr>
          <w:sz w:val="22"/>
          <w:szCs w:val="22"/>
        </w:rPr>
        <w:t>group.</w:t>
      </w:r>
      <w:r w:rsidR="00BF059B">
        <w:rPr>
          <w:sz w:val="22"/>
          <w:szCs w:val="22"/>
        </w:rPr>
        <w:t xml:space="preserve"> </w:t>
      </w:r>
      <w:r>
        <w:rPr>
          <w:sz w:val="22"/>
          <w:szCs w:val="22"/>
        </w:rPr>
        <w:t>While</w:t>
      </w:r>
      <w:r w:rsidR="00BF059B">
        <w:rPr>
          <w:sz w:val="22"/>
          <w:szCs w:val="22"/>
        </w:rPr>
        <w:t xml:space="preserve"> </w:t>
      </w:r>
      <w:r>
        <w:rPr>
          <w:sz w:val="22"/>
          <w:szCs w:val="22"/>
        </w:rPr>
        <w:t>it</w:t>
      </w:r>
      <w:r w:rsidR="00BF059B">
        <w:rPr>
          <w:sz w:val="22"/>
          <w:szCs w:val="22"/>
        </w:rPr>
        <w:t xml:space="preserve"> </w:t>
      </w:r>
      <w:r>
        <w:rPr>
          <w:sz w:val="22"/>
          <w:szCs w:val="22"/>
        </w:rPr>
        <w:t>does</w:t>
      </w:r>
      <w:r w:rsidR="00BF059B">
        <w:rPr>
          <w:sz w:val="22"/>
          <w:szCs w:val="22"/>
        </w:rPr>
        <w:t xml:space="preserve"> </w:t>
      </w:r>
      <w:r>
        <w:rPr>
          <w:sz w:val="22"/>
          <w:szCs w:val="22"/>
        </w:rPr>
        <w:t>not</w:t>
      </w:r>
      <w:r w:rsidR="00BF059B">
        <w:rPr>
          <w:sz w:val="22"/>
          <w:szCs w:val="22"/>
        </w:rPr>
        <w:t xml:space="preserve"> </w:t>
      </w:r>
      <w:r>
        <w:rPr>
          <w:sz w:val="22"/>
          <w:szCs w:val="22"/>
        </w:rPr>
        <w:t>form</w:t>
      </w:r>
      <w:r w:rsidR="00BF059B">
        <w:rPr>
          <w:sz w:val="22"/>
          <w:szCs w:val="22"/>
        </w:rPr>
        <w:t xml:space="preserve"> </w:t>
      </w:r>
      <w:r>
        <w:rPr>
          <w:sz w:val="22"/>
          <w:szCs w:val="22"/>
        </w:rPr>
        <w:t>part</w:t>
      </w:r>
      <w:r w:rsidR="00BF059B">
        <w:rPr>
          <w:sz w:val="22"/>
          <w:szCs w:val="22"/>
        </w:rPr>
        <w:t xml:space="preserve"> </w:t>
      </w:r>
      <w:r>
        <w:rPr>
          <w:sz w:val="22"/>
          <w:szCs w:val="22"/>
        </w:rPr>
        <w:t>of</w:t>
      </w:r>
      <w:r w:rsidR="00BF059B">
        <w:rPr>
          <w:sz w:val="22"/>
          <w:szCs w:val="22"/>
        </w:rPr>
        <w:t xml:space="preserve"> </w:t>
      </w:r>
      <w:r>
        <w:rPr>
          <w:sz w:val="22"/>
          <w:szCs w:val="22"/>
        </w:rPr>
        <w:t>the</w:t>
      </w:r>
      <w:r w:rsidR="00BF059B">
        <w:rPr>
          <w:sz w:val="22"/>
          <w:szCs w:val="22"/>
        </w:rPr>
        <w:t xml:space="preserve"> </w:t>
      </w:r>
      <w:r>
        <w:rPr>
          <w:sz w:val="22"/>
          <w:szCs w:val="22"/>
        </w:rPr>
        <w:t>statutory</w:t>
      </w:r>
      <w:r w:rsidR="00BF059B">
        <w:rPr>
          <w:sz w:val="22"/>
          <w:szCs w:val="22"/>
        </w:rPr>
        <w:t xml:space="preserve"> </w:t>
      </w:r>
      <w:r>
        <w:rPr>
          <w:sz w:val="22"/>
          <w:szCs w:val="22"/>
        </w:rPr>
        <w:t>financial</w:t>
      </w:r>
      <w:r w:rsidR="00BF059B">
        <w:rPr>
          <w:sz w:val="22"/>
          <w:szCs w:val="22"/>
        </w:rPr>
        <w:t xml:space="preserve"> </w:t>
      </w:r>
      <w:r>
        <w:rPr>
          <w:sz w:val="22"/>
          <w:szCs w:val="22"/>
        </w:rPr>
        <w:t>statements,</w:t>
      </w:r>
      <w:r w:rsidR="00BF059B">
        <w:rPr>
          <w:sz w:val="22"/>
          <w:szCs w:val="22"/>
        </w:rPr>
        <w:t xml:space="preserve"> </w:t>
      </w:r>
      <w:r>
        <w:rPr>
          <w:sz w:val="22"/>
          <w:szCs w:val="22"/>
        </w:rPr>
        <w:t>it</w:t>
      </w:r>
      <w:r w:rsidR="00BF059B">
        <w:rPr>
          <w:sz w:val="22"/>
          <w:szCs w:val="22"/>
        </w:rPr>
        <w:t xml:space="preserve"> </w:t>
      </w:r>
      <w:r>
        <w:rPr>
          <w:sz w:val="22"/>
          <w:szCs w:val="22"/>
        </w:rPr>
        <w:t>should</w:t>
      </w:r>
      <w:r w:rsidR="00BF059B">
        <w:rPr>
          <w:sz w:val="22"/>
          <w:szCs w:val="22"/>
        </w:rPr>
        <w:t xml:space="preserve"> </w:t>
      </w:r>
      <w:r>
        <w:rPr>
          <w:sz w:val="22"/>
          <w:szCs w:val="22"/>
        </w:rPr>
        <w:t>be</w:t>
      </w:r>
      <w:r w:rsidR="00BF059B">
        <w:rPr>
          <w:sz w:val="22"/>
          <w:szCs w:val="22"/>
        </w:rPr>
        <w:t xml:space="preserve"> </w:t>
      </w:r>
      <w:r>
        <w:rPr>
          <w:sz w:val="22"/>
          <w:szCs w:val="22"/>
        </w:rPr>
        <w:t>read</w:t>
      </w:r>
      <w:r w:rsidR="00BF059B">
        <w:rPr>
          <w:sz w:val="22"/>
          <w:szCs w:val="22"/>
        </w:rPr>
        <w:t xml:space="preserve"> </w:t>
      </w:r>
      <w:r>
        <w:rPr>
          <w:sz w:val="22"/>
          <w:szCs w:val="22"/>
        </w:rPr>
        <w:t>in</w:t>
      </w:r>
      <w:r w:rsidR="00BF059B">
        <w:rPr>
          <w:sz w:val="22"/>
          <w:szCs w:val="22"/>
        </w:rPr>
        <w:t xml:space="preserve"> </w:t>
      </w:r>
      <w:r>
        <w:rPr>
          <w:sz w:val="22"/>
          <w:szCs w:val="22"/>
        </w:rPr>
        <w:t>conjunction</w:t>
      </w:r>
      <w:r w:rsidR="00BF059B">
        <w:rPr>
          <w:sz w:val="22"/>
          <w:szCs w:val="22"/>
        </w:rPr>
        <w:t xml:space="preserve"> </w:t>
      </w:r>
      <w:r>
        <w:rPr>
          <w:sz w:val="22"/>
          <w:szCs w:val="22"/>
        </w:rPr>
        <w:t>with</w:t>
      </w:r>
      <w:r w:rsidR="00BF059B">
        <w:rPr>
          <w:sz w:val="22"/>
          <w:szCs w:val="22"/>
        </w:rPr>
        <w:t xml:space="preserve"> </w:t>
      </w:r>
      <w:r>
        <w:rPr>
          <w:sz w:val="22"/>
          <w:szCs w:val="22"/>
        </w:rPr>
        <w:t>them</w:t>
      </w:r>
      <w:r w:rsidR="00BF059B">
        <w:rPr>
          <w:sz w:val="22"/>
          <w:szCs w:val="22"/>
        </w:rPr>
        <w:t xml:space="preserve"> </w:t>
      </w:r>
      <w:r>
        <w:rPr>
          <w:sz w:val="22"/>
          <w:szCs w:val="22"/>
        </w:rPr>
        <w:t>and</w:t>
      </w:r>
      <w:r w:rsidR="00BF059B">
        <w:rPr>
          <w:sz w:val="22"/>
          <w:szCs w:val="22"/>
        </w:rPr>
        <w:t xml:space="preserve"> </w:t>
      </w:r>
      <w:r>
        <w:rPr>
          <w:sz w:val="22"/>
          <w:szCs w:val="22"/>
        </w:rPr>
        <w:t>the</w:t>
      </w:r>
      <w:r w:rsidR="00BF059B">
        <w:rPr>
          <w:sz w:val="22"/>
          <w:szCs w:val="22"/>
        </w:rPr>
        <w:t xml:space="preserve"> </w:t>
      </w:r>
      <w:r>
        <w:rPr>
          <w:sz w:val="22"/>
          <w:szCs w:val="22"/>
        </w:rPr>
        <w:t>auditors’</w:t>
      </w:r>
      <w:r w:rsidR="00BF059B">
        <w:rPr>
          <w:sz w:val="22"/>
          <w:szCs w:val="22"/>
        </w:rPr>
        <w:t xml:space="preserve"> </w:t>
      </w:r>
      <w:r>
        <w:rPr>
          <w:sz w:val="22"/>
          <w:szCs w:val="22"/>
        </w:rPr>
        <w:t>report</w:t>
      </w:r>
      <w:r w:rsidR="00BF059B">
        <w:rPr>
          <w:sz w:val="22"/>
          <w:szCs w:val="22"/>
        </w:rPr>
        <w:t xml:space="preserve"> </w:t>
      </w:r>
      <w:r>
        <w:rPr>
          <w:sz w:val="22"/>
          <w:szCs w:val="22"/>
        </w:rPr>
        <w:t>thereon.</w:t>
      </w:r>
    </w:p>
    <w:p w14:paraId="00091C87" w14:textId="77777777" w:rsidR="00BE13A8" w:rsidRDefault="00BE13A8">
      <w:pPr>
        <w:rPr>
          <w:i/>
          <w:color w:val="FF0000"/>
        </w:rPr>
      </w:pPr>
    </w:p>
    <w:tbl>
      <w:tblPr>
        <w:tblStyle w:val="1"/>
        <w:tblW w:w="9634" w:type="dxa"/>
        <w:tblLayout w:type="fixed"/>
        <w:tblLook w:val="0420" w:firstRow="1" w:lastRow="0" w:firstColumn="0" w:lastColumn="0" w:noHBand="0" w:noVBand="1"/>
        <w:tblCaption w:val="DCMS performance indicators annual outturn"/>
        <w:tblDescription w:val="Details of KPIS over two years"/>
      </w:tblPr>
      <w:tblGrid>
        <w:gridCol w:w="7225"/>
        <w:gridCol w:w="1134"/>
        <w:gridCol w:w="1275"/>
      </w:tblGrid>
      <w:tr w:rsidR="00BE13A8" w14:paraId="3BF9129E" w14:textId="77777777" w:rsidTr="007E1C9E">
        <w:trPr>
          <w:trHeight w:val="288"/>
          <w:tblHeader/>
        </w:trPr>
        <w:tc>
          <w:tcPr>
            <w:tcW w:w="7225" w:type="dxa"/>
            <w:tcBorders>
              <w:top w:val="single" w:sz="4" w:space="0" w:color="000000"/>
              <w:left w:val="single" w:sz="4" w:space="0" w:color="000000"/>
              <w:bottom w:val="nil"/>
              <w:right w:val="single" w:sz="4" w:space="0" w:color="000000"/>
            </w:tcBorders>
            <w:vAlign w:val="bottom"/>
          </w:tcPr>
          <w:p w14:paraId="78981558" w14:textId="61CAD343" w:rsidR="00BE13A8" w:rsidRDefault="00D70530">
            <w:pPr>
              <w:rPr>
                <w:rFonts w:ascii="Aptos Narrow" w:eastAsia="Aptos Narrow" w:hAnsi="Aptos Narrow" w:cs="Aptos Narrow"/>
                <w:b/>
                <w:color w:val="000000"/>
              </w:rPr>
            </w:pPr>
            <w:r>
              <w:rPr>
                <w:rFonts w:ascii="Aptos Narrow" w:eastAsia="Aptos Narrow" w:hAnsi="Aptos Narrow" w:cs="Aptos Narrow"/>
                <w:b/>
                <w:color w:val="000000"/>
              </w:rPr>
              <w:t>DCMS</w:t>
            </w:r>
            <w:r w:rsidR="00BF059B">
              <w:rPr>
                <w:rFonts w:ascii="Aptos Narrow" w:eastAsia="Aptos Narrow" w:hAnsi="Aptos Narrow" w:cs="Aptos Narrow"/>
                <w:b/>
                <w:color w:val="000000"/>
              </w:rPr>
              <w:t xml:space="preserve"> </w:t>
            </w:r>
            <w:r>
              <w:rPr>
                <w:rFonts w:ascii="Aptos Narrow" w:eastAsia="Aptos Narrow" w:hAnsi="Aptos Narrow" w:cs="Aptos Narrow"/>
                <w:b/>
                <w:color w:val="000000"/>
              </w:rPr>
              <w:t>Performance</w:t>
            </w:r>
            <w:r w:rsidR="00BF059B">
              <w:rPr>
                <w:rFonts w:ascii="Aptos Narrow" w:eastAsia="Aptos Narrow" w:hAnsi="Aptos Narrow" w:cs="Aptos Narrow"/>
                <w:b/>
                <w:color w:val="000000"/>
              </w:rPr>
              <w:t xml:space="preserve"> </w:t>
            </w:r>
            <w:r>
              <w:rPr>
                <w:rFonts w:ascii="Aptos Narrow" w:eastAsia="Aptos Narrow" w:hAnsi="Aptos Narrow" w:cs="Aptos Narrow"/>
                <w:b/>
                <w:color w:val="000000"/>
              </w:rPr>
              <w:t>Indicators</w:t>
            </w:r>
            <w:r w:rsidR="00BF059B">
              <w:rPr>
                <w:rFonts w:ascii="Aptos Narrow" w:eastAsia="Aptos Narrow" w:hAnsi="Aptos Narrow" w:cs="Aptos Narrow"/>
                <w:b/>
                <w:color w:val="000000"/>
              </w:rPr>
              <w:t xml:space="preserve"> </w:t>
            </w:r>
            <w:r>
              <w:rPr>
                <w:rFonts w:ascii="Aptos Narrow" w:eastAsia="Aptos Narrow" w:hAnsi="Aptos Narrow" w:cs="Aptos Narrow"/>
                <w:b/>
                <w:color w:val="000000"/>
              </w:rPr>
              <w:t>Annual</w:t>
            </w:r>
            <w:r w:rsidR="00BF059B">
              <w:rPr>
                <w:rFonts w:ascii="Aptos Narrow" w:eastAsia="Aptos Narrow" w:hAnsi="Aptos Narrow" w:cs="Aptos Narrow"/>
                <w:b/>
                <w:color w:val="000000"/>
              </w:rPr>
              <w:t xml:space="preserve"> </w:t>
            </w:r>
            <w:r>
              <w:rPr>
                <w:rFonts w:ascii="Aptos Narrow" w:eastAsia="Aptos Narrow" w:hAnsi="Aptos Narrow" w:cs="Aptos Narrow"/>
                <w:b/>
                <w:color w:val="000000"/>
              </w:rPr>
              <w:t>Outturn</w:t>
            </w:r>
          </w:p>
        </w:tc>
        <w:tc>
          <w:tcPr>
            <w:tcW w:w="1134" w:type="dxa"/>
            <w:tcBorders>
              <w:top w:val="single" w:sz="4" w:space="0" w:color="000000"/>
              <w:left w:val="nil"/>
              <w:bottom w:val="nil"/>
              <w:right w:val="single" w:sz="4" w:space="0" w:color="000000"/>
            </w:tcBorders>
            <w:vAlign w:val="bottom"/>
          </w:tcPr>
          <w:p w14:paraId="7D77DAE9"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2024-25</w:t>
            </w:r>
          </w:p>
        </w:tc>
        <w:tc>
          <w:tcPr>
            <w:tcW w:w="1275" w:type="dxa"/>
            <w:tcBorders>
              <w:top w:val="single" w:sz="4" w:space="0" w:color="000000"/>
              <w:left w:val="nil"/>
              <w:bottom w:val="nil"/>
              <w:right w:val="single" w:sz="4" w:space="0" w:color="000000"/>
            </w:tcBorders>
            <w:vAlign w:val="bottom"/>
          </w:tcPr>
          <w:p w14:paraId="7A16138D"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2023-24</w:t>
            </w:r>
          </w:p>
        </w:tc>
      </w:tr>
      <w:tr w:rsidR="00BE13A8" w14:paraId="4DE6C512" w14:textId="77777777" w:rsidTr="007E1C9E">
        <w:trPr>
          <w:trHeight w:val="288"/>
        </w:trPr>
        <w:tc>
          <w:tcPr>
            <w:tcW w:w="7225" w:type="dxa"/>
            <w:tcBorders>
              <w:top w:val="nil"/>
              <w:left w:val="single" w:sz="4" w:space="0" w:color="000000"/>
              <w:bottom w:val="nil"/>
              <w:right w:val="single" w:sz="4" w:space="0" w:color="000000"/>
            </w:tcBorders>
            <w:vAlign w:val="bottom"/>
          </w:tcPr>
          <w:p w14:paraId="5D4BFDC1" w14:textId="50ACB70C" w:rsidR="00BE13A8" w:rsidRDefault="00BF059B">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c>
          <w:tcPr>
            <w:tcW w:w="1134" w:type="dxa"/>
            <w:tcBorders>
              <w:top w:val="nil"/>
              <w:left w:val="nil"/>
              <w:bottom w:val="nil"/>
              <w:right w:val="single" w:sz="4" w:space="0" w:color="000000"/>
            </w:tcBorders>
            <w:vAlign w:val="bottom"/>
          </w:tcPr>
          <w:p w14:paraId="4752C475" w14:textId="00F7E53C"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Actuals</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w:t>
            </w:r>
          </w:p>
        </w:tc>
        <w:tc>
          <w:tcPr>
            <w:tcW w:w="1275" w:type="dxa"/>
            <w:tcBorders>
              <w:top w:val="nil"/>
              <w:left w:val="nil"/>
              <w:bottom w:val="nil"/>
              <w:right w:val="single" w:sz="4" w:space="0" w:color="000000"/>
            </w:tcBorders>
            <w:vAlign w:val="bottom"/>
          </w:tcPr>
          <w:p w14:paraId="4D479332" w14:textId="4E2B8F7F"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Actuals</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w:t>
            </w:r>
          </w:p>
        </w:tc>
      </w:tr>
      <w:tr w:rsidR="00BE13A8" w14:paraId="2213CA68" w14:textId="77777777" w:rsidTr="007E1C9E">
        <w:trPr>
          <w:trHeight w:val="288"/>
        </w:trPr>
        <w:tc>
          <w:tcPr>
            <w:tcW w:w="7225" w:type="dxa"/>
            <w:tcBorders>
              <w:top w:val="nil"/>
              <w:left w:val="single" w:sz="4" w:space="0" w:color="000000"/>
              <w:bottom w:val="nil"/>
              <w:right w:val="single" w:sz="4" w:space="0" w:color="000000"/>
            </w:tcBorders>
            <w:shd w:val="clear" w:color="auto" w:fill="D9D9D9"/>
            <w:vAlign w:val="bottom"/>
          </w:tcPr>
          <w:p w14:paraId="29233090" w14:textId="15306642" w:rsidR="00BE13A8" w:rsidRDefault="00D70530">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Key</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Performance</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Indicators</w:t>
            </w:r>
          </w:p>
        </w:tc>
        <w:tc>
          <w:tcPr>
            <w:tcW w:w="1134" w:type="dxa"/>
            <w:tcBorders>
              <w:top w:val="nil"/>
              <w:left w:val="nil"/>
              <w:bottom w:val="nil"/>
              <w:right w:val="single" w:sz="4" w:space="0" w:color="000000"/>
            </w:tcBorders>
            <w:shd w:val="clear" w:color="auto" w:fill="D9D9D9"/>
            <w:vAlign w:val="bottom"/>
          </w:tcPr>
          <w:p w14:paraId="460AC2CD" w14:textId="445EAC92"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c>
          <w:tcPr>
            <w:tcW w:w="1275" w:type="dxa"/>
            <w:tcBorders>
              <w:top w:val="nil"/>
              <w:left w:val="nil"/>
              <w:bottom w:val="nil"/>
              <w:right w:val="single" w:sz="4" w:space="0" w:color="000000"/>
            </w:tcBorders>
            <w:shd w:val="clear" w:color="auto" w:fill="D9D9D9"/>
            <w:vAlign w:val="bottom"/>
          </w:tcPr>
          <w:p w14:paraId="25E01F0C" w14:textId="083D0A72"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r>
      <w:tr w:rsidR="00BE13A8" w14:paraId="5915316B" w14:textId="77777777" w:rsidTr="007E1C9E">
        <w:trPr>
          <w:trHeight w:val="288"/>
        </w:trPr>
        <w:tc>
          <w:tcPr>
            <w:tcW w:w="7225" w:type="dxa"/>
            <w:tcBorders>
              <w:top w:val="nil"/>
              <w:left w:val="single" w:sz="4" w:space="0" w:color="000000"/>
              <w:bottom w:val="nil"/>
              <w:right w:val="single" w:sz="4" w:space="0" w:color="000000"/>
            </w:tcBorders>
            <w:vAlign w:val="bottom"/>
          </w:tcPr>
          <w:p w14:paraId="6C48B05A" w14:textId="76E2A850" w:rsidR="00BE13A8" w:rsidRDefault="00D70530">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No.</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of</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visitors</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to</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the</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museum</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excluding</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virtual</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visits</w:t>
            </w:r>
          </w:p>
        </w:tc>
        <w:tc>
          <w:tcPr>
            <w:tcW w:w="1134" w:type="dxa"/>
            <w:tcBorders>
              <w:top w:val="nil"/>
              <w:left w:val="nil"/>
              <w:bottom w:val="nil"/>
              <w:right w:val="single" w:sz="4" w:space="0" w:color="000000"/>
            </w:tcBorders>
            <w:vAlign w:val="bottom"/>
          </w:tcPr>
          <w:p w14:paraId="3BA24BDB"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669.6K</w:t>
            </w:r>
          </w:p>
        </w:tc>
        <w:tc>
          <w:tcPr>
            <w:tcW w:w="1275" w:type="dxa"/>
            <w:tcBorders>
              <w:top w:val="nil"/>
              <w:left w:val="nil"/>
              <w:bottom w:val="nil"/>
              <w:right w:val="single" w:sz="4" w:space="0" w:color="000000"/>
            </w:tcBorders>
            <w:vAlign w:val="bottom"/>
          </w:tcPr>
          <w:p w14:paraId="5C44DE68"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776K</w:t>
            </w:r>
          </w:p>
        </w:tc>
      </w:tr>
      <w:tr w:rsidR="00BE13A8" w14:paraId="5CB60C67" w14:textId="77777777" w:rsidTr="007E1C9E">
        <w:trPr>
          <w:trHeight w:val="288"/>
        </w:trPr>
        <w:tc>
          <w:tcPr>
            <w:tcW w:w="7225" w:type="dxa"/>
            <w:tcBorders>
              <w:top w:val="nil"/>
              <w:left w:val="single" w:sz="4" w:space="0" w:color="000000"/>
              <w:bottom w:val="nil"/>
              <w:right w:val="single" w:sz="4" w:space="0" w:color="000000"/>
            </w:tcBorders>
            <w:vAlign w:val="bottom"/>
          </w:tcPr>
          <w:p w14:paraId="1D15B675" w14:textId="5102209A" w:rsidR="00BE13A8" w:rsidRDefault="00D70530">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Charitable</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giving</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(fundraising)</w:t>
            </w:r>
          </w:p>
        </w:tc>
        <w:tc>
          <w:tcPr>
            <w:tcW w:w="1134" w:type="dxa"/>
            <w:tcBorders>
              <w:top w:val="nil"/>
              <w:left w:val="nil"/>
              <w:bottom w:val="nil"/>
              <w:right w:val="single" w:sz="4" w:space="0" w:color="000000"/>
            </w:tcBorders>
            <w:vAlign w:val="bottom"/>
          </w:tcPr>
          <w:p w14:paraId="65055F26"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£1,015K</w:t>
            </w:r>
          </w:p>
        </w:tc>
        <w:tc>
          <w:tcPr>
            <w:tcW w:w="1275" w:type="dxa"/>
            <w:tcBorders>
              <w:top w:val="nil"/>
              <w:left w:val="nil"/>
              <w:bottom w:val="nil"/>
              <w:right w:val="single" w:sz="4" w:space="0" w:color="000000"/>
            </w:tcBorders>
            <w:vAlign w:val="bottom"/>
          </w:tcPr>
          <w:p w14:paraId="1A201AEF"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£1,843K</w:t>
            </w:r>
          </w:p>
        </w:tc>
      </w:tr>
      <w:tr w:rsidR="00BE13A8" w14:paraId="52738C6A" w14:textId="77777777" w:rsidTr="007E1C9E">
        <w:trPr>
          <w:trHeight w:val="288"/>
        </w:trPr>
        <w:tc>
          <w:tcPr>
            <w:tcW w:w="7225" w:type="dxa"/>
            <w:tcBorders>
              <w:top w:val="nil"/>
              <w:left w:val="single" w:sz="4" w:space="0" w:color="000000"/>
              <w:bottom w:val="nil"/>
              <w:right w:val="single" w:sz="4" w:space="0" w:color="000000"/>
            </w:tcBorders>
            <w:vAlign w:val="bottom"/>
          </w:tcPr>
          <w:p w14:paraId="4F06B37E" w14:textId="5AA55330" w:rsidR="00BE13A8" w:rsidRDefault="00BF059B">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lastRenderedPageBreak/>
              <w:t xml:space="preserve"> </w:t>
            </w:r>
          </w:p>
        </w:tc>
        <w:tc>
          <w:tcPr>
            <w:tcW w:w="1134" w:type="dxa"/>
            <w:tcBorders>
              <w:top w:val="nil"/>
              <w:left w:val="nil"/>
              <w:bottom w:val="nil"/>
              <w:right w:val="single" w:sz="4" w:space="0" w:color="000000"/>
            </w:tcBorders>
            <w:vAlign w:val="bottom"/>
          </w:tcPr>
          <w:p w14:paraId="4F20CE13" w14:textId="13CB8BCF"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c>
          <w:tcPr>
            <w:tcW w:w="1275" w:type="dxa"/>
            <w:tcBorders>
              <w:top w:val="nil"/>
              <w:left w:val="nil"/>
              <w:bottom w:val="nil"/>
              <w:right w:val="single" w:sz="4" w:space="0" w:color="000000"/>
            </w:tcBorders>
            <w:vAlign w:val="bottom"/>
          </w:tcPr>
          <w:p w14:paraId="388E9EEC" w14:textId="00934DD0"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r>
      <w:tr w:rsidR="00BE13A8" w14:paraId="4B1D7136" w14:textId="77777777" w:rsidTr="007E1C9E">
        <w:trPr>
          <w:trHeight w:val="288"/>
        </w:trPr>
        <w:tc>
          <w:tcPr>
            <w:tcW w:w="7225" w:type="dxa"/>
            <w:tcBorders>
              <w:top w:val="nil"/>
              <w:left w:val="single" w:sz="4" w:space="0" w:color="000000"/>
              <w:bottom w:val="nil"/>
              <w:right w:val="single" w:sz="4" w:space="0" w:color="000000"/>
            </w:tcBorders>
            <w:shd w:val="clear" w:color="auto" w:fill="D9D9D9"/>
            <w:vAlign w:val="bottom"/>
          </w:tcPr>
          <w:p w14:paraId="35DE9FB1" w14:textId="66B2B23B" w:rsidR="00BE13A8" w:rsidRDefault="00D70530">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Other</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Performance</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Indicators</w:t>
            </w:r>
          </w:p>
        </w:tc>
        <w:tc>
          <w:tcPr>
            <w:tcW w:w="1134" w:type="dxa"/>
            <w:tcBorders>
              <w:top w:val="nil"/>
              <w:left w:val="nil"/>
              <w:bottom w:val="nil"/>
              <w:right w:val="single" w:sz="4" w:space="0" w:color="000000"/>
            </w:tcBorders>
            <w:shd w:val="clear" w:color="auto" w:fill="D9D9D9"/>
            <w:vAlign w:val="bottom"/>
          </w:tcPr>
          <w:p w14:paraId="38A11355" w14:textId="0B98444E"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c>
          <w:tcPr>
            <w:tcW w:w="1275" w:type="dxa"/>
            <w:tcBorders>
              <w:top w:val="nil"/>
              <w:left w:val="nil"/>
              <w:bottom w:val="nil"/>
              <w:right w:val="single" w:sz="4" w:space="0" w:color="000000"/>
            </w:tcBorders>
            <w:shd w:val="clear" w:color="auto" w:fill="D9D9D9"/>
            <w:vAlign w:val="bottom"/>
          </w:tcPr>
          <w:p w14:paraId="166F690A" w14:textId="545E4282"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r>
      <w:tr w:rsidR="00BE13A8" w14:paraId="1FB6562C" w14:textId="77777777" w:rsidTr="007E1C9E">
        <w:trPr>
          <w:trHeight w:val="288"/>
        </w:trPr>
        <w:tc>
          <w:tcPr>
            <w:tcW w:w="7225" w:type="dxa"/>
            <w:tcBorders>
              <w:top w:val="nil"/>
              <w:left w:val="single" w:sz="4" w:space="0" w:color="000000"/>
              <w:bottom w:val="nil"/>
              <w:right w:val="single" w:sz="4" w:space="0" w:color="000000"/>
            </w:tcBorders>
            <w:shd w:val="clear" w:color="auto" w:fill="F2F2F2"/>
            <w:vAlign w:val="bottom"/>
          </w:tcPr>
          <w:p w14:paraId="438CF085" w14:textId="77777777" w:rsidR="00BE13A8" w:rsidRDefault="00D70530">
            <w:pPr>
              <w:rPr>
                <w:rFonts w:ascii="Aptos Narrow" w:eastAsia="Aptos Narrow" w:hAnsi="Aptos Narrow" w:cs="Aptos Narrow"/>
                <w:b/>
                <w:color w:val="000000"/>
                <w:sz w:val="22"/>
                <w:szCs w:val="22"/>
              </w:rPr>
            </w:pPr>
            <w:r>
              <w:rPr>
                <w:rFonts w:ascii="Aptos Narrow" w:eastAsia="Aptos Narrow" w:hAnsi="Aptos Narrow" w:cs="Aptos Narrow"/>
                <w:b/>
                <w:color w:val="000000"/>
                <w:sz w:val="22"/>
                <w:szCs w:val="22"/>
              </w:rPr>
              <w:t>Access</w:t>
            </w:r>
          </w:p>
        </w:tc>
        <w:tc>
          <w:tcPr>
            <w:tcW w:w="1134" w:type="dxa"/>
            <w:tcBorders>
              <w:top w:val="nil"/>
              <w:left w:val="nil"/>
              <w:bottom w:val="nil"/>
              <w:right w:val="single" w:sz="4" w:space="0" w:color="000000"/>
            </w:tcBorders>
            <w:shd w:val="clear" w:color="auto" w:fill="F2F2F2"/>
            <w:vAlign w:val="bottom"/>
          </w:tcPr>
          <w:p w14:paraId="10F3F83C" w14:textId="54D79478"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c>
          <w:tcPr>
            <w:tcW w:w="1275" w:type="dxa"/>
            <w:tcBorders>
              <w:top w:val="nil"/>
              <w:left w:val="nil"/>
              <w:bottom w:val="nil"/>
              <w:right w:val="single" w:sz="4" w:space="0" w:color="000000"/>
            </w:tcBorders>
            <w:shd w:val="clear" w:color="auto" w:fill="F2F2F2"/>
            <w:vAlign w:val="bottom"/>
          </w:tcPr>
          <w:p w14:paraId="7A86C812" w14:textId="3A704941"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r>
      <w:tr w:rsidR="00BE13A8" w14:paraId="5BBC24B6" w14:textId="77777777" w:rsidTr="007E1C9E">
        <w:trPr>
          <w:trHeight w:val="288"/>
        </w:trPr>
        <w:tc>
          <w:tcPr>
            <w:tcW w:w="7225" w:type="dxa"/>
            <w:tcBorders>
              <w:top w:val="nil"/>
              <w:left w:val="single" w:sz="4" w:space="0" w:color="000000"/>
              <w:bottom w:val="nil"/>
              <w:right w:val="single" w:sz="4" w:space="0" w:color="000000"/>
            </w:tcBorders>
            <w:vAlign w:val="bottom"/>
          </w:tcPr>
          <w:p w14:paraId="3114A4BC" w14:textId="6EE689F6" w:rsidR="00BE13A8" w:rsidRDefault="00D70530">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No.</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of</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unique</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website</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visits</w:t>
            </w:r>
          </w:p>
        </w:tc>
        <w:tc>
          <w:tcPr>
            <w:tcW w:w="1134" w:type="dxa"/>
            <w:tcBorders>
              <w:top w:val="nil"/>
              <w:left w:val="nil"/>
              <w:bottom w:val="nil"/>
              <w:right w:val="single" w:sz="4" w:space="0" w:color="000000"/>
            </w:tcBorders>
            <w:vAlign w:val="bottom"/>
          </w:tcPr>
          <w:p w14:paraId="00009678"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509K</w:t>
            </w:r>
          </w:p>
        </w:tc>
        <w:tc>
          <w:tcPr>
            <w:tcW w:w="1275" w:type="dxa"/>
            <w:tcBorders>
              <w:top w:val="nil"/>
              <w:left w:val="nil"/>
              <w:bottom w:val="nil"/>
              <w:right w:val="single" w:sz="4" w:space="0" w:color="000000"/>
            </w:tcBorders>
            <w:vAlign w:val="bottom"/>
          </w:tcPr>
          <w:p w14:paraId="319928BA"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627K</w:t>
            </w:r>
          </w:p>
        </w:tc>
      </w:tr>
      <w:tr w:rsidR="00BE13A8" w14:paraId="712E6367" w14:textId="77777777" w:rsidTr="007E1C9E">
        <w:trPr>
          <w:trHeight w:val="288"/>
        </w:trPr>
        <w:tc>
          <w:tcPr>
            <w:tcW w:w="7225" w:type="dxa"/>
            <w:tcBorders>
              <w:top w:val="nil"/>
              <w:left w:val="single" w:sz="4" w:space="0" w:color="000000"/>
              <w:bottom w:val="nil"/>
              <w:right w:val="single" w:sz="4" w:space="0" w:color="000000"/>
            </w:tcBorders>
            <w:shd w:val="clear" w:color="auto" w:fill="F2F2F2"/>
            <w:vAlign w:val="bottom"/>
          </w:tcPr>
          <w:p w14:paraId="5BD94A22" w14:textId="5E71412A" w:rsidR="00BE13A8" w:rsidRDefault="00D70530">
            <w:pPr>
              <w:rPr>
                <w:rFonts w:ascii="Aptos Narrow" w:eastAsia="Aptos Narrow" w:hAnsi="Aptos Narrow" w:cs="Aptos Narrow"/>
                <w:b/>
                <w:color w:val="000000"/>
                <w:sz w:val="22"/>
                <w:szCs w:val="22"/>
              </w:rPr>
            </w:pPr>
            <w:r>
              <w:rPr>
                <w:rFonts w:ascii="Aptos Narrow" w:eastAsia="Aptos Narrow" w:hAnsi="Aptos Narrow" w:cs="Aptos Narrow"/>
                <w:b/>
                <w:color w:val="000000"/>
                <w:sz w:val="22"/>
                <w:szCs w:val="22"/>
              </w:rPr>
              <w:t>Audience</w:t>
            </w:r>
            <w:r w:rsidR="00BF059B">
              <w:rPr>
                <w:rFonts w:ascii="Aptos Narrow" w:eastAsia="Aptos Narrow" w:hAnsi="Aptos Narrow" w:cs="Aptos Narrow"/>
                <w:b/>
                <w:color w:val="000000"/>
                <w:sz w:val="22"/>
                <w:szCs w:val="22"/>
              </w:rPr>
              <w:t xml:space="preserve"> </w:t>
            </w:r>
            <w:r>
              <w:rPr>
                <w:rFonts w:ascii="Aptos Narrow" w:eastAsia="Aptos Narrow" w:hAnsi="Aptos Narrow" w:cs="Aptos Narrow"/>
                <w:b/>
                <w:color w:val="000000"/>
                <w:sz w:val="22"/>
                <w:szCs w:val="22"/>
              </w:rPr>
              <w:t>profile</w:t>
            </w:r>
          </w:p>
        </w:tc>
        <w:tc>
          <w:tcPr>
            <w:tcW w:w="1134" w:type="dxa"/>
            <w:tcBorders>
              <w:top w:val="nil"/>
              <w:left w:val="nil"/>
              <w:bottom w:val="nil"/>
              <w:right w:val="single" w:sz="4" w:space="0" w:color="000000"/>
            </w:tcBorders>
            <w:shd w:val="clear" w:color="auto" w:fill="F2F2F2"/>
            <w:vAlign w:val="bottom"/>
          </w:tcPr>
          <w:p w14:paraId="39FDE965" w14:textId="0CAB1C67"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c>
          <w:tcPr>
            <w:tcW w:w="1275" w:type="dxa"/>
            <w:tcBorders>
              <w:top w:val="nil"/>
              <w:left w:val="nil"/>
              <w:bottom w:val="nil"/>
              <w:right w:val="single" w:sz="4" w:space="0" w:color="000000"/>
            </w:tcBorders>
            <w:shd w:val="clear" w:color="auto" w:fill="F2F2F2"/>
            <w:vAlign w:val="bottom"/>
          </w:tcPr>
          <w:p w14:paraId="5CEFA8DF" w14:textId="4BD75498"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r>
      <w:tr w:rsidR="00BE13A8" w14:paraId="59B066A2" w14:textId="77777777" w:rsidTr="007E1C9E">
        <w:trPr>
          <w:trHeight w:val="288"/>
        </w:trPr>
        <w:tc>
          <w:tcPr>
            <w:tcW w:w="7225" w:type="dxa"/>
            <w:tcBorders>
              <w:top w:val="nil"/>
              <w:left w:val="single" w:sz="4" w:space="0" w:color="000000"/>
              <w:bottom w:val="nil"/>
              <w:right w:val="single" w:sz="4" w:space="0" w:color="000000"/>
            </w:tcBorders>
            <w:vAlign w:val="bottom"/>
          </w:tcPr>
          <w:p w14:paraId="1BA851F1" w14:textId="03429D43" w:rsidR="00BE13A8" w:rsidRDefault="00D70530">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No.</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of</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visits</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by</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children</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under</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16</w:t>
            </w:r>
          </w:p>
        </w:tc>
        <w:tc>
          <w:tcPr>
            <w:tcW w:w="1134" w:type="dxa"/>
            <w:tcBorders>
              <w:top w:val="nil"/>
              <w:left w:val="nil"/>
              <w:bottom w:val="nil"/>
              <w:right w:val="single" w:sz="4" w:space="0" w:color="000000"/>
            </w:tcBorders>
            <w:vAlign w:val="bottom"/>
          </w:tcPr>
          <w:p w14:paraId="235C5734"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194K</w:t>
            </w:r>
          </w:p>
        </w:tc>
        <w:tc>
          <w:tcPr>
            <w:tcW w:w="1275" w:type="dxa"/>
            <w:tcBorders>
              <w:top w:val="nil"/>
              <w:left w:val="nil"/>
              <w:bottom w:val="nil"/>
              <w:right w:val="single" w:sz="4" w:space="0" w:color="000000"/>
            </w:tcBorders>
            <w:vAlign w:val="bottom"/>
          </w:tcPr>
          <w:p w14:paraId="288A38C3"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256K</w:t>
            </w:r>
          </w:p>
        </w:tc>
      </w:tr>
      <w:tr w:rsidR="00BE13A8" w14:paraId="6B19FAD3" w14:textId="77777777" w:rsidTr="007E1C9E">
        <w:trPr>
          <w:trHeight w:val="288"/>
        </w:trPr>
        <w:tc>
          <w:tcPr>
            <w:tcW w:w="7225" w:type="dxa"/>
            <w:tcBorders>
              <w:top w:val="nil"/>
              <w:left w:val="single" w:sz="4" w:space="0" w:color="000000"/>
              <w:bottom w:val="nil"/>
              <w:right w:val="single" w:sz="4" w:space="0" w:color="000000"/>
            </w:tcBorders>
            <w:vAlign w:val="bottom"/>
          </w:tcPr>
          <w:p w14:paraId="5F5E2DDD" w14:textId="26F297F5" w:rsidR="00BE13A8" w:rsidRDefault="00D70530">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No.</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of</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overseas</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visits</w:t>
            </w:r>
          </w:p>
        </w:tc>
        <w:tc>
          <w:tcPr>
            <w:tcW w:w="1134" w:type="dxa"/>
            <w:tcBorders>
              <w:top w:val="nil"/>
              <w:left w:val="nil"/>
              <w:bottom w:val="nil"/>
              <w:right w:val="single" w:sz="4" w:space="0" w:color="000000"/>
            </w:tcBorders>
            <w:vAlign w:val="bottom"/>
          </w:tcPr>
          <w:p w14:paraId="3B126F65"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51K</w:t>
            </w:r>
          </w:p>
        </w:tc>
        <w:tc>
          <w:tcPr>
            <w:tcW w:w="1275" w:type="dxa"/>
            <w:tcBorders>
              <w:top w:val="nil"/>
              <w:left w:val="nil"/>
              <w:bottom w:val="nil"/>
              <w:right w:val="single" w:sz="4" w:space="0" w:color="000000"/>
            </w:tcBorders>
            <w:vAlign w:val="bottom"/>
          </w:tcPr>
          <w:p w14:paraId="4D48560C"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37K</w:t>
            </w:r>
          </w:p>
        </w:tc>
      </w:tr>
      <w:tr w:rsidR="00BE13A8" w14:paraId="34E632C6" w14:textId="77777777" w:rsidTr="007E1C9E">
        <w:trPr>
          <w:trHeight w:val="288"/>
        </w:trPr>
        <w:tc>
          <w:tcPr>
            <w:tcW w:w="7225" w:type="dxa"/>
            <w:tcBorders>
              <w:top w:val="nil"/>
              <w:left w:val="single" w:sz="4" w:space="0" w:color="000000"/>
              <w:bottom w:val="nil"/>
              <w:right w:val="single" w:sz="4" w:space="0" w:color="000000"/>
            </w:tcBorders>
            <w:shd w:val="clear" w:color="auto" w:fill="F2F2F2"/>
            <w:vAlign w:val="bottom"/>
          </w:tcPr>
          <w:p w14:paraId="5EB86324" w14:textId="77777777" w:rsidR="00BE13A8" w:rsidRDefault="00D70530">
            <w:pPr>
              <w:rPr>
                <w:rFonts w:ascii="Aptos Narrow" w:eastAsia="Aptos Narrow" w:hAnsi="Aptos Narrow" w:cs="Aptos Narrow"/>
                <w:b/>
                <w:color w:val="000000"/>
                <w:sz w:val="22"/>
                <w:szCs w:val="22"/>
              </w:rPr>
            </w:pPr>
            <w:r>
              <w:rPr>
                <w:rFonts w:ascii="Aptos Narrow" w:eastAsia="Aptos Narrow" w:hAnsi="Aptos Narrow" w:cs="Aptos Narrow"/>
                <w:b/>
                <w:color w:val="000000"/>
                <w:sz w:val="22"/>
                <w:szCs w:val="22"/>
              </w:rPr>
              <w:t>Learning</w:t>
            </w:r>
          </w:p>
        </w:tc>
        <w:tc>
          <w:tcPr>
            <w:tcW w:w="1134" w:type="dxa"/>
            <w:tcBorders>
              <w:top w:val="nil"/>
              <w:left w:val="nil"/>
              <w:bottom w:val="nil"/>
              <w:right w:val="single" w:sz="4" w:space="0" w:color="000000"/>
            </w:tcBorders>
            <w:shd w:val="clear" w:color="auto" w:fill="F2F2F2"/>
            <w:vAlign w:val="bottom"/>
          </w:tcPr>
          <w:p w14:paraId="62C04AE5" w14:textId="2E9BEDFA"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c>
          <w:tcPr>
            <w:tcW w:w="1275" w:type="dxa"/>
            <w:tcBorders>
              <w:top w:val="nil"/>
              <w:left w:val="nil"/>
              <w:bottom w:val="nil"/>
              <w:right w:val="single" w:sz="4" w:space="0" w:color="000000"/>
            </w:tcBorders>
            <w:shd w:val="clear" w:color="auto" w:fill="F2F2F2"/>
            <w:vAlign w:val="bottom"/>
          </w:tcPr>
          <w:p w14:paraId="060625D6" w14:textId="7DD2E8A4"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r>
      <w:tr w:rsidR="00BE13A8" w14:paraId="62334750" w14:textId="77777777" w:rsidTr="007E1C9E">
        <w:trPr>
          <w:trHeight w:val="576"/>
        </w:trPr>
        <w:tc>
          <w:tcPr>
            <w:tcW w:w="7225" w:type="dxa"/>
            <w:tcBorders>
              <w:top w:val="nil"/>
              <w:left w:val="single" w:sz="4" w:space="0" w:color="000000"/>
              <w:bottom w:val="nil"/>
              <w:right w:val="single" w:sz="4" w:space="0" w:color="000000"/>
            </w:tcBorders>
            <w:vAlign w:val="bottom"/>
          </w:tcPr>
          <w:p w14:paraId="7E3699F6" w14:textId="1077E29F" w:rsidR="00BE13A8" w:rsidRDefault="00D70530">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No.</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of</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facilitated</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&amp;</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self-directed</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visits</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to</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the</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museum/gallery</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of</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children</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under</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18</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in</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former</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education</w:t>
            </w:r>
          </w:p>
        </w:tc>
        <w:tc>
          <w:tcPr>
            <w:tcW w:w="1134" w:type="dxa"/>
            <w:tcBorders>
              <w:top w:val="nil"/>
              <w:left w:val="nil"/>
              <w:bottom w:val="nil"/>
              <w:right w:val="single" w:sz="4" w:space="0" w:color="000000"/>
            </w:tcBorders>
          </w:tcPr>
          <w:p w14:paraId="0FBD6FE0"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25.8K</w:t>
            </w:r>
          </w:p>
        </w:tc>
        <w:tc>
          <w:tcPr>
            <w:tcW w:w="1275" w:type="dxa"/>
            <w:tcBorders>
              <w:top w:val="nil"/>
              <w:left w:val="nil"/>
              <w:bottom w:val="nil"/>
              <w:right w:val="single" w:sz="4" w:space="0" w:color="000000"/>
            </w:tcBorders>
          </w:tcPr>
          <w:p w14:paraId="7179A170"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32K</w:t>
            </w:r>
          </w:p>
        </w:tc>
      </w:tr>
      <w:tr w:rsidR="00BE13A8" w14:paraId="0057B642" w14:textId="77777777" w:rsidTr="007E1C9E">
        <w:trPr>
          <w:trHeight w:val="288"/>
        </w:trPr>
        <w:tc>
          <w:tcPr>
            <w:tcW w:w="7225" w:type="dxa"/>
            <w:tcBorders>
              <w:top w:val="nil"/>
              <w:left w:val="single" w:sz="4" w:space="0" w:color="000000"/>
              <w:bottom w:val="nil"/>
              <w:right w:val="single" w:sz="4" w:space="0" w:color="000000"/>
            </w:tcBorders>
            <w:shd w:val="clear" w:color="auto" w:fill="F2F2F2"/>
            <w:vAlign w:val="bottom"/>
          </w:tcPr>
          <w:p w14:paraId="6443AB31" w14:textId="7392D97B" w:rsidR="00BE13A8" w:rsidRDefault="00D70530">
            <w:pPr>
              <w:rPr>
                <w:rFonts w:ascii="Aptos Narrow" w:eastAsia="Aptos Narrow" w:hAnsi="Aptos Narrow" w:cs="Aptos Narrow"/>
                <w:b/>
                <w:color w:val="000000"/>
                <w:sz w:val="22"/>
                <w:szCs w:val="22"/>
              </w:rPr>
            </w:pPr>
            <w:r>
              <w:rPr>
                <w:rFonts w:ascii="Aptos Narrow" w:eastAsia="Aptos Narrow" w:hAnsi="Aptos Narrow" w:cs="Aptos Narrow"/>
                <w:b/>
                <w:color w:val="000000"/>
                <w:sz w:val="22"/>
                <w:szCs w:val="22"/>
              </w:rPr>
              <w:t>Visitor</w:t>
            </w:r>
            <w:r w:rsidR="00BF059B">
              <w:rPr>
                <w:rFonts w:ascii="Aptos Narrow" w:eastAsia="Aptos Narrow" w:hAnsi="Aptos Narrow" w:cs="Aptos Narrow"/>
                <w:b/>
                <w:color w:val="000000"/>
                <w:sz w:val="22"/>
                <w:szCs w:val="22"/>
              </w:rPr>
              <w:t xml:space="preserve"> </w:t>
            </w:r>
            <w:r>
              <w:rPr>
                <w:rFonts w:ascii="Aptos Narrow" w:eastAsia="Aptos Narrow" w:hAnsi="Aptos Narrow" w:cs="Aptos Narrow"/>
                <w:b/>
                <w:color w:val="000000"/>
                <w:sz w:val="22"/>
                <w:szCs w:val="22"/>
              </w:rPr>
              <w:t>satisfaction</w:t>
            </w:r>
          </w:p>
        </w:tc>
        <w:tc>
          <w:tcPr>
            <w:tcW w:w="1134" w:type="dxa"/>
            <w:tcBorders>
              <w:top w:val="nil"/>
              <w:left w:val="nil"/>
              <w:bottom w:val="nil"/>
              <w:right w:val="single" w:sz="4" w:space="0" w:color="000000"/>
            </w:tcBorders>
            <w:shd w:val="clear" w:color="auto" w:fill="F2F2F2"/>
            <w:vAlign w:val="bottom"/>
          </w:tcPr>
          <w:p w14:paraId="130B5C8E" w14:textId="2F0D719C"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c>
          <w:tcPr>
            <w:tcW w:w="1275" w:type="dxa"/>
            <w:tcBorders>
              <w:top w:val="nil"/>
              <w:left w:val="nil"/>
              <w:bottom w:val="nil"/>
              <w:right w:val="single" w:sz="4" w:space="0" w:color="000000"/>
            </w:tcBorders>
            <w:shd w:val="clear" w:color="auto" w:fill="F2F2F2"/>
            <w:vAlign w:val="bottom"/>
          </w:tcPr>
          <w:p w14:paraId="35EA80B0" w14:textId="03DAAA09"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r>
      <w:tr w:rsidR="00BE13A8" w14:paraId="42B267FD" w14:textId="77777777" w:rsidTr="007E1C9E">
        <w:trPr>
          <w:trHeight w:val="288"/>
        </w:trPr>
        <w:tc>
          <w:tcPr>
            <w:tcW w:w="7225" w:type="dxa"/>
            <w:tcBorders>
              <w:top w:val="nil"/>
              <w:left w:val="single" w:sz="4" w:space="0" w:color="000000"/>
              <w:bottom w:val="nil"/>
              <w:right w:val="single" w:sz="4" w:space="0" w:color="000000"/>
            </w:tcBorders>
            <w:vAlign w:val="bottom"/>
          </w:tcPr>
          <w:p w14:paraId="3FF7BF0B" w14:textId="6DDE5C7D" w:rsidR="00BE13A8" w:rsidRDefault="00D70530">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of</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visitors</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who</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would</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recommend</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a</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visit</w:t>
            </w:r>
          </w:p>
        </w:tc>
        <w:tc>
          <w:tcPr>
            <w:tcW w:w="1134" w:type="dxa"/>
            <w:tcBorders>
              <w:top w:val="nil"/>
              <w:left w:val="nil"/>
              <w:bottom w:val="nil"/>
              <w:right w:val="single" w:sz="4" w:space="0" w:color="000000"/>
            </w:tcBorders>
            <w:vAlign w:val="bottom"/>
          </w:tcPr>
          <w:p w14:paraId="1E68E443"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93%</w:t>
            </w:r>
          </w:p>
        </w:tc>
        <w:tc>
          <w:tcPr>
            <w:tcW w:w="1275" w:type="dxa"/>
            <w:tcBorders>
              <w:top w:val="nil"/>
              <w:left w:val="nil"/>
              <w:bottom w:val="nil"/>
              <w:right w:val="single" w:sz="4" w:space="0" w:color="000000"/>
            </w:tcBorders>
            <w:vAlign w:val="bottom"/>
          </w:tcPr>
          <w:p w14:paraId="3909A958"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92%</w:t>
            </w:r>
          </w:p>
        </w:tc>
      </w:tr>
      <w:tr w:rsidR="00BE13A8" w14:paraId="2CC98031" w14:textId="77777777" w:rsidTr="007E1C9E">
        <w:trPr>
          <w:trHeight w:val="288"/>
        </w:trPr>
        <w:tc>
          <w:tcPr>
            <w:tcW w:w="7225" w:type="dxa"/>
            <w:tcBorders>
              <w:top w:val="nil"/>
              <w:left w:val="single" w:sz="4" w:space="0" w:color="000000"/>
              <w:bottom w:val="nil"/>
              <w:right w:val="single" w:sz="4" w:space="0" w:color="000000"/>
            </w:tcBorders>
            <w:shd w:val="clear" w:color="auto" w:fill="F2F2F2"/>
            <w:vAlign w:val="bottom"/>
          </w:tcPr>
          <w:p w14:paraId="514C38A4" w14:textId="3AD03C4D" w:rsidR="00BE13A8" w:rsidRDefault="00D70530">
            <w:pPr>
              <w:rPr>
                <w:rFonts w:ascii="Aptos Narrow" w:eastAsia="Aptos Narrow" w:hAnsi="Aptos Narrow" w:cs="Aptos Narrow"/>
                <w:b/>
                <w:color w:val="000000"/>
                <w:sz w:val="22"/>
                <w:szCs w:val="22"/>
              </w:rPr>
            </w:pPr>
            <w:r>
              <w:rPr>
                <w:rFonts w:ascii="Aptos Narrow" w:eastAsia="Aptos Narrow" w:hAnsi="Aptos Narrow" w:cs="Aptos Narrow"/>
                <w:b/>
                <w:color w:val="000000"/>
                <w:sz w:val="22"/>
                <w:szCs w:val="22"/>
              </w:rPr>
              <w:t>Self-generated</w:t>
            </w:r>
            <w:r w:rsidR="00BF059B">
              <w:rPr>
                <w:rFonts w:ascii="Aptos Narrow" w:eastAsia="Aptos Narrow" w:hAnsi="Aptos Narrow" w:cs="Aptos Narrow"/>
                <w:b/>
                <w:color w:val="000000"/>
                <w:sz w:val="22"/>
                <w:szCs w:val="22"/>
              </w:rPr>
              <w:t xml:space="preserve"> </w:t>
            </w:r>
            <w:r>
              <w:rPr>
                <w:rFonts w:ascii="Aptos Narrow" w:eastAsia="Aptos Narrow" w:hAnsi="Aptos Narrow" w:cs="Aptos Narrow"/>
                <w:b/>
                <w:color w:val="000000"/>
                <w:sz w:val="22"/>
                <w:szCs w:val="22"/>
              </w:rPr>
              <w:t>Income</w:t>
            </w:r>
          </w:p>
        </w:tc>
        <w:tc>
          <w:tcPr>
            <w:tcW w:w="1134" w:type="dxa"/>
            <w:tcBorders>
              <w:top w:val="nil"/>
              <w:left w:val="nil"/>
              <w:bottom w:val="nil"/>
              <w:right w:val="single" w:sz="4" w:space="0" w:color="000000"/>
            </w:tcBorders>
            <w:shd w:val="clear" w:color="auto" w:fill="F2F2F2"/>
            <w:vAlign w:val="bottom"/>
          </w:tcPr>
          <w:p w14:paraId="7425BC59" w14:textId="3D884720"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c>
          <w:tcPr>
            <w:tcW w:w="1275" w:type="dxa"/>
            <w:tcBorders>
              <w:top w:val="nil"/>
              <w:left w:val="nil"/>
              <w:bottom w:val="nil"/>
              <w:right w:val="single" w:sz="4" w:space="0" w:color="000000"/>
            </w:tcBorders>
            <w:shd w:val="clear" w:color="auto" w:fill="F2F2F2"/>
            <w:vAlign w:val="bottom"/>
          </w:tcPr>
          <w:p w14:paraId="66B79B30" w14:textId="747336C5"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r>
      <w:tr w:rsidR="00BE13A8" w14:paraId="6253445F" w14:textId="77777777" w:rsidTr="007E1C9E">
        <w:trPr>
          <w:trHeight w:val="288"/>
        </w:trPr>
        <w:tc>
          <w:tcPr>
            <w:tcW w:w="7225" w:type="dxa"/>
            <w:tcBorders>
              <w:top w:val="nil"/>
              <w:left w:val="single" w:sz="4" w:space="0" w:color="000000"/>
              <w:bottom w:val="nil"/>
              <w:right w:val="single" w:sz="4" w:space="0" w:color="000000"/>
            </w:tcBorders>
            <w:vAlign w:val="bottom"/>
          </w:tcPr>
          <w:p w14:paraId="4947A607" w14:textId="5409A4DD" w:rsidR="00BE13A8" w:rsidRDefault="00D70530">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Admissions</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income</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(gross)</w:t>
            </w:r>
          </w:p>
        </w:tc>
        <w:tc>
          <w:tcPr>
            <w:tcW w:w="1134" w:type="dxa"/>
            <w:tcBorders>
              <w:top w:val="nil"/>
              <w:left w:val="nil"/>
              <w:bottom w:val="nil"/>
              <w:right w:val="single" w:sz="4" w:space="0" w:color="000000"/>
            </w:tcBorders>
            <w:vAlign w:val="bottom"/>
          </w:tcPr>
          <w:p w14:paraId="5CB9264B"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£782K</w:t>
            </w:r>
          </w:p>
        </w:tc>
        <w:tc>
          <w:tcPr>
            <w:tcW w:w="1275" w:type="dxa"/>
            <w:tcBorders>
              <w:top w:val="nil"/>
              <w:left w:val="nil"/>
              <w:bottom w:val="nil"/>
              <w:right w:val="single" w:sz="4" w:space="0" w:color="000000"/>
            </w:tcBorders>
            <w:vAlign w:val="bottom"/>
          </w:tcPr>
          <w:p w14:paraId="45FEFD96"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£807k</w:t>
            </w:r>
          </w:p>
        </w:tc>
      </w:tr>
      <w:tr w:rsidR="00BE13A8" w14:paraId="2025A8C8" w14:textId="77777777" w:rsidTr="007E1C9E">
        <w:trPr>
          <w:trHeight w:val="288"/>
        </w:trPr>
        <w:tc>
          <w:tcPr>
            <w:tcW w:w="7225" w:type="dxa"/>
            <w:tcBorders>
              <w:top w:val="nil"/>
              <w:left w:val="single" w:sz="4" w:space="0" w:color="000000"/>
              <w:bottom w:val="nil"/>
              <w:right w:val="single" w:sz="4" w:space="0" w:color="000000"/>
            </w:tcBorders>
            <w:vAlign w:val="bottom"/>
          </w:tcPr>
          <w:p w14:paraId="2F72EB65" w14:textId="104545E2" w:rsidR="00BE13A8" w:rsidRDefault="00D70530">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Trading</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Income</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(net</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profit)</w:t>
            </w:r>
          </w:p>
        </w:tc>
        <w:tc>
          <w:tcPr>
            <w:tcW w:w="1134" w:type="dxa"/>
            <w:tcBorders>
              <w:top w:val="nil"/>
              <w:left w:val="nil"/>
              <w:bottom w:val="nil"/>
              <w:right w:val="single" w:sz="4" w:space="0" w:color="000000"/>
            </w:tcBorders>
            <w:vAlign w:val="bottom"/>
          </w:tcPr>
          <w:p w14:paraId="66BD5755"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£164K</w:t>
            </w:r>
          </w:p>
        </w:tc>
        <w:tc>
          <w:tcPr>
            <w:tcW w:w="1275" w:type="dxa"/>
            <w:tcBorders>
              <w:top w:val="nil"/>
              <w:left w:val="nil"/>
              <w:bottom w:val="nil"/>
              <w:right w:val="single" w:sz="4" w:space="0" w:color="000000"/>
            </w:tcBorders>
            <w:vAlign w:val="bottom"/>
          </w:tcPr>
          <w:p w14:paraId="08CC4953"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£280K</w:t>
            </w:r>
          </w:p>
        </w:tc>
      </w:tr>
      <w:tr w:rsidR="00BE13A8" w14:paraId="0FCD6FE1" w14:textId="77777777" w:rsidTr="007E1C9E">
        <w:trPr>
          <w:trHeight w:val="288"/>
        </w:trPr>
        <w:tc>
          <w:tcPr>
            <w:tcW w:w="7225" w:type="dxa"/>
            <w:tcBorders>
              <w:top w:val="nil"/>
              <w:left w:val="single" w:sz="4" w:space="0" w:color="000000"/>
              <w:bottom w:val="nil"/>
              <w:right w:val="single" w:sz="4" w:space="0" w:color="000000"/>
            </w:tcBorders>
            <w:shd w:val="clear" w:color="auto" w:fill="F2F2F2"/>
            <w:vAlign w:val="bottom"/>
          </w:tcPr>
          <w:p w14:paraId="5FC8B9E6" w14:textId="4D3AB328" w:rsidR="00BE13A8" w:rsidRDefault="00D70530">
            <w:pPr>
              <w:rPr>
                <w:rFonts w:ascii="Aptos Narrow" w:eastAsia="Aptos Narrow" w:hAnsi="Aptos Narrow" w:cs="Aptos Narrow"/>
                <w:b/>
                <w:color w:val="000000"/>
                <w:sz w:val="22"/>
                <w:szCs w:val="22"/>
              </w:rPr>
            </w:pPr>
            <w:r>
              <w:rPr>
                <w:rFonts w:ascii="Aptos Narrow" w:eastAsia="Aptos Narrow" w:hAnsi="Aptos Narrow" w:cs="Aptos Narrow"/>
                <w:b/>
                <w:color w:val="000000"/>
                <w:sz w:val="22"/>
                <w:szCs w:val="22"/>
              </w:rPr>
              <w:t>Regional</w:t>
            </w:r>
            <w:r w:rsidR="00BF059B">
              <w:rPr>
                <w:rFonts w:ascii="Aptos Narrow" w:eastAsia="Aptos Narrow" w:hAnsi="Aptos Narrow" w:cs="Aptos Narrow"/>
                <w:b/>
                <w:color w:val="000000"/>
                <w:sz w:val="22"/>
                <w:szCs w:val="22"/>
              </w:rPr>
              <w:t xml:space="preserve"> </w:t>
            </w:r>
            <w:r>
              <w:rPr>
                <w:rFonts w:ascii="Aptos Narrow" w:eastAsia="Aptos Narrow" w:hAnsi="Aptos Narrow" w:cs="Aptos Narrow"/>
                <w:b/>
                <w:color w:val="000000"/>
                <w:sz w:val="22"/>
                <w:szCs w:val="22"/>
              </w:rPr>
              <w:t>engagement</w:t>
            </w:r>
          </w:p>
        </w:tc>
        <w:tc>
          <w:tcPr>
            <w:tcW w:w="1134" w:type="dxa"/>
            <w:tcBorders>
              <w:top w:val="nil"/>
              <w:left w:val="nil"/>
              <w:bottom w:val="nil"/>
              <w:right w:val="single" w:sz="4" w:space="0" w:color="000000"/>
            </w:tcBorders>
            <w:shd w:val="clear" w:color="auto" w:fill="F2F2F2"/>
            <w:vAlign w:val="bottom"/>
          </w:tcPr>
          <w:p w14:paraId="3290A411" w14:textId="445AC482"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c>
          <w:tcPr>
            <w:tcW w:w="1275" w:type="dxa"/>
            <w:tcBorders>
              <w:top w:val="nil"/>
              <w:left w:val="nil"/>
              <w:bottom w:val="nil"/>
              <w:right w:val="single" w:sz="4" w:space="0" w:color="000000"/>
            </w:tcBorders>
            <w:shd w:val="clear" w:color="auto" w:fill="F2F2F2"/>
            <w:vAlign w:val="bottom"/>
          </w:tcPr>
          <w:p w14:paraId="71F2EF26" w14:textId="2F0A8454" w:rsidR="00BE13A8" w:rsidRDefault="00BF059B">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 xml:space="preserve"> </w:t>
            </w:r>
          </w:p>
        </w:tc>
      </w:tr>
      <w:tr w:rsidR="00BE13A8" w14:paraId="3F00C57A" w14:textId="77777777" w:rsidTr="007E1C9E">
        <w:trPr>
          <w:trHeight w:val="288"/>
        </w:trPr>
        <w:tc>
          <w:tcPr>
            <w:tcW w:w="7225" w:type="dxa"/>
            <w:tcBorders>
              <w:top w:val="nil"/>
              <w:left w:val="single" w:sz="4" w:space="0" w:color="000000"/>
              <w:bottom w:val="single" w:sz="4" w:space="0" w:color="000000"/>
              <w:right w:val="single" w:sz="4" w:space="0" w:color="000000"/>
            </w:tcBorders>
            <w:vAlign w:val="bottom"/>
          </w:tcPr>
          <w:p w14:paraId="5749D3F1" w14:textId="7CCBDA2C" w:rsidR="00BE13A8" w:rsidRDefault="00D70530">
            <w:pPr>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No.</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of</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UK</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loan</w:t>
            </w:r>
            <w:r w:rsidR="00BF059B">
              <w:rPr>
                <w:rFonts w:ascii="Aptos Narrow" w:eastAsia="Aptos Narrow" w:hAnsi="Aptos Narrow" w:cs="Aptos Narrow"/>
                <w:color w:val="000000"/>
                <w:sz w:val="22"/>
                <w:szCs w:val="22"/>
              </w:rPr>
              <w:t xml:space="preserve"> </w:t>
            </w:r>
            <w:r>
              <w:rPr>
                <w:rFonts w:ascii="Aptos Narrow" w:eastAsia="Aptos Narrow" w:hAnsi="Aptos Narrow" w:cs="Aptos Narrow"/>
                <w:color w:val="000000"/>
                <w:sz w:val="22"/>
                <w:szCs w:val="22"/>
              </w:rPr>
              <w:t>venues</w:t>
            </w:r>
          </w:p>
        </w:tc>
        <w:tc>
          <w:tcPr>
            <w:tcW w:w="1134" w:type="dxa"/>
            <w:tcBorders>
              <w:top w:val="nil"/>
              <w:left w:val="nil"/>
              <w:bottom w:val="single" w:sz="4" w:space="0" w:color="000000"/>
              <w:right w:val="single" w:sz="4" w:space="0" w:color="000000"/>
            </w:tcBorders>
            <w:vAlign w:val="bottom"/>
          </w:tcPr>
          <w:p w14:paraId="4654B026" w14:textId="7852CCC1"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5</w:t>
            </w:r>
            <w:r w:rsidR="00BF059B">
              <w:rPr>
                <w:rFonts w:ascii="Aptos Narrow" w:eastAsia="Aptos Narrow" w:hAnsi="Aptos Narrow" w:cs="Aptos Narrow"/>
                <w:color w:val="000000"/>
                <w:sz w:val="22"/>
                <w:szCs w:val="22"/>
              </w:rPr>
              <w:t xml:space="preserve"> </w:t>
            </w:r>
          </w:p>
        </w:tc>
        <w:tc>
          <w:tcPr>
            <w:tcW w:w="1275" w:type="dxa"/>
            <w:tcBorders>
              <w:top w:val="nil"/>
              <w:left w:val="nil"/>
              <w:bottom w:val="single" w:sz="4" w:space="0" w:color="000000"/>
              <w:right w:val="single" w:sz="4" w:space="0" w:color="000000"/>
            </w:tcBorders>
            <w:vAlign w:val="bottom"/>
          </w:tcPr>
          <w:p w14:paraId="39F6755A" w14:textId="77777777" w:rsidR="00BE13A8" w:rsidRDefault="00D70530">
            <w:pPr>
              <w:jc w:val="right"/>
              <w:rPr>
                <w:rFonts w:ascii="Aptos Narrow" w:eastAsia="Aptos Narrow" w:hAnsi="Aptos Narrow" w:cs="Aptos Narrow"/>
                <w:color w:val="000000"/>
                <w:sz w:val="22"/>
                <w:szCs w:val="22"/>
              </w:rPr>
            </w:pPr>
            <w:r>
              <w:rPr>
                <w:rFonts w:ascii="Aptos Narrow" w:eastAsia="Aptos Narrow" w:hAnsi="Aptos Narrow" w:cs="Aptos Narrow"/>
                <w:color w:val="000000"/>
                <w:sz w:val="22"/>
                <w:szCs w:val="22"/>
              </w:rPr>
              <w:t>10</w:t>
            </w:r>
          </w:p>
        </w:tc>
      </w:tr>
    </w:tbl>
    <w:p w14:paraId="1BA4B39D" w14:textId="77777777" w:rsidR="00BE13A8" w:rsidRDefault="00BE13A8">
      <w:pPr>
        <w:rPr>
          <w:i/>
          <w:color w:val="FF0000"/>
        </w:rPr>
      </w:pPr>
    </w:p>
    <w:p w14:paraId="188B3CCB" w14:textId="77777777" w:rsidR="00BE13A8" w:rsidRDefault="00BE13A8">
      <w:pPr>
        <w:jc w:val="both"/>
        <w:rPr>
          <w:i/>
          <w:color w:val="FF0000"/>
        </w:rPr>
      </w:pPr>
    </w:p>
    <w:sectPr w:rsidR="00BE13A8">
      <w:headerReference w:type="default" r:id="rId27"/>
      <w:footerReference w:type="default" r:id="rId28"/>
      <w:pgSz w:w="11909" w:h="16834"/>
      <w:pgMar w:top="1440" w:right="1080" w:bottom="1276" w:left="1080" w:header="708"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746A" w14:textId="77777777" w:rsidR="007A7EA2" w:rsidRDefault="007A7EA2">
      <w:r>
        <w:separator/>
      </w:r>
    </w:p>
  </w:endnote>
  <w:endnote w:type="continuationSeparator" w:id="0">
    <w:p w14:paraId="5C2A5320" w14:textId="77777777" w:rsidR="007A7EA2" w:rsidRDefault="007A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Myriad Pr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Caveat">
    <w:charset w:val="00"/>
    <w:family w:val="auto"/>
    <w:pitch w:val="default"/>
  </w:font>
  <w:font w:name="Aptos Narrow">
    <w:charset w:val="00"/>
    <w:family w:val="swiss"/>
    <w:pitch w:val="variable"/>
    <w:sig w:usb0="20000287" w:usb1="00000003" w:usb2="00000000" w:usb3="00000000" w:csb0="0000019F" w:csb1="00000000"/>
  </w:font>
  <w:font w:name="Gill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BC9E" w14:textId="77777777" w:rsidR="00BE13A8" w:rsidRDefault="00D7053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960DA1">
      <w:rPr>
        <w:noProof/>
        <w:color w:val="000000"/>
      </w:rPr>
      <w:t>1</w:t>
    </w:r>
    <w:r>
      <w:rPr>
        <w:color w:val="000000"/>
      </w:rPr>
      <w:fldChar w:fldCharType="end"/>
    </w:r>
  </w:p>
  <w:p w14:paraId="22C7AFE0" w14:textId="77777777" w:rsidR="00BE13A8" w:rsidRDefault="00BE13A8">
    <w:pPr>
      <w:pBdr>
        <w:top w:val="nil"/>
        <w:left w:val="nil"/>
        <w:bottom w:val="nil"/>
        <w:right w:val="nil"/>
        <w:between w:val="nil"/>
      </w:pBdr>
      <w:tabs>
        <w:tab w:val="center" w:pos="4320"/>
        <w:tab w:val="right" w:pos="8640"/>
      </w:tabs>
      <w:ind w:right="36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433A" w14:textId="77777777" w:rsidR="007A7EA2" w:rsidRDefault="007A7EA2">
      <w:r>
        <w:separator/>
      </w:r>
    </w:p>
  </w:footnote>
  <w:footnote w:type="continuationSeparator" w:id="0">
    <w:p w14:paraId="38BCC918" w14:textId="77777777" w:rsidR="007A7EA2" w:rsidRDefault="007A7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666D" w14:textId="77777777" w:rsidR="00BE13A8" w:rsidRDefault="00D70530">
    <w:pPr>
      <w:pBdr>
        <w:top w:val="nil"/>
        <w:left w:val="nil"/>
        <w:bottom w:val="nil"/>
        <w:right w:val="nil"/>
        <w:between w:val="nil"/>
      </w:pBdr>
      <w:tabs>
        <w:tab w:val="center" w:pos="4153"/>
        <w:tab w:val="right" w:pos="8306"/>
      </w:tabs>
      <w:rPr>
        <w:rFonts w:ascii="Gill Sans" w:eastAsia="Gill Sans" w:hAnsi="Gill Sans" w:cs="Gill Sans"/>
        <w:color w:val="000000"/>
        <w:sz w:val="14"/>
        <w:szCs w:val="14"/>
      </w:rPr>
    </w:pPr>
    <w:r>
      <w:rPr>
        <w:rFonts w:ascii="Gill Sans" w:eastAsia="Gill Sans" w:hAnsi="Gill Sans" w:cs="Gill Sans"/>
        <w:color w:val="000000"/>
        <w:sz w:val="14"/>
        <w:szCs w:val="14"/>
      </w:rPr>
      <w:t>THE HORNIMAN PUBLIC MUSEUM AND PUBLIC PARK TRUST ANNUAL REPORT &amp; CONSOLIDATED ACCOUNTS 2024-25</w:t>
    </w:r>
  </w:p>
  <w:p w14:paraId="0D7236B2" w14:textId="77777777" w:rsidR="00BE13A8" w:rsidRDefault="00BE13A8">
    <w:pPr>
      <w:pBdr>
        <w:top w:val="nil"/>
        <w:left w:val="nil"/>
        <w:bottom w:val="nil"/>
        <w:right w:val="nil"/>
        <w:between w:val="nil"/>
      </w:pBdr>
      <w:tabs>
        <w:tab w:val="center" w:pos="4153"/>
        <w:tab w:val="right" w:pos="8306"/>
      </w:tabs>
      <w:rPr>
        <w:rFonts w:ascii="Gill Sans" w:eastAsia="Gill Sans" w:hAnsi="Gill Sans" w:cs="Gill Sans"/>
        <w:color w:val="000000"/>
        <w:sz w:val="14"/>
        <w:szCs w:val="14"/>
      </w:rPr>
    </w:pPr>
  </w:p>
  <w:p w14:paraId="71A90EFF" w14:textId="77777777" w:rsidR="00BE13A8" w:rsidRDefault="00BE13A8">
    <w:pPr>
      <w:pBdr>
        <w:top w:val="nil"/>
        <w:left w:val="nil"/>
        <w:bottom w:val="nil"/>
        <w:right w:val="nil"/>
        <w:between w:val="nil"/>
      </w:pBdr>
      <w:tabs>
        <w:tab w:val="center" w:pos="4153"/>
        <w:tab w:val="right" w:pos="8306"/>
      </w:tabs>
      <w:rPr>
        <w:rFonts w:ascii="Gill Sans" w:eastAsia="Gill Sans" w:hAnsi="Gill Sans" w:cs="Gill Sans"/>
        <w:color w:val="00000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365"/>
    <w:multiLevelType w:val="hybridMultilevel"/>
    <w:tmpl w:val="26D8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865E2"/>
    <w:multiLevelType w:val="multilevel"/>
    <w:tmpl w:val="BE8CA2C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1262D"/>
    <w:multiLevelType w:val="multilevel"/>
    <w:tmpl w:val="6CF69A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97031A6"/>
    <w:multiLevelType w:val="multilevel"/>
    <w:tmpl w:val="CFAEBBAC"/>
    <w:lvl w:ilvl="0">
      <w:start w:val="1"/>
      <w:numFmt w:val="bullet"/>
      <w:lvlText w:val="●"/>
      <w:lvlJc w:val="left"/>
      <w:pPr>
        <w:ind w:left="340" w:hanging="340"/>
      </w:pPr>
      <w:rPr>
        <w:rFonts w:ascii="Noto Sans Symbols" w:eastAsia="Noto Sans Symbols" w:hAnsi="Noto Sans Symbols" w:cs="Noto Sans Symbols"/>
      </w:rPr>
    </w:lvl>
    <w:lvl w:ilvl="1">
      <w:start w:val="1"/>
      <w:numFmt w:val="bullet"/>
      <w:lvlText w:val="­"/>
      <w:lvlJc w:val="left"/>
      <w:pPr>
        <w:ind w:left="36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C962B0"/>
    <w:multiLevelType w:val="multilevel"/>
    <w:tmpl w:val="9250B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5261A5"/>
    <w:multiLevelType w:val="multilevel"/>
    <w:tmpl w:val="8E6C430C"/>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8840E5"/>
    <w:multiLevelType w:val="multilevel"/>
    <w:tmpl w:val="B754B2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FE2141B"/>
    <w:multiLevelType w:val="multilevel"/>
    <w:tmpl w:val="135E4FB4"/>
    <w:lvl w:ilvl="0">
      <w:start w:val="1"/>
      <w:numFmt w:val="lowerLetter"/>
      <w:pStyle w:val="ListBullet"/>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BB0D84"/>
    <w:multiLevelType w:val="multilevel"/>
    <w:tmpl w:val="7B2834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51159F3"/>
    <w:multiLevelType w:val="hybridMultilevel"/>
    <w:tmpl w:val="0FE4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1229D"/>
    <w:multiLevelType w:val="multilevel"/>
    <w:tmpl w:val="4A7623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1131C1D"/>
    <w:multiLevelType w:val="multilevel"/>
    <w:tmpl w:val="5F442C70"/>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2" w15:restartNumberingAfterBreak="0">
    <w:nsid w:val="2141733E"/>
    <w:multiLevelType w:val="multilevel"/>
    <w:tmpl w:val="E5D489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D05269"/>
    <w:multiLevelType w:val="multilevel"/>
    <w:tmpl w:val="ACF491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30B185E"/>
    <w:multiLevelType w:val="multilevel"/>
    <w:tmpl w:val="F9223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4B7EA9"/>
    <w:multiLevelType w:val="multilevel"/>
    <w:tmpl w:val="003C54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B3739A"/>
    <w:multiLevelType w:val="multilevel"/>
    <w:tmpl w:val="33CA4E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71871B1"/>
    <w:multiLevelType w:val="hybridMultilevel"/>
    <w:tmpl w:val="DDD6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580BB4"/>
    <w:multiLevelType w:val="multilevel"/>
    <w:tmpl w:val="4CB8A8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7143AF"/>
    <w:multiLevelType w:val="hybridMultilevel"/>
    <w:tmpl w:val="85F8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C3F48"/>
    <w:multiLevelType w:val="multilevel"/>
    <w:tmpl w:val="D4ECEC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21E63C2"/>
    <w:multiLevelType w:val="multilevel"/>
    <w:tmpl w:val="AF189E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6132780"/>
    <w:multiLevelType w:val="hybridMultilevel"/>
    <w:tmpl w:val="0C10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3676F"/>
    <w:multiLevelType w:val="hybridMultilevel"/>
    <w:tmpl w:val="A056B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A709E6"/>
    <w:multiLevelType w:val="multilevel"/>
    <w:tmpl w:val="BA7A4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9D43AE7"/>
    <w:multiLevelType w:val="hybridMultilevel"/>
    <w:tmpl w:val="E7E49AD6"/>
    <w:lvl w:ilvl="0" w:tplc="08090001">
      <w:start w:val="1"/>
      <w:numFmt w:val="bullet"/>
      <w:lvlText w:val=""/>
      <w:lvlJc w:val="left"/>
      <w:pPr>
        <w:ind w:left="1007" w:hanging="360"/>
      </w:pPr>
      <w:rPr>
        <w:rFonts w:ascii="Symbol" w:hAnsi="Symbol" w:hint="default"/>
      </w:rPr>
    </w:lvl>
    <w:lvl w:ilvl="1" w:tplc="08090003" w:tentative="1">
      <w:start w:val="1"/>
      <w:numFmt w:val="bullet"/>
      <w:lvlText w:val="o"/>
      <w:lvlJc w:val="left"/>
      <w:pPr>
        <w:ind w:left="1727" w:hanging="360"/>
      </w:pPr>
      <w:rPr>
        <w:rFonts w:ascii="Courier New" w:hAnsi="Courier New" w:cs="Courier New" w:hint="default"/>
      </w:rPr>
    </w:lvl>
    <w:lvl w:ilvl="2" w:tplc="08090005" w:tentative="1">
      <w:start w:val="1"/>
      <w:numFmt w:val="bullet"/>
      <w:lvlText w:val=""/>
      <w:lvlJc w:val="left"/>
      <w:pPr>
        <w:ind w:left="2447" w:hanging="360"/>
      </w:pPr>
      <w:rPr>
        <w:rFonts w:ascii="Wingdings" w:hAnsi="Wingdings" w:hint="default"/>
      </w:rPr>
    </w:lvl>
    <w:lvl w:ilvl="3" w:tplc="08090001" w:tentative="1">
      <w:start w:val="1"/>
      <w:numFmt w:val="bullet"/>
      <w:lvlText w:val=""/>
      <w:lvlJc w:val="left"/>
      <w:pPr>
        <w:ind w:left="3167" w:hanging="360"/>
      </w:pPr>
      <w:rPr>
        <w:rFonts w:ascii="Symbol" w:hAnsi="Symbol" w:hint="default"/>
      </w:rPr>
    </w:lvl>
    <w:lvl w:ilvl="4" w:tplc="08090003" w:tentative="1">
      <w:start w:val="1"/>
      <w:numFmt w:val="bullet"/>
      <w:lvlText w:val="o"/>
      <w:lvlJc w:val="left"/>
      <w:pPr>
        <w:ind w:left="3887" w:hanging="360"/>
      </w:pPr>
      <w:rPr>
        <w:rFonts w:ascii="Courier New" w:hAnsi="Courier New" w:cs="Courier New" w:hint="default"/>
      </w:rPr>
    </w:lvl>
    <w:lvl w:ilvl="5" w:tplc="08090005" w:tentative="1">
      <w:start w:val="1"/>
      <w:numFmt w:val="bullet"/>
      <w:lvlText w:val=""/>
      <w:lvlJc w:val="left"/>
      <w:pPr>
        <w:ind w:left="4607" w:hanging="360"/>
      </w:pPr>
      <w:rPr>
        <w:rFonts w:ascii="Wingdings" w:hAnsi="Wingdings" w:hint="default"/>
      </w:rPr>
    </w:lvl>
    <w:lvl w:ilvl="6" w:tplc="08090001" w:tentative="1">
      <w:start w:val="1"/>
      <w:numFmt w:val="bullet"/>
      <w:lvlText w:val=""/>
      <w:lvlJc w:val="left"/>
      <w:pPr>
        <w:ind w:left="5327" w:hanging="360"/>
      </w:pPr>
      <w:rPr>
        <w:rFonts w:ascii="Symbol" w:hAnsi="Symbol" w:hint="default"/>
      </w:rPr>
    </w:lvl>
    <w:lvl w:ilvl="7" w:tplc="08090003" w:tentative="1">
      <w:start w:val="1"/>
      <w:numFmt w:val="bullet"/>
      <w:lvlText w:val="o"/>
      <w:lvlJc w:val="left"/>
      <w:pPr>
        <w:ind w:left="6047" w:hanging="360"/>
      </w:pPr>
      <w:rPr>
        <w:rFonts w:ascii="Courier New" w:hAnsi="Courier New" w:cs="Courier New" w:hint="default"/>
      </w:rPr>
    </w:lvl>
    <w:lvl w:ilvl="8" w:tplc="08090005" w:tentative="1">
      <w:start w:val="1"/>
      <w:numFmt w:val="bullet"/>
      <w:lvlText w:val=""/>
      <w:lvlJc w:val="left"/>
      <w:pPr>
        <w:ind w:left="6767" w:hanging="360"/>
      </w:pPr>
      <w:rPr>
        <w:rFonts w:ascii="Wingdings" w:hAnsi="Wingdings" w:hint="default"/>
      </w:rPr>
    </w:lvl>
  </w:abstractNum>
  <w:abstractNum w:abstractNumId="26" w15:restartNumberingAfterBreak="0">
    <w:nsid w:val="3F2C38CF"/>
    <w:multiLevelType w:val="multilevel"/>
    <w:tmpl w:val="5CCA29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4C16ABF"/>
    <w:multiLevelType w:val="multilevel"/>
    <w:tmpl w:val="D2B05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3D3F6C"/>
    <w:multiLevelType w:val="multilevel"/>
    <w:tmpl w:val="CD443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EB355F"/>
    <w:multiLevelType w:val="multilevel"/>
    <w:tmpl w:val="7CD8CD3A"/>
    <w:lvl w:ilvl="0">
      <w:start w:val="1"/>
      <w:numFmt w:val="bullet"/>
      <w:lvlText w:val="●"/>
      <w:lvlJc w:val="left"/>
      <w:pPr>
        <w:ind w:left="340" w:hanging="34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8FE74A4"/>
    <w:multiLevelType w:val="multilevel"/>
    <w:tmpl w:val="328A24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C70436"/>
    <w:multiLevelType w:val="multilevel"/>
    <w:tmpl w:val="898C4D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C3B3DBB"/>
    <w:multiLevelType w:val="multilevel"/>
    <w:tmpl w:val="D85A83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2555C1C"/>
    <w:multiLevelType w:val="multilevel"/>
    <w:tmpl w:val="D9F669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4E06332"/>
    <w:multiLevelType w:val="multilevel"/>
    <w:tmpl w:val="6C9E6D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60F3550"/>
    <w:multiLevelType w:val="multilevel"/>
    <w:tmpl w:val="F9AA8018"/>
    <w:lvl w:ilvl="0">
      <w:start w:val="1"/>
      <w:numFmt w:val="bullet"/>
      <w:lvlText w:val="●"/>
      <w:lvlJc w:val="left"/>
      <w:pPr>
        <w:ind w:left="288" w:hanging="288"/>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5C881720"/>
    <w:multiLevelType w:val="multilevel"/>
    <w:tmpl w:val="D318D404"/>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CE0196"/>
    <w:multiLevelType w:val="multilevel"/>
    <w:tmpl w:val="1CE602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082B4C"/>
    <w:multiLevelType w:val="multilevel"/>
    <w:tmpl w:val="88CEA8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40" w:hanging="34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53386F"/>
    <w:multiLevelType w:val="multilevel"/>
    <w:tmpl w:val="5366DC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4607678"/>
    <w:multiLevelType w:val="multilevel"/>
    <w:tmpl w:val="3DC07D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56B0881"/>
    <w:multiLevelType w:val="multilevel"/>
    <w:tmpl w:val="CBA03000"/>
    <w:lvl w:ilvl="0">
      <w:start w:val="1"/>
      <w:numFmt w:val="bullet"/>
      <w:lvlText w:val="o"/>
      <w:lvlJc w:val="left"/>
      <w:pPr>
        <w:ind w:left="1146" w:hanging="360"/>
      </w:pPr>
      <w:rPr>
        <w:rFonts w:ascii="Courier New" w:eastAsia="Courier New" w:hAnsi="Courier New" w:cs="Courier New"/>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2" w15:restartNumberingAfterBreak="0">
    <w:nsid w:val="6725488A"/>
    <w:multiLevelType w:val="multilevel"/>
    <w:tmpl w:val="0E8A1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8A973A1"/>
    <w:multiLevelType w:val="multilevel"/>
    <w:tmpl w:val="56788D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6A1A2CB6"/>
    <w:multiLevelType w:val="multilevel"/>
    <w:tmpl w:val="0AD6FA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2D93928"/>
    <w:multiLevelType w:val="multilevel"/>
    <w:tmpl w:val="F530EF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311271B"/>
    <w:multiLevelType w:val="multilevel"/>
    <w:tmpl w:val="C5EEF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1472355">
    <w:abstractNumId w:val="29"/>
  </w:num>
  <w:num w:numId="2" w16cid:durableId="2142649373">
    <w:abstractNumId w:val="24"/>
  </w:num>
  <w:num w:numId="3" w16cid:durableId="169561359">
    <w:abstractNumId w:val="7"/>
  </w:num>
  <w:num w:numId="4" w16cid:durableId="677346973">
    <w:abstractNumId w:val="46"/>
  </w:num>
  <w:num w:numId="5" w16cid:durableId="903681050">
    <w:abstractNumId w:val="12"/>
  </w:num>
  <w:num w:numId="6" w16cid:durableId="1886718912">
    <w:abstractNumId w:val="28"/>
  </w:num>
  <w:num w:numId="7" w16cid:durableId="1811705214">
    <w:abstractNumId w:val="38"/>
  </w:num>
  <w:num w:numId="8" w16cid:durableId="841436756">
    <w:abstractNumId w:val="15"/>
  </w:num>
  <w:num w:numId="9" w16cid:durableId="146870044">
    <w:abstractNumId w:val="5"/>
  </w:num>
  <w:num w:numId="10" w16cid:durableId="1882087013">
    <w:abstractNumId w:val="36"/>
  </w:num>
  <w:num w:numId="11" w16cid:durableId="1744644987">
    <w:abstractNumId w:val="37"/>
  </w:num>
  <w:num w:numId="12" w16cid:durableId="927154323">
    <w:abstractNumId w:val="32"/>
  </w:num>
  <w:num w:numId="13" w16cid:durableId="372770592">
    <w:abstractNumId w:val="10"/>
  </w:num>
  <w:num w:numId="14" w16cid:durableId="1303578398">
    <w:abstractNumId w:val="34"/>
  </w:num>
  <w:num w:numId="15" w16cid:durableId="208497297">
    <w:abstractNumId w:val="40"/>
  </w:num>
  <w:num w:numId="16" w16cid:durableId="158429775">
    <w:abstractNumId w:val="44"/>
  </w:num>
  <w:num w:numId="17" w16cid:durableId="706837660">
    <w:abstractNumId w:val="21"/>
  </w:num>
  <w:num w:numId="18" w16cid:durableId="2137327417">
    <w:abstractNumId w:val="13"/>
  </w:num>
  <w:num w:numId="19" w16cid:durableId="1178619050">
    <w:abstractNumId w:val="18"/>
  </w:num>
  <w:num w:numId="20" w16cid:durableId="469712362">
    <w:abstractNumId w:val="2"/>
  </w:num>
  <w:num w:numId="21" w16cid:durableId="1162815134">
    <w:abstractNumId w:val="6"/>
  </w:num>
  <w:num w:numId="22" w16cid:durableId="1467970130">
    <w:abstractNumId w:val="8"/>
  </w:num>
  <w:num w:numId="23" w16cid:durableId="16348757">
    <w:abstractNumId w:val="35"/>
  </w:num>
  <w:num w:numId="24" w16cid:durableId="1169170706">
    <w:abstractNumId w:val="33"/>
  </w:num>
  <w:num w:numId="25" w16cid:durableId="1524512359">
    <w:abstractNumId w:val="16"/>
  </w:num>
  <w:num w:numId="26" w16cid:durableId="1545755375">
    <w:abstractNumId w:val="26"/>
  </w:num>
  <w:num w:numId="27" w16cid:durableId="1174497619">
    <w:abstractNumId w:val="31"/>
  </w:num>
  <w:num w:numId="28" w16cid:durableId="396781230">
    <w:abstractNumId w:val="20"/>
  </w:num>
  <w:num w:numId="29" w16cid:durableId="973410897">
    <w:abstractNumId w:val="45"/>
  </w:num>
  <w:num w:numId="30" w16cid:durableId="1946763497">
    <w:abstractNumId w:val="39"/>
  </w:num>
  <w:num w:numId="31" w16cid:durableId="190843524">
    <w:abstractNumId w:val="14"/>
  </w:num>
  <w:num w:numId="32" w16cid:durableId="1647511758">
    <w:abstractNumId w:val="27"/>
  </w:num>
  <w:num w:numId="33" w16cid:durableId="533077388">
    <w:abstractNumId w:val="11"/>
  </w:num>
  <w:num w:numId="34" w16cid:durableId="127357453">
    <w:abstractNumId w:val="43"/>
  </w:num>
  <w:num w:numId="35" w16cid:durableId="1066879777">
    <w:abstractNumId w:val="41"/>
  </w:num>
  <w:num w:numId="36" w16cid:durableId="785737012">
    <w:abstractNumId w:val="3"/>
  </w:num>
  <w:num w:numId="37" w16cid:durableId="47805591">
    <w:abstractNumId w:val="42"/>
  </w:num>
  <w:num w:numId="38" w16cid:durableId="772937308">
    <w:abstractNumId w:val="30"/>
  </w:num>
  <w:num w:numId="39" w16cid:durableId="1192110899">
    <w:abstractNumId w:val="4"/>
  </w:num>
  <w:num w:numId="40" w16cid:durableId="1044519517">
    <w:abstractNumId w:val="1"/>
  </w:num>
  <w:num w:numId="41" w16cid:durableId="622469642">
    <w:abstractNumId w:val="9"/>
  </w:num>
  <w:num w:numId="42" w16cid:durableId="1660690857">
    <w:abstractNumId w:val="0"/>
  </w:num>
  <w:num w:numId="43" w16cid:durableId="1118522790">
    <w:abstractNumId w:val="17"/>
  </w:num>
  <w:num w:numId="44" w16cid:durableId="964579891">
    <w:abstractNumId w:val="22"/>
  </w:num>
  <w:num w:numId="45" w16cid:durableId="2020423864">
    <w:abstractNumId w:val="19"/>
  </w:num>
  <w:num w:numId="46" w16cid:durableId="1057970546">
    <w:abstractNumId w:val="25"/>
  </w:num>
  <w:num w:numId="47" w16cid:durableId="677923255">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3A8"/>
    <w:rsid w:val="000226C1"/>
    <w:rsid w:val="00033508"/>
    <w:rsid w:val="00044387"/>
    <w:rsid w:val="0015265F"/>
    <w:rsid w:val="001C1379"/>
    <w:rsid w:val="002003FA"/>
    <w:rsid w:val="00230106"/>
    <w:rsid w:val="003F0B6D"/>
    <w:rsid w:val="004122EF"/>
    <w:rsid w:val="004211F3"/>
    <w:rsid w:val="00680379"/>
    <w:rsid w:val="0070017C"/>
    <w:rsid w:val="007A7EA2"/>
    <w:rsid w:val="007B258B"/>
    <w:rsid w:val="007E1C9E"/>
    <w:rsid w:val="007E32B9"/>
    <w:rsid w:val="008D4835"/>
    <w:rsid w:val="00906D6D"/>
    <w:rsid w:val="00960DA1"/>
    <w:rsid w:val="00976A50"/>
    <w:rsid w:val="00A3133E"/>
    <w:rsid w:val="00AB448A"/>
    <w:rsid w:val="00BA76E3"/>
    <w:rsid w:val="00BE13A8"/>
    <w:rsid w:val="00BF059B"/>
    <w:rsid w:val="00C81FD1"/>
    <w:rsid w:val="00CC5B27"/>
    <w:rsid w:val="00D70530"/>
    <w:rsid w:val="00DC462A"/>
    <w:rsid w:val="00DE009E"/>
    <w:rsid w:val="00DE30D3"/>
    <w:rsid w:val="00DE5560"/>
    <w:rsid w:val="00E26A74"/>
    <w:rsid w:val="00EE60F3"/>
    <w:rsid w:val="00F563F6"/>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1C39799B"/>
  <w14:discardImageEditingData/>
  <w14:defaultImageDpi w14:val="96"/>
  <w15:docId w15:val="{D5907A7C-F022-4A9F-AFCD-A3EE4733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6E3"/>
  </w:style>
  <w:style w:type="paragraph" w:styleId="Heading1">
    <w:name w:val="heading 1"/>
    <w:basedOn w:val="Normal"/>
    <w:next w:val="Normal"/>
    <w:link w:val="Heading1Char"/>
    <w:uiPriority w:val="9"/>
    <w:qFormat/>
    <w:rsid w:val="00044387"/>
    <w:pPr>
      <w:outlineLvl w:val="0"/>
    </w:pPr>
    <w:rPr>
      <w:b/>
      <w:bCs/>
      <w:sz w:val="32"/>
      <w:szCs w:val="32"/>
    </w:rPr>
  </w:style>
  <w:style w:type="paragraph" w:styleId="Heading2">
    <w:name w:val="heading 2"/>
    <w:basedOn w:val="Normal"/>
    <w:next w:val="Normal"/>
    <w:link w:val="Heading2Char"/>
    <w:uiPriority w:val="9"/>
    <w:unhideWhenUsed/>
    <w:qFormat/>
    <w:rsid w:val="00044387"/>
    <w:pPr>
      <w:outlineLvl w:val="1"/>
    </w:pPr>
    <w:rPr>
      <w:b/>
      <w:bCs/>
      <w:sz w:val="28"/>
      <w:szCs w:val="28"/>
    </w:rPr>
  </w:style>
  <w:style w:type="paragraph" w:styleId="Heading3">
    <w:name w:val="heading 3"/>
    <w:basedOn w:val="Normal"/>
    <w:next w:val="Normal"/>
    <w:link w:val="Heading3Char"/>
    <w:uiPriority w:val="9"/>
    <w:unhideWhenUsed/>
    <w:qFormat/>
    <w:rsid w:val="00044387"/>
    <w:pPr>
      <w:outlineLvl w:val="2"/>
    </w:pPr>
    <w:rPr>
      <w:b/>
    </w:rPr>
  </w:style>
  <w:style w:type="paragraph" w:styleId="Heading4">
    <w:name w:val="heading 4"/>
    <w:basedOn w:val="Normal"/>
    <w:next w:val="Normal"/>
    <w:link w:val="Heading4Char"/>
    <w:uiPriority w:val="9"/>
    <w:unhideWhenUsed/>
    <w:qFormat/>
    <w:rsid w:val="00BF059B"/>
    <w:pPr>
      <w:jc w:val="both"/>
      <w:outlineLvl w:val="3"/>
    </w:pPr>
    <w:rPr>
      <w:b/>
      <w:sz w:val="23"/>
      <w:szCs w:val="23"/>
    </w:rPr>
  </w:style>
  <w:style w:type="paragraph" w:styleId="Heading5">
    <w:name w:val="heading 5"/>
    <w:basedOn w:val="Normal"/>
    <w:next w:val="Normal"/>
    <w:uiPriority w:val="9"/>
    <w:unhideWhenUsed/>
    <w:qFormat/>
    <w:rsid w:val="008D4835"/>
    <w:pPr>
      <w:pBdr>
        <w:top w:val="nil"/>
        <w:left w:val="nil"/>
        <w:bottom w:val="nil"/>
        <w:right w:val="nil"/>
        <w:between w:val="nil"/>
      </w:pBdr>
      <w:jc w:val="both"/>
      <w:outlineLvl w:val="4"/>
    </w:pPr>
    <w:rPr>
      <w:b/>
      <w:color w:val="000000"/>
    </w:rPr>
  </w:style>
  <w:style w:type="paragraph" w:styleId="Heading6">
    <w:name w:val="heading 6"/>
    <w:basedOn w:val="Normal"/>
    <w:next w:val="Normal"/>
    <w:link w:val="Heading6Char"/>
    <w:uiPriority w:val="9"/>
    <w:unhideWhenUsed/>
    <w:qFormat/>
    <w:rsid w:val="003F0B6D"/>
    <w:pPr>
      <w:outlineLvl w:val="5"/>
    </w:pPr>
    <w:rPr>
      <w:b/>
      <w:bCs/>
    </w:rPr>
  </w:style>
  <w:style w:type="paragraph" w:styleId="Heading9">
    <w:name w:val="heading 9"/>
    <w:basedOn w:val="Normal"/>
    <w:next w:val="Normal"/>
    <w:link w:val="Heading9Char"/>
    <w:qFormat/>
    <w:rsid w:val="00D51577"/>
    <w:pPr>
      <w:keepNext/>
      <w:suppressAutoHyphens/>
      <w:jc w:val="both"/>
      <w:outlineLvl w:val="8"/>
    </w:pPr>
    <w:rPr>
      <w:rFonts w:cs="Times New Roman"/>
      <w:b/>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jc w:val="center"/>
    </w:pPr>
    <w:rPr>
      <w:u w:val="single"/>
    </w:rPr>
  </w:style>
  <w:style w:type="character" w:customStyle="1" w:styleId="Heading1Char">
    <w:name w:val="Heading 1 Char"/>
    <w:basedOn w:val="DefaultParagraphFont"/>
    <w:link w:val="Heading1"/>
    <w:uiPriority w:val="9"/>
    <w:rsid w:val="00044387"/>
    <w:rPr>
      <w:b/>
      <w:bCs/>
      <w:sz w:val="32"/>
      <w:szCs w:val="32"/>
    </w:rPr>
  </w:style>
  <w:style w:type="character" w:customStyle="1" w:styleId="Heading2Char">
    <w:name w:val="Heading 2 Char"/>
    <w:basedOn w:val="DefaultParagraphFont"/>
    <w:link w:val="Heading2"/>
    <w:uiPriority w:val="9"/>
    <w:rsid w:val="00044387"/>
    <w:rPr>
      <w:b/>
      <w:bCs/>
      <w:sz w:val="28"/>
      <w:szCs w:val="28"/>
    </w:rPr>
  </w:style>
  <w:style w:type="character" w:customStyle="1" w:styleId="Heading3Char">
    <w:name w:val="Heading 3 Char"/>
    <w:basedOn w:val="DefaultParagraphFont"/>
    <w:link w:val="Heading3"/>
    <w:uiPriority w:val="9"/>
    <w:rsid w:val="00044387"/>
    <w:rPr>
      <w:b/>
    </w:rPr>
  </w:style>
  <w:style w:type="character" w:customStyle="1" w:styleId="Heading6Char">
    <w:name w:val="Heading 6 Char"/>
    <w:basedOn w:val="DefaultParagraphFont"/>
    <w:link w:val="Heading6"/>
    <w:uiPriority w:val="9"/>
    <w:rsid w:val="003F0B6D"/>
    <w:rPr>
      <w:b/>
      <w:bCs/>
    </w:rPr>
  </w:style>
  <w:style w:type="character" w:customStyle="1" w:styleId="Heading9Char">
    <w:name w:val="Heading 9 Char"/>
    <w:basedOn w:val="DefaultParagraphFont"/>
    <w:link w:val="Heading9"/>
    <w:rsid w:val="00D51577"/>
    <w:rPr>
      <w:rFonts w:ascii="Arial" w:eastAsia="Times New Roman" w:hAnsi="Arial" w:cs="Times New Roman"/>
      <w:b/>
      <w:spacing w:val="-3"/>
      <w:sz w:val="20"/>
      <w:szCs w:val="20"/>
    </w:rPr>
  </w:style>
  <w:style w:type="paragraph" w:styleId="BalloonText">
    <w:name w:val="Balloon Text"/>
    <w:basedOn w:val="Normal"/>
    <w:link w:val="BalloonTextChar"/>
    <w:semiHidden/>
    <w:rsid w:val="00D51577"/>
    <w:rPr>
      <w:rFonts w:ascii="Tahoma" w:hAnsi="Tahoma" w:cs="Times New Roman"/>
      <w:sz w:val="16"/>
      <w:szCs w:val="16"/>
    </w:rPr>
  </w:style>
  <w:style w:type="character" w:customStyle="1" w:styleId="BalloonTextChar">
    <w:name w:val="Balloon Text Char"/>
    <w:basedOn w:val="DefaultParagraphFont"/>
    <w:link w:val="BalloonText"/>
    <w:semiHidden/>
    <w:rsid w:val="00D51577"/>
    <w:rPr>
      <w:rFonts w:ascii="Tahoma" w:eastAsia="Times New Roman" w:hAnsi="Tahoma" w:cs="Times New Roman"/>
      <w:sz w:val="16"/>
      <w:szCs w:val="16"/>
    </w:rPr>
  </w:style>
  <w:style w:type="character" w:customStyle="1" w:styleId="TitleChar">
    <w:name w:val="Title Char"/>
    <w:basedOn w:val="DefaultParagraphFont"/>
    <w:link w:val="Title"/>
    <w:rsid w:val="00D51577"/>
    <w:rPr>
      <w:rFonts w:ascii="Arial" w:eastAsia="Times New Roman" w:hAnsi="Arial" w:cs="Times New Roman"/>
      <w:sz w:val="24"/>
      <w:szCs w:val="20"/>
      <w:u w:val="single"/>
    </w:rPr>
  </w:style>
  <w:style w:type="paragraph" w:styleId="BodyText2">
    <w:name w:val="Body Text 2"/>
    <w:basedOn w:val="Normal"/>
    <w:link w:val="BodyText2Char"/>
    <w:rsid w:val="00D51577"/>
    <w:pPr>
      <w:spacing w:line="240" w:lineRule="atLeast"/>
      <w:jc w:val="both"/>
    </w:pPr>
    <w:rPr>
      <w:rFonts w:cs="Times New Roman"/>
      <w:sz w:val="20"/>
      <w:szCs w:val="20"/>
    </w:rPr>
  </w:style>
  <w:style w:type="character" w:customStyle="1" w:styleId="BodyText2Char">
    <w:name w:val="Body Text 2 Char"/>
    <w:basedOn w:val="DefaultParagraphFont"/>
    <w:link w:val="BodyText2"/>
    <w:rsid w:val="00D51577"/>
    <w:rPr>
      <w:rFonts w:ascii="Arial" w:eastAsia="Times New Roman" w:hAnsi="Arial" w:cs="Times New Roman"/>
      <w:sz w:val="20"/>
      <w:szCs w:val="20"/>
    </w:rPr>
  </w:style>
  <w:style w:type="paragraph" w:styleId="Footer">
    <w:name w:val="footer"/>
    <w:basedOn w:val="Normal"/>
    <w:link w:val="FooterChar"/>
    <w:uiPriority w:val="99"/>
    <w:rsid w:val="00D51577"/>
    <w:pPr>
      <w:tabs>
        <w:tab w:val="center" w:pos="4320"/>
        <w:tab w:val="right" w:pos="8640"/>
      </w:tabs>
    </w:pPr>
    <w:rPr>
      <w:rFonts w:eastAsia="Calibri" w:cs="Times New Roman"/>
      <w:szCs w:val="20"/>
    </w:rPr>
  </w:style>
  <w:style w:type="character" w:customStyle="1" w:styleId="FooterChar">
    <w:name w:val="Footer Char"/>
    <w:basedOn w:val="DefaultParagraphFont"/>
    <w:link w:val="Footer"/>
    <w:uiPriority w:val="99"/>
    <w:rsid w:val="00D51577"/>
    <w:rPr>
      <w:rFonts w:ascii="Arial" w:eastAsia="Calibri" w:hAnsi="Arial" w:cs="Times New Roman"/>
      <w:sz w:val="24"/>
      <w:szCs w:val="20"/>
    </w:rPr>
  </w:style>
  <w:style w:type="paragraph" w:styleId="BodyText3">
    <w:name w:val="Body Text 3"/>
    <w:basedOn w:val="Normal"/>
    <w:link w:val="BodyText3Char"/>
    <w:rsid w:val="00D51577"/>
    <w:pPr>
      <w:spacing w:after="120"/>
    </w:pPr>
    <w:rPr>
      <w:rFonts w:cs="Times New Roman"/>
      <w:sz w:val="16"/>
      <w:szCs w:val="16"/>
    </w:rPr>
  </w:style>
  <w:style w:type="character" w:customStyle="1" w:styleId="BodyText3Char">
    <w:name w:val="Body Text 3 Char"/>
    <w:basedOn w:val="DefaultParagraphFont"/>
    <w:link w:val="BodyText3"/>
    <w:rsid w:val="00D51577"/>
    <w:rPr>
      <w:rFonts w:ascii="Arial" w:eastAsia="Times New Roman" w:hAnsi="Arial" w:cs="Times New Roman"/>
      <w:sz w:val="16"/>
      <w:szCs w:val="16"/>
    </w:rPr>
  </w:style>
  <w:style w:type="character" w:styleId="PageNumber">
    <w:name w:val="page number"/>
    <w:basedOn w:val="DefaultParagraphFont"/>
    <w:rsid w:val="00D51577"/>
  </w:style>
  <w:style w:type="paragraph" w:styleId="Header">
    <w:name w:val="header"/>
    <w:basedOn w:val="Normal"/>
    <w:link w:val="HeaderChar"/>
    <w:uiPriority w:val="99"/>
    <w:rsid w:val="00D51577"/>
    <w:pPr>
      <w:tabs>
        <w:tab w:val="center" w:pos="4153"/>
        <w:tab w:val="right" w:pos="8306"/>
      </w:tabs>
    </w:pPr>
    <w:rPr>
      <w:rFonts w:cs="Times New Roman"/>
      <w:szCs w:val="20"/>
    </w:rPr>
  </w:style>
  <w:style w:type="character" w:customStyle="1" w:styleId="HeaderChar">
    <w:name w:val="Header Char"/>
    <w:basedOn w:val="DefaultParagraphFont"/>
    <w:link w:val="Header"/>
    <w:uiPriority w:val="99"/>
    <w:rsid w:val="00D51577"/>
    <w:rPr>
      <w:rFonts w:ascii="Arial" w:eastAsia="Times New Roman" w:hAnsi="Arial" w:cs="Times New Roman"/>
      <w:sz w:val="24"/>
      <w:szCs w:val="20"/>
    </w:rPr>
  </w:style>
  <w:style w:type="paragraph" w:styleId="BodyText">
    <w:name w:val="Body Text"/>
    <w:basedOn w:val="Normal"/>
    <w:link w:val="BodyTextChar"/>
    <w:rsid w:val="00D51577"/>
    <w:pPr>
      <w:spacing w:after="120"/>
    </w:pPr>
    <w:rPr>
      <w:rFonts w:cs="Times New Roman"/>
    </w:rPr>
  </w:style>
  <w:style w:type="character" w:customStyle="1" w:styleId="BodyTextChar">
    <w:name w:val="Body Text Char"/>
    <w:basedOn w:val="DefaultParagraphFont"/>
    <w:link w:val="BodyText"/>
    <w:rsid w:val="00D51577"/>
    <w:rPr>
      <w:rFonts w:ascii="Arial" w:eastAsia="Times New Roman" w:hAnsi="Arial" w:cs="Times New Roman"/>
      <w:sz w:val="24"/>
      <w:szCs w:val="24"/>
    </w:rPr>
  </w:style>
  <w:style w:type="paragraph" w:styleId="NormalWeb">
    <w:name w:val="Normal (Web)"/>
    <w:basedOn w:val="Normal"/>
    <w:uiPriority w:val="99"/>
    <w:rsid w:val="00D51577"/>
    <w:pPr>
      <w:shd w:val="clear" w:color="auto" w:fill="FFFFFF"/>
      <w:spacing w:before="100" w:after="150"/>
    </w:pPr>
    <w:rPr>
      <w:rFonts w:ascii="Times New Roman" w:hAnsi="Times New Roman" w:cs="Times New Roman"/>
      <w:color w:val="000000"/>
      <w:sz w:val="22"/>
      <w:szCs w:val="20"/>
    </w:rPr>
  </w:style>
  <w:style w:type="paragraph" w:customStyle="1" w:styleId="indent10">
    <w:name w:val="indent10"/>
    <w:basedOn w:val="Normal"/>
    <w:rsid w:val="00D51577"/>
    <w:pPr>
      <w:spacing w:before="100" w:beforeAutospacing="1" w:after="100" w:afterAutospacing="1"/>
    </w:pPr>
    <w:rPr>
      <w:rFonts w:ascii="Times New Roman" w:hAnsi="Times New Roman" w:cs="Times New Roman"/>
    </w:rPr>
  </w:style>
  <w:style w:type="paragraph" w:styleId="ListBullet">
    <w:name w:val="List Bullet"/>
    <w:basedOn w:val="Normal"/>
    <w:autoRedefine/>
    <w:uiPriority w:val="99"/>
    <w:rsid w:val="00D51577"/>
    <w:pPr>
      <w:numPr>
        <w:numId w:val="3"/>
      </w:numPr>
    </w:pPr>
    <w:rPr>
      <w:rFonts w:ascii="Times New Roman" w:hAnsi="Times New Roman" w:cs="Times New Roman"/>
      <w:sz w:val="20"/>
      <w:szCs w:val="20"/>
    </w:rPr>
  </w:style>
  <w:style w:type="character" w:styleId="Strong">
    <w:name w:val="Strong"/>
    <w:uiPriority w:val="22"/>
    <w:qFormat/>
    <w:rsid w:val="00D51577"/>
    <w:rPr>
      <w:b/>
      <w:bCs/>
    </w:rPr>
  </w:style>
  <w:style w:type="paragraph" w:styleId="PlainText">
    <w:name w:val="Plain Text"/>
    <w:basedOn w:val="Normal"/>
    <w:link w:val="PlainTextChar"/>
    <w:uiPriority w:val="99"/>
    <w:unhideWhenUsed/>
    <w:rsid w:val="00D51577"/>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51577"/>
    <w:rPr>
      <w:rFonts w:ascii="Consolas" w:eastAsia="Calibri" w:hAnsi="Consolas" w:cs="Times New Roman"/>
      <w:sz w:val="21"/>
      <w:szCs w:val="21"/>
    </w:rPr>
  </w:style>
  <w:style w:type="character" w:styleId="Hyperlink">
    <w:name w:val="Hyperlink"/>
    <w:rsid w:val="00D51577"/>
    <w:rPr>
      <w:color w:val="0000FF"/>
      <w:u w:val="single"/>
    </w:rPr>
  </w:style>
  <w:style w:type="paragraph" w:styleId="NoSpacing">
    <w:name w:val="No Spacing"/>
    <w:basedOn w:val="Normal"/>
    <w:link w:val="NoSpacingChar"/>
    <w:uiPriority w:val="1"/>
    <w:qFormat/>
    <w:rsid w:val="00D51577"/>
    <w:rPr>
      <w:rFonts w:ascii="Gill Sans MT" w:eastAsia="Calibri" w:hAnsi="Gill Sans MT" w:cs="Times New Roman"/>
    </w:rPr>
  </w:style>
  <w:style w:type="character" w:customStyle="1" w:styleId="doi">
    <w:name w:val="doi"/>
    <w:basedOn w:val="DefaultParagraphFont"/>
    <w:rsid w:val="00D51577"/>
  </w:style>
  <w:style w:type="character" w:customStyle="1" w:styleId="value">
    <w:name w:val="value"/>
    <w:basedOn w:val="DefaultParagraphFont"/>
    <w:rsid w:val="00D51577"/>
  </w:style>
  <w:style w:type="character" w:customStyle="1" w:styleId="label1">
    <w:name w:val="label1"/>
    <w:basedOn w:val="DefaultParagraphFont"/>
    <w:rsid w:val="00D51577"/>
  </w:style>
  <w:style w:type="paragraph" w:styleId="ListParagraph">
    <w:name w:val="List Paragraph"/>
    <w:basedOn w:val="Normal"/>
    <w:uiPriority w:val="34"/>
    <w:qFormat/>
    <w:rsid w:val="00D51577"/>
    <w:pPr>
      <w:ind w:left="720"/>
    </w:pPr>
  </w:style>
  <w:style w:type="character" w:styleId="FollowedHyperlink">
    <w:name w:val="FollowedHyperlink"/>
    <w:rsid w:val="00D51577"/>
    <w:rPr>
      <w:color w:val="800080"/>
      <w:u w:val="single"/>
    </w:rPr>
  </w:style>
  <w:style w:type="character" w:styleId="Emphasis">
    <w:name w:val="Emphasis"/>
    <w:uiPriority w:val="20"/>
    <w:qFormat/>
    <w:rsid w:val="00D51577"/>
    <w:rPr>
      <w:i/>
      <w:iCs/>
    </w:rPr>
  </w:style>
  <w:style w:type="paragraph" w:styleId="BlockText">
    <w:name w:val="Block Text"/>
    <w:basedOn w:val="Normal"/>
    <w:uiPriority w:val="99"/>
    <w:unhideWhenUsed/>
    <w:rsid w:val="00D51577"/>
    <w:pPr>
      <w:ind w:left="1440" w:right="-766"/>
    </w:pPr>
    <w:rPr>
      <w:rFonts w:ascii="Times New Roman" w:eastAsia="Calibri" w:hAnsi="Times New Roman" w:cs="Times New Roman"/>
    </w:rPr>
  </w:style>
  <w:style w:type="table" w:styleId="TableGrid">
    <w:name w:val="Table Grid"/>
    <w:basedOn w:val="TableNormal"/>
    <w:rsid w:val="00D5157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51577"/>
    <w:rPr>
      <w:rFonts w:eastAsia="Times New Roman"/>
    </w:rPr>
  </w:style>
  <w:style w:type="paragraph" w:customStyle="1" w:styleId="Default">
    <w:name w:val="Default"/>
    <w:basedOn w:val="Normal"/>
    <w:rsid w:val="00D51577"/>
    <w:pPr>
      <w:autoSpaceDE w:val="0"/>
      <w:autoSpaceDN w:val="0"/>
    </w:pPr>
    <w:rPr>
      <w:rFonts w:ascii="Calibri" w:eastAsia="Calibri" w:hAnsi="Calibri" w:cs="Times New Roman"/>
      <w:color w:val="000000"/>
    </w:rPr>
  </w:style>
  <w:style w:type="paragraph" w:customStyle="1" w:styleId="Pa23">
    <w:name w:val="Pa23"/>
    <w:basedOn w:val="Default"/>
    <w:next w:val="Default"/>
    <w:uiPriority w:val="99"/>
    <w:rsid w:val="0001460D"/>
    <w:pPr>
      <w:adjustRightInd w:val="0"/>
      <w:spacing w:line="201" w:lineRule="atLeast"/>
    </w:pPr>
    <w:rPr>
      <w:rFonts w:ascii="Arial" w:eastAsiaTheme="minorHAnsi" w:hAnsi="Arial" w:cs="Arial"/>
      <w:color w:val="auto"/>
      <w:lang w:eastAsia="en-US"/>
    </w:rPr>
  </w:style>
  <w:style w:type="character" w:styleId="CommentReference">
    <w:name w:val="annotation reference"/>
    <w:basedOn w:val="DefaultParagraphFont"/>
    <w:uiPriority w:val="99"/>
    <w:semiHidden/>
    <w:unhideWhenUsed/>
    <w:rsid w:val="007E675C"/>
    <w:rPr>
      <w:sz w:val="16"/>
      <w:szCs w:val="16"/>
    </w:rPr>
  </w:style>
  <w:style w:type="paragraph" w:styleId="CommentText">
    <w:name w:val="annotation text"/>
    <w:basedOn w:val="Normal"/>
    <w:link w:val="CommentTextChar"/>
    <w:uiPriority w:val="99"/>
    <w:unhideWhenUsed/>
    <w:rsid w:val="007E675C"/>
    <w:rPr>
      <w:sz w:val="20"/>
      <w:szCs w:val="20"/>
    </w:rPr>
  </w:style>
  <w:style w:type="character" w:customStyle="1" w:styleId="CommentTextChar">
    <w:name w:val="Comment Text Char"/>
    <w:basedOn w:val="DefaultParagraphFont"/>
    <w:link w:val="CommentText"/>
    <w:uiPriority w:val="99"/>
    <w:rsid w:val="007E675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E675C"/>
    <w:rPr>
      <w:b/>
      <w:bCs/>
    </w:rPr>
  </w:style>
  <w:style w:type="character" w:customStyle="1" w:styleId="CommentSubjectChar">
    <w:name w:val="Comment Subject Char"/>
    <w:basedOn w:val="CommentTextChar"/>
    <w:link w:val="CommentSubject"/>
    <w:uiPriority w:val="99"/>
    <w:semiHidden/>
    <w:rsid w:val="007E675C"/>
    <w:rPr>
      <w:rFonts w:ascii="Arial" w:eastAsia="Times New Roman" w:hAnsi="Arial" w:cs="Arial"/>
      <w:b/>
      <w:bCs/>
      <w:sz w:val="20"/>
      <w:szCs w:val="20"/>
    </w:rPr>
  </w:style>
  <w:style w:type="character" w:customStyle="1" w:styleId="spelle">
    <w:name w:val="spelle"/>
    <w:basedOn w:val="DefaultParagraphFont"/>
    <w:rsid w:val="001E59D3"/>
  </w:style>
  <w:style w:type="paragraph" w:styleId="BodyTextIndent">
    <w:name w:val="Body Text Indent"/>
    <w:basedOn w:val="Normal"/>
    <w:link w:val="BodyTextIndentChar"/>
    <w:uiPriority w:val="99"/>
    <w:unhideWhenUsed/>
    <w:rsid w:val="00D068BD"/>
    <w:pPr>
      <w:spacing w:after="120"/>
      <w:ind w:left="283"/>
    </w:pPr>
  </w:style>
  <w:style w:type="character" w:customStyle="1" w:styleId="BodyTextIndentChar">
    <w:name w:val="Body Text Indent Char"/>
    <w:basedOn w:val="DefaultParagraphFont"/>
    <w:link w:val="BodyTextIndent"/>
    <w:uiPriority w:val="99"/>
    <w:rsid w:val="00D068BD"/>
    <w:rPr>
      <w:rFonts w:ascii="Arial" w:eastAsia="Times New Roman" w:hAnsi="Arial" w:cs="Arial"/>
      <w:sz w:val="24"/>
      <w:szCs w:val="24"/>
    </w:rPr>
  </w:style>
  <w:style w:type="paragraph" w:customStyle="1" w:styleId="s2">
    <w:name w:val="s2"/>
    <w:basedOn w:val="Normal"/>
    <w:rsid w:val="00C361AE"/>
    <w:pPr>
      <w:spacing w:before="100" w:beforeAutospacing="1" w:after="100" w:afterAutospacing="1"/>
    </w:pPr>
    <w:rPr>
      <w:rFonts w:ascii="Times New Roman" w:eastAsiaTheme="minorHAnsi" w:hAnsi="Times New Roman" w:cs="Times New Roman"/>
      <w:lang w:val="en-US"/>
    </w:rPr>
  </w:style>
  <w:style w:type="character" w:customStyle="1" w:styleId="bumpedfont15">
    <w:name w:val="bumpedfont15"/>
    <w:basedOn w:val="DefaultParagraphFont"/>
    <w:rsid w:val="00C361AE"/>
  </w:style>
  <w:style w:type="character" w:customStyle="1" w:styleId="Heading4Char">
    <w:name w:val="Heading 4 Char"/>
    <w:basedOn w:val="DefaultParagraphFont"/>
    <w:link w:val="Heading4"/>
    <w:uiPriority w:val="9"/>
    <w:rsid w:val="00BF059B"/>
    <w:rPr>
      <w:b/>
      <w:sz w:val="23"/>
      <w:szCs w:val="23"/>
    </w:rPr>
  </w:style>
  <w:style w:type="character" w:customStyle="1" w:styleId="apple-converted-space">
    <w:name w:val="apple-converted-space"/>
    <w:basedOn w:val="DefaultParagraphFont"/>
    <w:rsid w:val="00540139"/>
  </w:style>
  <w:style w:type="paragraph" w:customStyle="1" w:styleId="Pa25">
    <w:name w:val="Pa25"/>
    <w:basedOn w:val="Normal"/>
    <w:next w:val="Normal"/>
    <w:uiPriority w:val="99"/>
    <w:rsid w:val="00F8282E"/>
    <w:pPr>
      <w:autoSpaceDE w:val="0"/>
      <w:autoSpaceDN w:val="0"/>
      <w:adjustRightInd w:val="0"/>
      <w:spacing w:line="201" w:lineRule="atLeast"/>
    </w:pPr>
    <w:rPr>
      <w:rFonts w:ascii="Myriad Pro" w:eastAsiaTheme="minorHAnsi" w:hAnsi="Myriad Pro" w:cstheme="minorBidi"/>
    </w:rPr>
  </w:style>
  <w:style w:type="paragraph" w:customStyle="1" w:styleId="ccbody">
    <w:name w:val="cc body"/>
    <w:basedOn w:val="ListBullet"/>
    <w:link w:val="ccbodyChar"/>
    <w:qFormat/>
    <w:rsid w:val="00E83D13"/>
    <w:pPr>
      <w:numPr>
        <w:numId w:val="0"/>
      </w:numPr>
      <w:tabs>
        <w:tab w:val="left" w:pos="720"/>
      </w:tabs>
      <w:spacing w:after="220"/>
    </w:pPr>
    <w:rPr>
      <w:rFonts w:asciiTheme="majorHAnsi" w:eastAsiaTheme="minorHAnsi" w:hAnsiTheme="majorHAnsi" w:cstheme="majorHAnsi"/>
      <w:sz w:val="22"/>
      <w:szCs w:val="22"/>
    </w:rPr>
  </w:style>
  <w:style w:type="character" w:customStyle="1" w:styleId="ccbodyChar">
    <w:name w:val="cc body Char"/>
    <w:basedOn w:val="DefaultParagraphFont"/>
    <w:link w:val="ccbody"/>
    <w:rsid w:val="00E83D13"/>
    <w:rPr>
      <w:rFonts w:asciiTheme="majorHAnsi" w:hAnsiTheme="majorHAnsi" w:cstheme="majorHAnsi"/>
    </w:rPr>
  </w:style>
  <w:style w:type="character" w:customStyle="1" w:styleId="NoSpacingChar">
    <w:name w:val="No Spacing Char"/>
    <w:basedOn w:val="DefaultParagraphFont"/>
    <w:link w:val="NoSpacing"/>
    <w:uiPriority w:val="1"/>
    <w:rsid w:val="007F6CD5"/>
    <w:rPr>
      <w:rFonts w:ascii="Gill Sans MT" w:eastAsia="Calibri" w:hAnsi="Gill Sans MT" w:cs="Times New Roman"/>
      <w:sz w:val="24"/>
      <w:szCs w:val="24"/>
      <w:lang w:eastAsia="en-GB"/>
    </w:rPr>
  </w:style>
  <w:style w:type="paragraph" w:customStyle="1" w:styleId="markup-p">
    <w:name w:val="markup-p"/>
    <w:basedOn w:val="Normal"/>
    <w:rsid w:val="00F265F8"/>
    <w:pPr>
      <w:spacing w:before="100" w:beforeAutospacing="1" w:after="100" w:afterAutospacing="1"/>
    </w:pPr>
    <w:rPr>
      <w:rFonts w:ascii="Times New Roman" w:hAnsi="Times New Roman" w:cs="Times New Roman"/>
    </w:rPr>
  </w:style>
  <w:style w:type="character" w:customStyle="1" w:styleId="cf01">
    <w:name w:val="cf01"/>
    <w:basedOn w:val="DefaultParagraphFont"/>
    <w:rsid w:val="007D09F0"/>
    <w:rPr>
      <w:rFonts w:ascii="Segoe UI" w:hAnsi="Segoe UI" w:cs="Segoe UI" w:hint="default"/>
      <w:sz w:val="18"/>
      <w:szCs w:val="18"/>
    </w:rPr>
  </w:style>
  <w:style w:type="character" w:customStyle="1" w:styleId="cf11">
    <w:name w:val="cf11"/>
    <w:basedOn w:val="DefaultParagraphFont"/>
    <w:rsid w:val="007D09F0"/>
    <w:rPr>
      <w:rFonts w:ascii="Segoe UI" w:hAnsi="Segoe UI" w:cs="Segoe UI" w:hint="default"/>
      <w:b/>
      <w:bCs/>
      <w:sz w:val="18"/>
      <w:szCs w:val="18"/>
    </w:rPr>
  </w:style>
  <w:style w:type="paragraph" w:styleId="FootnoteText">
    <w:name w:val="footnote text"/>
    <w:basedOn w:val="Normal"/>
    <w:link w:val="FootnoteTextChar"/>
    <w:uiPriority w:val="99"/>
    <w:semiHidden/>
    <w:unhideWhenUsed/>
    <w:rsid w:val="004969E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969EF"/>
    <w:rPr>
      <w:sz w:val="20"/>
      <w:szCs w:val="20"/>
    </w:rPr>
  </w:style>
  <w:style w:type="character" w:styleId="FootnoteReference">
    <w:name w:val="footnote reference"/>
    <w:basedOn w:val="DefaultParagraphFont"/>
    <w:uiPriority w:val="99"/>
    <w:semiHidden/>
    <w:unhideWhenUsed/>
    <w:rsid w:val="004969EF"/>
    <w:rPr>
      <w:vertAlign w:val="superscript"/>
    </w:rPr>
  </w:style>
  <w:style w:type="paragraph" w:customStyle="1" w:styleId="pf0">
    <w:name w:val="pf0"/>
    <w:basedOn w:val="Normal"/>
    <w:rsid w:val="00BA4BDA"/>
    <w:pPr>
      <w:spacing w:before="100" w:beforeAutospacing="1" w:after="100" w:afterAutospacing="1"/>
    </w:pPr>
    <w:rPr>
      <w:rFonts w:ascii="Times New Roman" w:hAnsi="Times New Roman" w:cs="Times New Roman"/>
    </w:rPr>
  </w:style>
  <w:style w:type="paragraph" w:customStyle="1" w:styleId="pf1">
    <w:name w:val="pf1"/>
    <w:basedOn w:val="Normal"/>
    <w:rsid w:val="00BA4BDA"/>
    <w:pPr>
      <w:spacing w:before="100" w:beforeAutospacing="1" w:after="100" w:afterAutospacing="1"/>
      <w:jc w:val="right"/>
    </w:pPr>
    <w:rPr>
      <w:rFonts w:ascii="Times New Roman" w:hAnsi="Times New Roman" w:cs="Times New Roman"/>
    </w:rPr>
  </w:style>
  <w:style w:type="character" w:styleId="UnresolvedMention">
    <w:name w:val="Unresolved Mention"/>
    <w:basedOn w:val="DefaultParagraphFont"/>
    <w:uiPriority w:val="99"/>
    <w:semiHidden/>
    <w:unhideWhenUsed/>
    <w:rsid w:val="00E206A7"/>
    <w:rPr>
      <w:color w:val="605E5C"/>
      <w:shd w:val="clear" w:color="auto" w:fill="E1DFDD"/>
    </w:rPr>
  </w:style>
  <w:style w:type="paragraph" w:customStyle="1" w:styleId="xmsonormal">
    <w:name w:val="x_msonormal"/>
    <w:basedOn w:val="Normal"/>
    <w:rsid w:val="00892A78"/>
    <w:pPr>
      <w:spacing w:before="100" w:beforeAutospacing="1" w:after="100" w:afterAutospacing="1"/>
    </w:pPr>
    <w:rPr>
      <w:rFonts w:ascii="Times New Roman" w:hAnsi="Times New Roman" w:cs="Times New Roman"/>
    </w:rPr>
  </w:style>
  <w:style w:type="paragraph" w:customStyle="1" w:styleId="paragraph">
    <w:name w:val="paragraph"/>
    <w:basedOn w:val="Normal"/>
    <w:rsid w:val="009F0581"/>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9F0581"/>
  </w:style>
  <w:style w:type="character" w:customStyle="1" w:styleId="eop">
    <w:name w:val="eop"/>
    <w:basedOn w:val="DefaultParagraphFont"/>
    <w:rsid w:val="009F0581"/>
  </w:style>
  <w:style w:type="character" w:styleId="Mention">
    <w:name w:val="Mention"/>
    <w:basedOn w:val="DefaultParagraphFont"/>
    <w:uiPriority w:val="99"/>
    <w:unhideWhenUsed/>
    <w:rsid w:val="005B523E"/>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5">
    <w:name w:val="15"/>
    <w:basedOn w:val="TableNormal"/>
    <w:tblPr>
      <w:tblStyleRowBandSize w:val="1"/>
      <w:tblStyleColBandSize w:val="1"/>
      <w:tblCellMar>
        <w:left w:w="30" w:type="dxa"/>
        <w:right w:w="30"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rPr>
      <w:rFonts w:ascii="Times New Roman" w:eastAsia="Times New Roman" w:hAnsi="Times New Roman" w:cs="Times New Roman"/>
      <w:sz w:val="20"/>
      <w:szCs w:val="20"/>
    </w:rPr>
    <w:tblPr>
      <w:tblStyleRowBandSize w:val="1"/>
      <w:tblStyleColBandSize w:val="1"/>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rPr>
      <w:rFonts w:ascii="Times New Roman" w:eastAsia="Times New Roman" w:hAnsi="Times New Roman" w:cs="Times New Roman"/>
      <w:sz w:val="20"/>
      <w:szCs w:val="20"/>
    </w:rPr>
    <w:tblPr>
      <w:tblStyleRowBandSize w:val="1"/>
      <w:tblStyleColBandSize w:val="1"/>
    </w:tblPr>
  </w:style>
  <w:style w:type="table" w:customStyle="1" w:styleId="10">
    <w:name w:val="10"/>
    <w:basedOn w:val="TableNormal"/>
    <w:rPr>
      <w:rFonts w:ascii="Times New Roman" w:eastAsia="Times New Roman" w:hAnsi="Times New Roman" w:cs="Times New Roman"/>
      <w:sz w:val="20"/>
      <w:szCs w:val="20"/>
    </w:rPr>
    <w:tblPr>
      <w:tblStyleRowBandSize w:val="1"/>
      <w:tblStyleColBandSize w:val="1"/>
    </w:tblPr>
  </w:style>
  <w:style w:type="table" w:customStyle="1" w:styleId="9">
    <w:name w:val="9"/>
    <w:basedOn w:val="TableNormal"/>
    <w:rPr>
      <w:rFonts w:ascii="Times New Roman" w:eastAsia="Times New Roman" w:hAnsi="Times New Roman" w:cs="Times New Roman"/>
      <w:sz w:val="20"/>
      <w:szCs w:val="20"/>
    </w:rPr>
    <w:tblPr>
      <w:tblStyleRowBandSize w:val="1"/>
      <w:tblStyleColBandSize w:val="1"/>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rPr>
      <w:rFonts w:ascii="Times New Roman" w:eastAsia="Times New Roman" w:hAnsi="Times New Roman" w:cs="Times New Roman"/>
      <w:sz w:val="20"/>
      <w:szCs w:val="20"/>
    </w:rPr>
    <w:tblPr>
      <w:tblStyleRowBandSize w:val="1"/>
      <w:tblStyleColBandSize w:val="1"/>
    </w:tblPr>
  </w:style>
  <w:style w:type="table" w:customStyle="1" w:styleId="6">
    <w:name w:val="6"/>
    <w:basedOn w:val="TableNormal"/>
    <w:rPr>
      <w:rFonts w:ascii="Times New Roman" w:eastAsia="Times New Roman" w:hAnsi="Times New Roman" w:cs="Times New Roman"/>
      <w:sz w:val="20"/>
      <w:szCs w:val="20"/>
    </w:r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orniman.ac.uk"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www.horniman.ac.uk/about/museum-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footer" Target="footer1.xml"/><Relationship Id="rId10" Type="http://schemas.openxmlformats.org/officeDocument/2006/relationships/hyperlink" Target="https://www.museumfuernaturkunde.berlin/en/museum/today/museum/themuseumslab"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horniman.ac.uk/event/relaxed-opening/" TargetMode="External"/><Relationship Id="rId14" Type="http://schemas.openxmlformats.org/officeDocument/2006/relationships/image" Target="media/image4.emf"/><Relationship Id="rId22" Type="http://schemas.openxmlformats.org/officeDocument/2006/relationships/image" Target="media/image11.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IrW8Wg6W5Eoil/pNQn05joj9hg==">CgMxLjAyDmguMzBqaG8xdWppYXg2Mg5oLm9sdXQxbWoxdDRuOTIOaC5pNTIwcmM0aThxajkyDmgucnYzenExaXB3Y215Mg5oLjZtZnMzMzUwZWdkejIOaC43c3liaGJwNTl6dnUyDmguN2diZTJ4aDZmdWNnMg5oLmF1NXNwYzgzeWluMDIOaC5taWZvbG5neWU0dHEyDmgua3UyenE1eGc4c3k5Mg5oLm9idzR1dXo1anAwdjIOaC42bjA2dHZqMGt6bmgyD2lkLjc1cnoxczZxdHc3NDgAciExNGxtdlJzd0tkWnZOUTRydVRyQlFfOGRBSUNIZEFze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60</Pages>
  <Words>19321</Words>
  <Characters>110132</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129195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MEdward</dc:creator>
  <cp:lastModifiedBy>Connie Churcher</cp:lastModifiedBy>
  <cp:revision>12</cp:revision>
  <dcterms:created xsi:type="dcterms:W3CDTF">2026-01-08T12:48:00Z</dcterms:created>
  <dcterms:modified xsi:type="dcterms:W3CDTF">2026-01-08T15:57:00Z</dcterms:modified>
</cp:coreProperties>
</file>