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56C0" w14:textId="1663ACAE" w:rsidR="001419B9" w:rsidRPr="008F10D9" w:rsidRDefault="00AC2AAA" w:rsidP="009F755E">
      <w:pPr>
        <w:rPr>
          <w:rFonts w:ascii="Calibri" w:hAnsi="Calibri" w:cs="Calibri"/>
          <w:b/>
          <w:bCs/>
          <w:sz w:val="24"/>
          <w:szCs w:val="24"/>
        </w:rPr>
      </w:pPr>
      <w:r w:rsidRPr="008F10D9">
        <w:rPr>
          <w:rFonts w:ascii="Calibri" w:hAnsi="Calibri" w:cs="Calibri"/>
          <w:b/>
          <w:bCs/>
          <w:sz w:val="24"/>
          <w:szCs w:val="24"/>
        </w:rPr>
        <w:t xml:space="preserve">Introducing the </w:t>
      </w:r>
      <w:r w:rsidR="00DD73FC" w:rsidRPr="008F10D9">
        <w:rPr>
          <w:rFonts w:ascii="Calibri" w:hAnsi="Calibri" w:cs="Calibri"/>
          <w:b/>
          <w:bCs/>
          <w:sz w:val="24"/>
          <w:szCs w:val="24"/>
        </w:rPr>
        <w:t xml:space="preserve">MAGNET Toolkit </w:t>
      </w:r>
    </w:p>
    <w:p w14:paraId="747BAD15" w14:textId="23C86717" w:rsidR="00AC2AAA" w:rsidRPr="008F10D9" w:rsidRDefault="00AC2AAA" w:rsidP="00DD73FC">
      <w:pPr>
        <w:rPr>
          <w:rFonts w:ascii="Calibri" w:hAnsi="Calibri" w:cs="Calibri"/>
          <w:sz w:val="24"/>
          <w:szCs w:val="24"/>
        </w:rPr>
      </w:pPr>
    </w:p>
    <w:p w14:paraId="38515FE0" w14:textId="2292CAD2" w:rsidR="00DB1355" w:rsidRPr="000D7B2B" w:rsidRDefault="00DB1355" w:rsidP="00DD73FC">
      <w:pPr>
        <w:rPr>
          <w:rFonts w:ascii="Calibri" w:hAnsi="Calibri" w:cs="Calibri"/>
          <w:b/>
          <w:bCs/>
          <w:sz w:val="24"/>
          <w:szCs w:val="24"/>
        </w:rPr>
      </w:pPr>
      <w:r w:rsidRPr="000D7B2B">
        <w:rPr>
          <w:rFonts w:ascii="Calibri" w:hAnsi="Calibri" w:cs="Calibri"/>
          <w:b/>
          <w:bCs/>
          <w:sz w:val="24"/>
          <w:szCs w:val="24"/>
        </w:rPr>
        <w:t>What is MAGNET?</w:t>
      </w:r>
    </w:p>
    <w:p w14:paraId="52DEEC09" w14:textId="1F7AC548" w:rsidR="00DD73FC" w:rsidRPr="008F10D9" w:rsidRDefault="00DD73FC" w:rsidP="00DD73FC">
      <w:pPr>
        <w:rPr>
          <w:rFonts w:ascii="Calibri" w:hAnsi="Calibri" w:cs="Calibri"/>
          <w:sz w:val="24"/>
          <w:szCs w:val="24"/>
        </w:rPr>
      </w:pPr>
      <w:r w:rsidRPr="008F10D9">
        <w:rPr>
          <w:rFonts w:ascii="Calibri" w:hAnsi="Calibri" w:cs="Calibri"/>
          <w:sz w:val="24"/>
          <w:szCs w:val="24"/>
        </w:rPr>
        <w:t xml:space="preserve">The </w:t>
      </w:r>
      <w:hyperlink r:id="rId8" w:history="1">
        <w:r w:rsidRPr="008F10D9">
          <w:rPr>
            <w:rStyle w:val="Hyperlink"/>
            <w:rFonts w:ascii="Calibri" w:hAnsi="Calibri" w:cs="Calibri"/>
            <w:sz w:val="24"/>
            <w:szCs w:val="24"/>
          </w:rPr>
          <w:t>Museums and Galleries Network for Exhibition Touring (MAGNET)</w:t>
        </w:r>
      </w:hyperlink>
      <w:r w:rsidRPr="008F10D9">
        <w:rPr>
          <w:rFonts w:ascii="Calibri" w:hAnsi="Calibri" w:cs="Calibri"/>
          <w:sz w:val="24"/>
          <w:szCs w:val="24"/>
        </w:rPr>
        <w:t xml:space="preserve"> is a network of museums and galleries that have </w:t>
      </w:r>
      <w:r w:rsidR="00EC4DCC">
        <w:rPr>
          <w:rFonts w:ascii="Calibri" w:hAnsi="Calibri" w:cs="Calibri"/>
          <w:sz w:val="24"/>
          <w:szCs w:val="24"/>
        </w:rPr>
        <w:t>pooled resources</w:t>
      </w:r>
      <w:r w:rsidRPr="008F10D9">
        <w:rPr>
          <w:rFonts w:ascii="Calibri" w:hAnsi="Calibri" w:cs="Calibri"/>
          <w:sz w:val="24"/>
          <w:szCs w:val="24"/>
        </w:rPr>
        <w:t xml:space="preserve"> to share their collections with diverse regional audiences.</w:t>
      </w:r>
    </w:p>
    <w:p w14:paraId="160E7B03" w14:textId="154D275F" w:rsidR="00DD73FC" w:rsidRPr="008F10D9" w:rsidRDefault="000D7B2B" w:rsidP="00DD73FC">
      <w:pPr>
        <w:rPr>
          <w:rFonts w:ascii="Calibri" w:hAnsi="Calibri" w:cs="Calibri"/>
          <w:sz w:val="24"/>
          <w:szCs w:val="24"/>
        </w:rPr>
      </w:pPr>
      <w:r w:rsidRPr="000D7B2B">
        <w:rPr>
          <w:rFonts w:ascii="Calibri" w:hAnsi="Calibri" w:cs="Calibri"/>
          <w:sz w:val="24"/>
          <w:szCs w:val="24"/>
        </w:rPr>
        <w:t xml:space="preserve">MAGNET’s first collaborative touring exhibition, </w:t>
      </w:r>
      <w:r w:rsidRPr="00DE550D">
        <w:rPr>
          <w:rFonts w:ascii="Calibri" w:hAnsi="Calibri" w:cs="Calibri"/>
          <w:i/>
          <w:iCs/>
          <w:sz w:val="24"/>
          <w:szCs w:val="24"/>
        </w:rPr>
        <w:t>Hair: Untold Stories</w:t>
      </w:r>
      <w:r w:rsidRPr="000D7B2B">
        <w:rPr>
          <w:rFonts w:ascii="Calibri" w:hAnsi="Calibri" w:cs="Calibri"/>
          <w:sz w:val="24"/>
          <w:szCs w:val="24"/>
        </w:rPr>
        <w:t xml:space="preserve">, opened in December 2021 and subsequently travelled to two further venues. Building on the lessons learned from the pilot, MAGNET received funding from Arts Council England and </w:t>
      </w:r>
      <w:hyperlink r:id="rId9" w:history="1">
        <w:r w:rsidRPr="000D7B2B">
          <w:rPr>
            <w:rStyle w:val="Hyperlink"/>
            <w:rFonts w:ascii="Calibri" w:hAnsi="Calibri" w:cs="Calibri"/>
            <w:sz w:val="24"/>
            <w:szCs w:val="24"/>
          </w:rPr>
          <w:t>Art Fund</w:t>
        </w:r>
      </w:hyperlink>
      <w:r w:rsidRPr="000D7B2B">
        <w:rPr>
          <w:rFonts w:ascii="Calibri" w:hAnsi="Calibri" w:cs="Calibri"/>
          <w:sz w:val="24"/>
          <w:szCs w:val="24"/>
        </w:rPr>
        <w:t xml:space="preserve"> to continue its work. Since then, 12 partners have co-curated a further three collections-based touring exhibitions: </w:t>
      </w:r>
      <w:r w:rsidRPr="007627BA">
        <w:rPr>
          <w:rFonts w:ascii="Calibri" w:hAnsi="Calibri" w:cs="Calibri"/>
          <w:i/>
          <w:iCs/>
          <w:sz w:val="24"/>
          <w:szCs w:val="24"/>
        </w:rPr>
        <w:t>Gender Stories</w:t>
      </w:r>
      <w:r w:rsidRPr="000D7B2B">
        <w:rPr>
          <w:rFonts w:ascii="Calibri" w:hAnsi="Calibri" w:cs="Calibri"/>
          <w:sz w:val="24"/>
          <w:szCs w:val="24"/>
        </w:rPr>
        <w:t xml:space="preserve">, </w:t>
      </w:r>
      <w:r w:rsidRPr="007627BA">
        <w:rPr>
          <w:rFonts w:ascii="Calibri" w:hAnsi="Calibri" w:cs="Calibri"/>
          <w:i/>
          <w:iCs/>
          <w:sz w:val="24"/>
          <w:szCs w:val="24"/>
        </w:rPr>
        <w:t>Colour</w:t>
      </w:r>
      <w:r w:rsidRPr="000D7B2B">
        <w:rPr>
          <w:rFonts w:ascii="Calibri" w:hAnsi="Calibri" w:cs="Calibri"/>
          <w:sz w:val="24"/>
          <w:szCs w:val="24"/>
        </w:rPr>
        <w:t xml:space="preserve"> and </w:t>
      </w:r>
      <w:r w:rsidRPr="007627BA">
        <w:rPr>
          <w:rFonts w:ascii="Calibri" w:hAnsi="Calibri" w:cs="Calibri"/>
          <w:i/>
          <w:iCs/>
          <w:sz w:val="24"/>
          <w:szCs w:val="24"/>
        </w:rPr>
        <w:t>Human Natures</w:t>
      </w:r>
      <w:r w:rsidRPr="000D7B2B">
        <w:rPr>
          <w:rFonts w:ascii="Calibri" w:hAnsi="Calibri" w:cs="Calibri"/>
          <w:sz w:val="24"/>
          <w:szCs w:val="24"/>
        </w:rPr>
        <w:t>. We have co-developed this series of resources and templates based on our experience.</w:t>
      </w:r>
    </w:p>
    <w:p w14:paraId="2BBBF0A5" w14:textId="317B4026" w:rsidR="00AC54AE" w:rsidRPr="000D7B2B" w:rsidRDefault="00AC54AE" w:rsidP="00DD73FC">
      <w:pPr>
        <w:rPr>
          <w:rFonts w:ascii="Calibri" w:hAnsi="Calibri" w:cs="Calibri"/>
          <w:b/>
          <w:bCs/>
          <w:sz w:val="24"/>
          <w:szCs w:val="24"/>
        </w:rPr>
      </w:pPr>
      <w:r w:rsidRPr="000D7B2B">
        <w:rPr>
          <w:rFonts w:ascii="Calibri" w:hAnsi="Calibri" w:cs="Calibri"/>
          <w:b/>
          <w:bCs/>
          <w:sz w:val="24"/>
          <w:szCs w:val="24"/>
        </w:rPr>
        <w:t>Who is the toolkit for?</w:t>
      </w:r>
    </w:p>
    <w:p w14:paraId="50DEC557" w14:textId="77777777" w:rsidR="00DF41CC" w:rsidRDefault="00AC2AAA" w:rsidP="00DD73FC">
      <w:pPr>
        <w:rPr>
          <w:rFonts w:ascii="Calibri" w:hAnsi="Calibri" w:cs="Calibri"/>
          <w:sz w:val="24"/>
          <w:szCs w:val="24"/>
        </w:rPr>
      </w:pPr>
      <w:r w:rsidRPr="008F10D9">
        <w:rPr>
          <w:rFonts w:ascii="Calibri" w:hAnsi="Calibri" w:cs="Calibri"/>
          <w:sz w:val="24"/>
          <w:szCs w:val="24"/>
        </w:rPr>
        <w:t>Th</w:t>
      </w:r>
      <w:r w:rsidR="007A2AA0" w:rsidRPr="008F10D9">
        <w:rPr>
          <w:rFonts w:ascii="Calibri" w:hAnsi="Calibri" w:cs="Calibri"/>
          <w:sz w:val="24"/>
          <w:szCs w:val="24"/>
        </w:rPr>
        <w:t>e</w:t>
      </w:r>
      <w:r w:rsidRPr="008F10D9">
        <w:rPr>
          <w:rFonts w:ascii="Calibri" w:hAnsi="Calibri" w:cs="Calibri"/>
          <w:sz w:val="24"/>
          <w:szCs w:val="24"/>
        </w:rPr>
        <w:t xml:space="preserve"> toolkit </w:t>
      </w:r>
      <w:r w:rsidR="00BE3EA0" w:rsidRPr="008F10D9">
        <w:rPr>
          <w:rFonts w:ascii="Calibri" w:hAnsi="Calibri" w:cs="Calibri"/>
          <w:sz w:val="24"/>
          <w:szCs w:val="24"/>
        </w:rPr>
        <w:t xml:space="preserve">is for </w:t>
      </w:r>
      <w:r w:rsidR="009F75C8" w:rsidRPr="008F10D9">
        <w:rPr>
          <w:rFonts w:ascii="Calibri" w:hAnsi="Calibri" w:cs="Calibri"/>
          <w:sz w:val="24"/>
          <w:szCs w:val="24"/>
        </w:rPr>
        <w:t>practitioners</w:t>
      </w:r>
      <w:r w:rsidR="00BE3EA0" w:rsidRPr="008F10D9">
        <w:rPr>
          <w:rFonts w:ascii="Calibri" w:hAnsi="Calibri" w:cs="Calibri"/>
          <w:sz w:val="24"/>
          <w:szCs w:val="24"/>
        </w:rPr>
        <w:t xml:space="preserve"> </w:t>
      </w:r>
      <w:r w:rsidR="00867261" w:rsidRPr="008F10D9">
        <w:rPr>
          <w:rFonts w:ascii="Calibri" w:hAnsi="Calibri" w:cs="Calibri"/>
          <w:sz w:val="24"/>
          <w:szCs w:val="24"/>
        </w:rPr>
        <w:t xml:space="preserve">within the arts and heritage sector who </w:t>
      </w:r>
      <w:r w:rsidR="009F75C8" w:rsidRPr="008F10D9">
        <w:rPr>
          <w:rFonts w:ascii="Calibri" w:hAnsi="Calibri" w:cs="Calibri"/>
          <w:sz w:val="24"/>
          <w:szCs w:val="24"/>
        </w:rPr>
        <w:t>are</w:t>
      </w:r>
      <w:r w:rsidR="00867261" w:rsidRPr="008F10D9">
        <w:rPr>
          <w:rFonts w:ascii="Calibri" w:hAnsi="Calibri" w:cs="Calibri"/>
          <w:sz w:val="24"/>
          <w:szCs w:val="24"/>
        </w:rPr>
        <w:t xml:space="preserve"> planning to work</w:t>
      </w:r>
      <w:r w:rsidRPr="008F10D9">
        <w:rPr>
          <w:rFonts w:ascii="Calibri" w:hAnsi="Calibri" w:cs="Calibri"/>
          <w:sz w:val="24"/>
          <w:szCs w:val="24"/>
        </w:rPr>
        <w:t xml:space="preserve"> in partnership with other museums and galleries</w:t>
      </w:r>
      <w:r w:rsidR="00867261" w:rsidRPr="008F10D9">
        <w:rPr>
          <w:rFonts w:ascii="Calibri" w:hAnsi="Calibri" w:cs="Calibri"/>
          <w:sz w:val="24"/>
          <w:szCs w:val="24"/>
        </w:rPr>
        <w:t xml:space="preserve">. </w:t>
      </w:r>
      <w:r w:rsidR="0007116E" w:rsidRPr="008F10D9">
        <w:rPr>
          <w:rFonts w:ascii="Calibri" w:hAnsi="Calibri" w:cs="Calibri"/>
          <w:sz w:val="24"/>
          <w:szCs w:val="24"/>
        </w:rPr>
        <w:t xml:space="preserve">The resources cover everything from the </w:t>
      </w:r>
      <w:r w:rsidRPr="008F10D9">
        <w:rPr>
          <w:rFonts w:ascii="Calibri" w:hAnsi="Calibri" w:cs="Calibri"/>
          <w:sz w:val="24"/>
          <w:szCs w:val="24"/>
        </w:rPr>
        <w:t>inception and establishment of a network to the development and refining of exhibition</w:t>
      </w:r>
      <w:r w:rsidR="0007116E" w:rsidRPr="008F10D9">
        <w:rPr>
          <w:rFonts w:ascii="Calibri" w:hAnsi="Calibri" w:cs="Calibri"/>
          <w:sz w:val="24"/>
          <w:szCs w:val="24"/>
        </w:rPr>
        <w:t xml:space="preserve"> content</w:t>
      </w:r>
      <w:r w:rsidRPr="008F10D9">
        <w:rPr>
          <w:rFonts w:ascii="Calibri" w:hAnsi="Calibri" w:cs="Calibri"/>
          <w:sz w:val="24"/>
          <w:szCs w:val="24"/>
        </w:rPr>
        <w:t xml:space="preserve">.  </w:t>
      </w:r>
    </w:p>
    <w:p w14:paraId="379F7688" w14:textId="5F8D756D" w:rsidR="00AA79DE" w:rsidRPr="000D7B2B" w:rsidRDefault="00AA79DE" w:rsidP="00DD73FC">
      <w:pPr>
        <w:rPr>
          <w:rFonts w:ascii="Calibri" w:hAnsi="Calibri" w:cs="Calibri"/>
          <w:b/>
          <w:bCs/>
          <w:sz w:val="24"/>
          <w:szCs w:val="24"/>
        </w:rPr>
      </w:pPr>
      <w:r w:rsidRPr="000D7B2B">
        <w:rPr>
          <w:rFonts w:ascii="Calibri" w:hAnsi="Calibri" w:cs="Calibri"/>
          <w:b/>
          <w:bCs/>
          <w:sz w:val="24"/>
          <w:szCs w:val="24"/>
        </w:rPr>
        <w:t>What is in the toolkit?</w:t>
      </w:r>
    </w:p>
    <w:p w14:paraId="4227C53C" w14:textId="167D22ED" w:rsidR="00D952EB" w:rsidRPr="008F10D9" w:rsidRDefault="0000727C" w:rsidP="00DD73FC">
      <w:pPr>
        <w:rPr>
          <w:rFonts w:ascii="Calibri" w:hAnsi="Calibri" w:cs="Calibri"/>
          <w:sz w:val="24"/>
          <w:szCs w:val="24"/>
        </w:rPr>
      </w:pPr>
      <w:r w:rsidRPr="008F10D9">
        <w:rPr>
          <w:rFonts w:ascii="Calibri" w:hAnsi="Calibri" w:cs="Calibri"/>
          <w:sz w:val="24"/>
          <w:szCs w:val="24"/>
        </w:rPr>
        <w:t>T</w:t>
      </w:r>
      <w:r w:rsidR="00D952EB" w:rsidRPr="008F10D9">
        <w:rPr>
          <w:rFonts w:ascii="Calibri" w:hAnsi="Calibri" w:cs="Calibri"/>
          <w:sz w:val="24"/>
          <w:szCs w:val="24"/>
        </w:rPr>
        <w:t xml:space="preserve">his free-to-use toolkit is focused on </w:t>
      </w:r>
      <w:r w:rsidRPr="008F10D9">
        <w:rPr>
          <w:rFonts w:ascii="Calibri" w:hAnsi="Calibri" w:cs="Calibri"/>
          <w:sz w:val="24"/>
          <w:szCs w:val="24"/>
        </w:rPr>
        <w:t xml:space="preserve">the </w:t>
      </w:r>
      <w:r w:rsidR="00D952EB" w:rsidRPr="008F10D9">
        <w:rPr>
          <w:rFonts w:ascii="Calibri" w:hAnsi="Calibri" w:cs="Calibri"/>
          <w:sz w:val="24"/>
          <w:szCs w:val="24"/>
        </w:rPr>
        <w:t xml:space="preserve">joint planning and co-development of partnership touring exhibitions. </w:t>
      </w:r>
    </w:p>
    <w:p w14:paraId="17870865" w14:textId="3488E015" w:rsidR="00EF6A84" w:rsidRPr="008F10D9" w:rsidRDefault="00241B7D" w:rsidP="00DD73FC">
      <w:pPr>
        <w:rPr>
          <w:rFonts w:ascii="Calibri" w:hAnsi="Calibri" w:cs="Calibri"/>
          <w:sz w:val="24"/>
          <w:szCs w:val="24"/>
        </w:rPr>
      </w:pPr>
      <w:r w:rsidRPr="008F10D9">
        <w:rPr>
          <w:rFonts w:ascii="Calibri" w:hAnsi="Calibri" w:cs="Calibri"/>
          <w:sz w:val="24"/>
          <w:szCs w:val="24"/>
        </w:rPr>
        <w:t>T</w:t>
      </w:r>
      <w:r w:rsidR="00EF6A84" w:rsidRPr="008F10D9">
        <w:rPr>
          <w:rFonts w:ascii="Calibri" w:hAnsi="Calibri" w:cs="Calibri"/>
          <w:sz w:val="24"/>
          <w:szCs w:val="24"/>
        </w:rPr>
        <w:t xml:space="preserve">he </w:t>
      </w:r>
      <w:r w:rsidR="001829E9">
        <w:rPr>
          <w:rFonts w:ascii="Calibri" w:hAnsi="Calibri" w:cs="Calibri"/>
          <w:sz w:val="24"/>
          <w:szCs w:val="24"/>
        </w:rPr>
        <w:t>seven</w:t>
      </w:r>
      <w:r w:rsidR="001829E9" w:rsidRPr="008F10D9">
        <w:rPr>
          <w:rFonts w:ascii="Calibri" w:hAnsi="Calibri" w:cs="Calibri"/>
          <w:sz w:val="24"/>
          <w:szCs w:val="24"/>
        </w:rPr>
        <w:t xml:space="preserve"> </w:t>
      </w:r>
      <w:r w:rsidR="00EF6A84" w:rsidRPr="008F10D9">
        <w:rPr>
          <w:rFonts w:ascii="Calibri" w:hAnsi="Calibri" w:cs="Calibri"/>
          <w:sz w:val="24"/>
          <w:szCs w:val="24"/>
        </w:rPr>
        <w:t xml:space="preserve">documents have been published as ready-to-use downloads, with the flexibility to adapt and edit content based on your specific context. </w:t>
      </w:r>
    </w:p>
    <w:p w14:paraId="0AAFDF71" w14:textId="1FCABEF2" w:rsidR="004A790F" w:rsidRPr="008F10D9" w:rsidRDefault="009C0F91" w:rsidP="004A790F">
      <w:pPr>
        <w:rPr>
          <w:rFonts w:ascii="Calibri" w:hAnsi="Calibri" w:cs="Calibri"/>
          <w:sz w:val="24"/>
          <w:szCs w:val="24"/>
        </w:rPr>
      </w:pPr>
      <w:r w:rsidRPr="008F10D9">
        <w:rPr>
          <w:rFonts w:ascii="Calibri" w:hAnsi="Calibri" w:cs="Calibri"/>
          <w:sz w:val="24"/>
          <w:szCs w:val="24"/>
          <w:u w:val="single"/>
        </w:rPr>
        <w:t>0</w:t>
      </w:r>
      <w:r w:rsidR="00573A02" w:rsidRPr="008F10D9">
        <w:rPr>
          <w:rFonts w:ascii="Calibri" w:hAnsi="Calibri" w:cs="Calibri"/>
          <w:sz w:val="24"/>
          <w:szCs w:val="24"/>
          <w:u w:val="single"/>
        </w:rPr>
        <w:t xml:space="preserve">1 </w:t>
      </w:r>
      <w:r w:rsidR="004A790F" w:rsidRPr="008F10D9">
        <w:rPr>
          <w:rFonts w:ascii="Calibri" w:hAnsi="Calibri" w:cs="Calibri"/>
          <w:sz w:val="24"/>
          <w:szCs w:val="24"/>
          <w:u w:val="single"/>
        </w:rPr>
        <w:t xml:space="preserve">Network Partnership </w:t>
      </w:r>
      <w:r w:rsidR="004A790F" w:rsidRPr="001854D4">
        <w:rPr>
          <w:rFonts w:ascii="Calibri" w:hAnsi="Calibri" w:cs="Calibri"/>
          <w:sz w:val="24"/>
          <w:szCs w:val="24"/>
          <w:u w:val="single"/>
        </w:rPr>
        <w:t xml:space="preserve">Agreement </w:t>
      </w:r>
      <w:r w:rsidR="00D52722" w:rsidRPr="001854D4">
        <w:rPr>
          <w:rFonts w:ascii="Calibri" w:hAnsi="Calibri" w:cs="Calibri"/>
          <w:sz w:val="24"/>
          <w:szCs w:val="24"/>
          <w:u w:val="single"/>
        </w:rPr>
        <w:t>- Template</w:t>
      </w:r>
    </w:p>
    <w:p w14:paraId="11CEBDE6" w14:textId="0195C6A3" w:rsidR="004A790F" w:rsidRPr="008F10D9" w:rsidRDefault="004A790F" w:rsidP="004A790F">
      <w:pPr>
        <w:rPr>
          <w:rFonts w:ascii="Calibri" w:hAnsi="Calibri" w:cs="Calibri"/>
          <w:sz w:val="24"/>
          <w:szCs w:val="24"/>
        </w:rPr>
      </w:pPr>
      <w:r w:rsidRPr="008F10D9">
        <w:rPr>
          <w:rFonts w:ascii="Calibri" w:hAnsi="Calibri" w:cs="Calibri"/>
          <w:sz w:val="24"/>
          <w:szCs w:val="24"/>
        </w:rPr>
        <w:t xml:space="preserve">This overarching agreement helps </w:t>
      </w:r>
      <w:r w:rsidR="00355706" w:rsidRPr="008F10D9">
        <w:rPr>
          <w:rFonts w:ascii="Calibri" w:hAnsi="Calibri" w:cs="Calibri"/>
          <w:sz w:val="24"/>
          <w:szCs w:val="24"/>
        </w:rPr>
        <w:t xml:space="preserve">you </w:t>
      </w:r>
      <w:r w:rsidRPr="008F10D9">
        <w:rPr>
          <w:rFonts w:ascii="Calibri" w:hAnsi="Calibri" w:cs="Calibri"/>
          <w:sz w:val="24"/>
          <w:szCs w:val="24"/>
        </w:rPr>
        <w:t xml:space="preserve">to formalise the relationship between a group of museums. </w:t>
      </w:r>
      <w:r w:rsidR="00E42675" w:rsidRPr="008F10D9">
        <w:rPr>
          <w:rFonts w:ascii="Calibri" w:hAnsi="Calibri" w:cs="Calibri"/>
          <w:sz w:val="24"/>
          <w:szCs w:val="24"/>
        </w:rPr>
        <w:t xml:space="preserve">It </w:t>
      </w:r>
      <w:r w:rsidR="005E3E4B">
        <w:rPr>
          <w:rFonts w:ascii="Calibri" w:hAnsi="Calibri" w:cs="Calibri"/>
          <w:sz w:val="24"/>
          <w:szCs w:val="24"/>
        </w:rPr>
        <w:t>ensures</w:t>
      </w:r>
      <w:r w:rsidRPr="008F10D9">
        <w:rPr>
          <w:rFonts w:ascii="Calibri" w:hAnsi="Calibri" w:cs="Calibri"/>
          <w:sz w:val="24"/>
          <w:szCs w:val="24"/>
        </w:rPr>
        <w:t xml:space="preserve"> all partners are aware and supportive of the project, its outputs, modes of delivery and management of change.  </w:t>
      </w:r>
    </w:p>
    <w:p w14:paraId="795048C0" w14:textId="4EEB388C" w:rsidR="004A790F" w:rsidRPr="008F10D9" w:rsidRDefault="009C0F91" w:rsidP="004A790F">
      <w:pPr>
        <w:rPr>
          <w:rFonts w:ascii="Calibri" w:hAnsi="Calibri" w:cs="Calibri"/>
          <w:sz w:val="24"/>
          <w:szCs w:val="24"/>
          <w:u w:val="single"/>
        </w:rPr>
      </w:pPr>
      <w:r w:rsidRPr="008F10D9">
        <w:rPr>
          <w:rFonts w:ascii="Calibri" w:hAnsi="Calibri" w:cs="Calibri"/>
          <w:sz w:val="24"/>
          <w:szCs w:val="24"/>
          <w:u w:val="single"/>
        </w:rPr>
        <w:t>0</w:t>
      </w:r>
      <w:r w:rsidR="00573A02" w:rsidRPr="008F10D9">
        <w:rPr>
          <w:rFonts w:ascii="Calibri" w:hAnsi="Calibri" w:cs="Calibri"/>
          <w:sz w:val="24"/>
          <w:szCs w:val="24"/>
          <w:u w:val="single"/>
        </w:rPr>
        <w:t>2</w:t>
      </w:r>
      <w:r w:rsidR="00D52722" w:rsidRPr="008F10D9">
        <w:rPr>
          <w:rFonts w:ascii="Calibri" w:hAnsi="Calibri" w:cs="Calibri"/>
          <w:sz w:val="24"/>
          <w:szCs w:val="24"/>
          <w:u w:val="single"/>
        </w:rPr>
        <w:t xml:space="preserve"> </w:t>
      </w:r>
      <w:r w:rsidR="004A790F" w:rsidRPr="008F10D9">
        <w:rPr>
          <w:rFonts w:ascii="Calibri" w:hAnsi="Calibri" w:cs="Calibri"/>
          <w:sz w:val="24"/>
          <w:szCs w:val="24"/>
          <w:u w:val="single"/>
        </w:rPr>
        <w:t xml:space="preserve">Touring Exhibition Partnership – Memorandum of Understanding </w:t>
      </w:r>
      <w:r w:rsidR="00D52722" w:rsidRPr="008F10D9">
        <w:rPr>
          <w:rFonts w:ascii="Calibri" w:hAnsi="Calibri" w:cs="Calibri"/>
          <w:sz w:val="24"/>
          <w:szCs w:val="24"/>
          <w:u w:val="single"/>
        </w:rPr>
        <w:t>- Template</w:t>
      </w:r>
    </w:p>
    <w:p w14:paraId="46D7D06E" w14:textId="36B55936" w:rsidR="004A790F" w:rsidRPr="008F10D9" w:rsidRDefault="00355706" w:rsidP="004A790F">
      <w:pPr>
        <w:rPr>
          <w:rFonts w:ascii="Calibri" w:hAnsi="Calibri" w:cs="Calibri"/>
          <w:sz w:val="24"/>
          <w:szCs w:val="24"/>
        </w:rPr>
      </w:pPr>
      <w:r w:rsidRPr="008F10D9">
        <w:rPr>
          <w:rFonts w:ascii="Calibri" w:hAnsi="Calibri" w:cs="Calibri"/>
          <w:sz w:val="24"/>
          <w:szCs w:val="24"/>
        </w:rPr>
        <w:t>You can use this</w:t>
      </w:r>
      <w:r w:rsidR="00B84B14" w:rsidRPr="008F10D9">
        <w:rPr>
          <w:rFonts w:ascii="Calibri" w:hAnsi="Calibri" w:cs="Calibri"/>
          <w:sz w:val="24"/>
          <w:szCs w:val="24"/>
        </w:rPr>
        <w:t xml:space="preserve"> </w:t>
      </w:r>
      <w:r w:rsidR="002057F9" w:rsidRPr="008F10D9">
        <w:rPr>
          <w:rFonts w:ascii="Calibri" w:hAnsi="Calibri" w:cs="Calibri"/>
          <w:sz w:val="24"/>
          <w:szCs w:val="24"/>
        </w:rPr>
        <w:t xml:space="preserve">working document to outline the arrangements for the production and tour of an exhibition. It includes </w:t>
      </w:r>
      <w:r w:rsidR="00C402C7" w:rsidRPr="008F10D9">
        <w:rPr>
          <w:rFonts w:ascii="Calibri" w:hAnsi="Calibri" w:cs="Calibri"/>
          <w:sz w:val="24"/>
          <w:szCs w:val="24"/>
        </w:rPr>
        <w:t>a</w:t>
      </w:r>
      <w:r w:rsidR="002057F9" w:rsidRPr="008F10D9">
        <w:rPr>
          <w:rFonts w:ascii="Calibri" w:hAnsi="Calibri" w:cs="Calibri"/>
          <w:sz w:val="24"/>
          <w:szCs w:val="24"/>
        </w:rPr>
        <w:t xml:space="preserve"> </w:t>
      </w:r>
      <w:r w:rsidR="00C843AB" w:rsidRPr="008F10D9">
        <w:rPr>
          <w:rFonts w:ascii="Calibri" w:hAnsi="Calibri" w:cs="Calibri"/>
          <w:sz w:val="24"/>
          <w:szCs w:val="24"/>
        </w:rPr>
        <w:t xml:space="preserve">detailed </w:t>
      </w:r>
      <w:r w:rsidR="002057F9" w:rsidRPr="008F10D9">
        <w:rPr>
          <w:rFonts w:ascii="Calibri" w:hAnsi="Calibri" w:cs="Calibri"/>
          <w:sz w:val="24"/>
          <w:szCs w:val="24"/>
        </w:rPr>
        <w:t xml:space="preserve">breakdown of roles </w:t>
      </w:r>
      <w:r w:rsidR="00C402C7" w:rsidRPr="008F10D9">
        <w:rPr>
          <w:rFonts w:ascii="Calibri" w:hAnsi="Calibri" w:cs="Calibri"/>
          <w:sz w:val="24"/>
          <w:szCs w:val="24"/>
        </w:rPr>
        <w:t>and</w:t>
      </w:r>
      <w:r w:rsidR="002057F9" w:rsidRPr="008F10D9">
        <w:rPr>
          <w:rFonts w:ascii="Calibri" w:hAnsi="Calibri" w:cs="Calibri"/>
          <w:sz w:val="24"/>
          <w:szCs w:val="24"/>
        </w:rPr>
        <w:t xml:space="preserve"> responsibilities</w:t>
      </w:r>
      <w:r w:rsidR="006D5E5B" w:rsidRPr="008F10D9">
        <w:rPr>
          <w:rFonts w:ascii="Calibri" w:hAnsi="Calibri" w:cs="Calibri"/>
          <w:sz w:val="24"/>
          <w:szCs w:val="24"/>
        </w:rPr>
        <w:t xml:space="preserve"> and should be updated on an ongoing basis. </w:t>
      </w:r>
    </w:p>
    <w:p w14:paraId="5B29A490" w14:textId="211F7BF4" w:rsidR="00061C56" w:rsidRPr="008F10D9" w:rsidRDefault="009C0F91" w:rsidP="004A790F">
      <w:pPr>
        <w:rPr>
          <w:rFonts w:ascii="Calibri" w:hAnsi="Calibri" w:cs="Calibri"/>
          <w:sz w:val="24"/>
          <w:szCs w:val="24"/>
          <w:u w:val="single"/>
        </w:rPr>
      </w:pPr>
      <w:r w:rsidRPr="008F10D9">
        <w:rPr>
          <w:rFonts w:ascii="Calibri" w:hAnsi="Calibri" w:cs="Calibri"/>
          <w:sz w:val="24"/>
          <w:szCs w:val="24"/>
          <w:u w:val="single"/>
        </w:rPr>
        <w:t>0</w:t>
      </w:r>
      <w:r w:rsidR="00573A02" w:rsidRPr="008F10D9">
        <w:rPr>
          <w:rFonts w:ascii="Calibri" w:hAnsi="Calibri" w:cs="Calibri"/>
          <w:sz w:val="24"/>
          <w:szCs w:val="24"/>
          <w:u w:val="single"/>
        </w:rPr>
        <w:t xml:space="preserve">3 </w:t>
      </w:r>
      <w:r w:rsidR="00061C56" w:rsidRPr="008F10D9">
        <w:rPr>
          <w:rFonts w:ascii="Calibri" w:hAnsi="Calibri" w:cs="Calibri"/>
          <w:sz w:val="24"/>
          <w:szCs w:val="24"/>
          <w:u w:val="single"/>
        </w:rPr>
        <w:t>Interpretation Plan</w:t>
      </w:r>
      <w:r w:rsidR="00D52722" w:rsidRPr="008F10D9">
        <w:rPr>
          <w:rFonts w:ascii="Calibri" w:hAnsi="Calibri" w:cs="Calibri"/>
          <w:sz w:val="24"/>
          <w:szCs w:val="24"/>
          <w:u w:val="single"/>
        </w:rPr>
        <w:t xml:space="preserve"> - Template</w:t>
      </w:r>
    </w:p>
    <w:p w14:paraId="72C79C23" w14:textId="3555903D" w:rsidR="00061C56" w:rsidRPr="008F10D9" w:rsidRDefault="00061C56" w:rsidP="004A790F">
      <w:pPr>
        <w:rPr>
          <w:rFonts w:ascii="Calibri" w:hAnsi="Calibri" w:cs="Calibri"/>
          <w:sz w:val="24"/>
          <w:szCs w:val="24"/>
        </w:rPr>
      </w:pPr>
      <w:r w:rsidRPr="008F10D9">
        <w:rPr>
          <w:rFonts w:ascii="Calibri" w:hAnsi="Calibri" w:cs="Calibri"/>
          <w:sz w:val="24"/>
          <w:szCs w:val="24"/>
        </w:rPr>
        <w:t xml:space="preserve">This </w:t>
      </w:r>
      <w:r w:rsidR="0048453D" w:rsidRPr="008F10D9">
        <w:rPr>
          <w:rFonts w:ascii="Calibri" w:hAnsi="Calibri" w:cs="Calibri"/>
          <w:sz w:val="24"/>
          <w:szCs w:val="24"/>
        </w:rPr>
        <w:t xml:space="preserve">template </w:t>
      </w:r>
      <w:r w:rsidR="008D214F" w:rsidRPr="008F10D9">
        <w:rPr>
          <w:rFonts w:ascii="Calibri" w:hAnsi="Calibri" w:cs="Calibri"/>
          <w:sz w:val="24"/>
          <w:szCs w:val="24"/>
        </w:rPr>
        <w:t>helps</w:t>
      </w:r>
      <w:r w:rsidR="00033CA4" w:rsidRPr="008F10D9">
        <w:rPr>
          <w:rFonts w:ascii="Calibri" w:hAnsi="Calibri" w:cs="Calibri"/>
          <w:sz w:val="24"/>
          <w:szCs w:val="24"/>
        </w:rPr>
        <w:t xml:space="preserve"> </w:t>
      </w:r>
      <w:r w:rsidR="00C962B5" w:rsidRPr="008F10D9">
        <w:rPr>
          <w:rFonts w:ascii="Calibri" w:hAnsi="Calibri" w:cs="Calibri"/>
          <w:sz w:val="24"/>
          <w:szCs w:val="24"/>
        </w:rPr>
        <w:t>you</w:t>
      </w:r>
      <w:r w:rsidR="008A4741" w:rsidRPr="008F10D9">
        <w:rPr>
          <w:rFonts w:ascii="Calibri" w:hAnsi="Calibri" w:cs="Calibri"/>
          <w:sz w:val="24"/>
          <w:szCs w:val="24"/>
        </w:rPr>
        <w:t xml:space="preserve"> to plan and agree</w:t>
      </w:r>
      <w:r w:rsidR="00033CA4" w:rsidRPr="008F10D9">
        <w:rPr>
          <w:rFonts w:ascii="Calibri" w:hAnsi="Calibri" w:cs="Calibri"/>
          <w:sz w:val="24"/>
          <w:szCs w:val="24"/>
        </w:rPr>
        <w:t xml:space="preserve"> </w:t>
      </w:r>
      <w:r w:rsidR="00D855F1" w:rsidRPr="008F10D9">
        <w:rPr>
          <w:rFonts w:ascii="Calibri" w:hAnsi="Calibri" w:cs="Calibri"/>
          <w:sz w:val="24"/>
          <w:szCs w:val="24"/>
        </w:rPr>
        <w:t>interpret</w:t>
      </w:r>
      <w:r w:rsidR="008A4741" w:rsidRPr="008F10D9">
        <w:rPr>
          <w:rFonts w:ascii="Calibri" w:hAnsi="Calibri" w:cs="Calibri"/>
          <w:sz w:val="24"/>
          <w:szCs w:val="24"/>
        </w:rPr>
        <w:t>ative approaches</w:t>
      </w:r>
      <w:r w:rsidR="00D855F1" w:rsidRPr="008F10D9">
        <w:rPr>
          <w:rFonts w:ascii="Calibri" w:hAnsi="Calibri" w:cs="Calibri"/>
          <w:sz w:val="24"/>
          <w:szCs w:val="24"/>
        </w:rPr>
        <w:t xml:space="preserve"> for collaborative exhibitions. It </w:t>
      </w:r>
      <w:r w:rsidR="0048453D" w:rsidRPr="008F10D9">
        <w:rPr>
          <w:rFonts w:ascii="Calibri" w:hAnsi="Calibri" w:cs="Calibri"/>
          <w:sz w:val="24"/>
          <w:szCs w:val="24"/>
        </w:rPr>
        <w:t>establishes the collective context, target audiences, objectives, content and external partnerships.</w:t>
      </w:r>
    </w:p>
    <w:p w14:paraId="7DA2CD91" w14:textId="77777777" w:rsidR="008C4817" w:rsidRDefault="008C4817" w:rsidP="004A790F">
      <w:pPr>
        <w:rPr>
          <w:rFonts w:ascii="Calibri" w:hAnsi="Calibri" w:cs="Calibri"/>
          <w:sz w:val="24"/>
          <w:szCs w:val="24"/>
          <w:u w:val="single"/>
        </w:rPr>
      </w:pPr>
    </w:p>
    <w:p w14:paraId="2D9F12D7" w14:textId="038E1AB2" w:rsidR="008B5232" w:rsidRPr="008F10D9" w:rsidRDefault="009C0F91" w:rsidP="004A790F">
      <w:pPr>
        <w:rPr>
          <w:rFonts w:ascii="Calibri" w:hAnsi="Calibri" w:cs="Calibri"/>
          <w:sz w:val="24"/>
          <w:szCs w:val="24"/>
          <w:u w:val="single"/>
        </w:rPr>
      </w:pPr>
      <w:r w:rsidRPr="008F10D9">
        <w:rPr>
          <w:rFonts w:ascii="Calibri" w:hAnsi="Calibri" w:cs="Calibri"/>
          <w:sz w:val="24"/>
          <w:szCs w:val="24"/>
          <w:u w:val="single"/>
        </w:rPr>
        <w:lastRenderedPageBreak/>
        <w:t>0</w:t>
      </w:r>
      <w:r w:rsidR="00E22F37" w:rsidRPr="008F10D9">
        <w:rPr>
          <w:rFonts w:ascii="Calibri" w:hAnsi="Calibri" w:cs="Calibri"/>
          <w:sz w:val="24"/>
          <w:szCs w:val="24"/>
          <w:u w:val="single"/>
        </w:rPr>
        <w:t>4</w:t>
      </w:r>
      <w:r w:rsidR="00573A02" w:rsidRPr="008F10D9">
        <w:rPr>
          <w:rFonts w:ascii="Calibri" w:hAnsi="Calibri" w:cs="Calibri"/>
          <w:sz w:val="24"/>
          <w:szCs w:val="24"/>
          <w:u w:val="single"/>
        </w:rPr>
        <w:t xml:space="preserve"> </w:t>
      </w:r>
      <w:r w:rsidR="008B5232" w:rsidRPr="008F10D9">
        <w:rPr>
          <w:rFonts w:ascii="Calibri" w:hAnsi="Calibri" w:cs="Calibri"/>
          <w:sz w:val="24"/>
          <w:szCs w:val="24"/>
          <w:u w:val="single"/>
        </w:rPr>
        <w:t>Crafting the Big Idea</w:t>
      </w:r>
      <w:r w:rsidR="001F192A" w:rsidRPr="008F10D9">
        <w:rPr>
          <w:rFonts w:ascii="Calibri" w:hAnsi="Calibri" w:cs="Calibri"/>
          <w:sz w:val="24"/>
          <w:szCs w:val="24"/>
          <w:u w:val="single"/>
        </w:rPr>
        <w:t xml:space="preserve"> – Guided Session</w:t>
      </w:r>
    </w:p>
    <w:p w14:paraId="10B9546C" w14:textId="7B4902BC" w:rsidR="008B5232" w:rsidRPr="008F10D9" w:rsidRDefault="008B5232" w:rsidP="004A790F">
      <w:pPr>
        <w:rPr>
          <w:rFonts w:ascii="Calibri" w:hAnsi="Calibri" w:cs="Calibri"/>
          <w:sz w:val="24"/>
          <w:szCs w:val="24"/>
        </w:rPr>
      </w:pPr>
      <w:r w:rsidRPr="008F10D9">
        <w:rPr>
          <w:rFonts w:ascii="Calibri" w:hAnsi="Calibri" w:cs="Calibri"/>
          <w:sz w:val="24"/>
          <w:szCs w:val="24"/>
        </w:rPr>
        <w:t xml:space="preserve">This </w:t>
      </w:r>
      <w:r w:rsidR="00C748D9" w:rsidRPr="008F10D9">
        <w:rPr>
          <w:rFonts w:ascii="Calibri" w:hAnsi="Calibri" w:cs="Calibri"/>
          <w:sz w:val="24"/>
          <w:szCs w:val="24"/>
        </w:rPr>
        <w:t xml:space="preserve">document outlines a </w:t>
      </w:r>
      <w:r w:rsidRPr="008F10D9">
        <w:rPr>
          <w:rFonts w:ascii="Calibri" w:hAnsi="Calibri" w:cs="Calibri"/>
          <w:sz w:val="24"/>
          <w:szCs w:val="24"/>
        </w:rPr>
        <w:t xml:space="preserve">guided session </w:t>
      </w:r>
      <w:r w:rsidR="00C748D9" w:rsidRPr="008F10D9">
        <w:rPr>
          <w:rFonts w:ascii="Calibri" w:hAnsi="Calibri" w:cs="Calibri"/>
          <w:sz w:val="24"/>
          <w:szCs w:val="24"/>
        </w:rPr>
        <w:t>that</w:t>
      </w:r>
      <w:r w:rsidRPr="008F10D9">
        <w:rPr>
          <w:rFonts w:ascii="Calibri" w:hAnsi="Calibri" w:cs="Calibri"/>
          <w:sz w:val="24"/>
          <w:szCs w:val="24"/>
        </w:rPr>
        <w:t xml:space="preserve"> </w:t>
      </w:r>
      <w:r w:rsidR="00A00BEF" w:rsidRPr="008F10D9">
        <w:rPr>
          <w:rFonts w:ascii="Calibri" w:hAnsi="Calibri" w:cs="Calibri"/>
          <w:sz w:val="24"/>
          <w:szCs w:val="24"/>
        </w:rPr>
        <w:t>you can use</w:t>
      </w:r>
      <w:r w:rsidRPr="008F10D9">
        <w:rPr>
          <w:rFonts w:ascii="Calibri" w:hAnsi="Calibri" w:cs="Calibri"/>
          <w:sz w:val="24"/>
          <w:szCs w:val="24"/>
        </w:rPr>
        <w:t xml:space="preserve"> to define an exhibition’s content</w:t>
      </w:r>
      <w:r w:rsidR="00DC1C0A" w:rsidRPr="008F10D9">
        <w:rPr>
          <w:rFonts w:ascii="Calibri" w:hAnsi="Calibri" w:cs="Calibri"/>
          <w:sz w:val="24"/>
          <w:szCs w:val="24"/>
        </w:rPr>
        <w:t xml:space="preserve"> and give partners</w:t>
      </w:r>
      <w:r w:rsidR="00C42E3D" w:rsidRPr="008F10D9">
        <w:rPr>
          <w:rFonts w:ascii="Calibri" w:hAnsi="Calibri" w:cs="Calibri"/>
          <w:sz w:val="24"/>
          <w:szCs w:val="24"/>
        </w:rPr>
        <w:t xml:space="preserve"> clarity on the subsequent steps of development.</w:t>
      </w:r>
      <w:r w:rsidR="00DC1C0A" w:rsidRPr="008F10D9">
        <w:rPr>
          <w:rFonts w:ascii="Calibri" w:hAnsi="Calibri" w:cs="Calibri"/>
          <w:sz w:val="24"/>
          <w:szCs w:val="24"/>
        </w:rPr>
        <w:t xml:space="preserve"> It was developed by </w:t>
      </w:r>
      <w:proofErr w:type="gramStart"/>
      <w:r w:rsidR="00DC1C0A" w:rsidRPr="008F10D9">
        <w:rPr>
          <w:rFonts w:ascii="Calibri" w:hAnsi="Calibri" w:cs="Calibri"/>
          <w:sz w:val="24"/>
          <w:szCs w:val="24"/>
        </w:rPr>
        <w:t>North East</w:t>
      </w:r>
      <w:proofErr w:type="gramEnd"/>
      <w:r w:rsidR="00DC1C0A" w:rsidRPr="008F10D9">
        <w:rPr>
          <w:rFonts w:ascii="Calibri" w:hAnsi="Calibri" w:cs="Calibri"/>
          <w:sz w:val="24"/>
          <w:szCs w:val="24"/>
        </w:rPr>
        <w:t xml:space="preserve"> Museums. </w:t>
      </w:r>
    </w:p>
    <w:p w14:paraId="1E225AE8" w14:textId="012615A0" w:rsidR="00C42E3D" w:rsidRPr="008F10D9" w:rsidRDefault="009C0F91" w:rsidP="004A790F">
      <w:pPr>
        <w:rPr>
          <w:rFonts w:ascii="Calibri" w:hAnsi="Calibri" w:cs="Calibri"/>
          <w:sz w:val="24"/>
          <w:szCs w:val="24"/>
          <w:u w:val="single"/>
        </w:rPr>
      </w:pPr>
      <w:r w:rsidRPr="008F10D9">
        <w:rPr>
          <w:rFonts w:ascii="Calibri" w:hAnsi="Calibri" w:cs="Calibri"/>
          <w:sz w:val="24"/>
          <w:szCs w:val="24"/>
          <w:u w:val="single"/>
        </w:rPr>
        <w:t>0</w:t>
      </w:r>
      <w:r w:rsidR="00E22F37" w:rsidRPr="008F10D9">
        <w:rPr>
          <w:rFonts w:ascii="Calibri" w:hAnsi="Calibri" w:cs="Calibri"/>
          <w:sz w:val="24"/>
          <w:szCs w:val="24"/>
          <w:u w:val="single"/>
        </w:rPr>
        <w:t xml:space="preserve">5 </w:t>
      </w:r>
      <w:r w:rsidR="00C42E3D" w:rsidRPr="008F10D9">
        <w:rPr>
          <w:rFonts w:ascii="Calibri" w:hAnsi="Calibri" w:cs="Calibri"/>
          <w:sz w:val="24"/>
          <w:szCs w:val="24"/>
          <w:u w:val="single"/>
        </w:rPr>
        <w:t>Community Engagement</w:t>
      </w:r>
      <w:r w:rsidR="001F192A" w:rsidRPr="008F10D9">
        <w:rPr>
          <w:rFonts w:ascii="Calibri" w:hAnsi="Calibri" w:cs="Calibri"/>
          <w:sz w:val="24"/>
          <w:szCs w:val="24"/>
          <w:u w:val="single"/>
        </w:rPr>
        <w:t xml:space="preserve"> -</w:t>
      </w:r>
      <w:r w:rsidR="00C42E3D" w:rsidRPr="008F10D9">
        <w:rPr>
          <w:rFonts w:ascii="Calibri" w:hAnsi="Calibri" w:cs="Calibri"/>
          <w:sz w:val="24"/>
          <w:szCs w:val="24"/>
          <w:u w:val="single"/>
        </w:rPr>
        <w:t xml:space="preserve"> Checklist</w:t>
      </w:r>
    </w:p>
    <w:p w14:paraId="6F4C2B61" w14:textId="1C41D90F" w:rsidR="00C42E3D" w:rsidRPr="008F10D9" w:rsidRDefault="00A94F00" w:rsidP="004A790F">
      <w:pPr>
        <w:rPr>
          <w:rFonts w:ascii="Calibri" w:hAnsi="Calibri" w:cs="Calibri"/>
          <w:sz w:val="24"/>
          <w:szCs w:val="24"/>
        </w:rPr>
      </w:pPr>
      <w:r w:rsidRPr="008F10D9">
        <w:rPr>
          <w:rFonts w:ascii="Calibri" w:hAnsi="Calibri" w:cs="Calibri"/>
          <w:sz w:val="24"/>
          <w:szCs w:val="24"/>
        </w:rPr>
        <w:t xml:space="preserve">This checklist </w:t>
      </w:r>
      <w:r w:rsidR="00FD2802" w:rsidRPr="008F10D9">
        <w:rPr>
          <w:rFonts w:ascii="Calibri" w:hAnsi="Calibri" w:cs="Calibri"/>
          <w:sz w:val="24"/>
          <w:szCs w:val="24"/>
        </w:rPr>
        <w:t xml:space="preserve">helps </w:t>
      </w:r>
      <w:r w:rsidR="00845A75" w:rsidRPr="008F10D9">
        <w:rPr>
          <w:rFonts w:ascii="Calibri" w:hAnsi="Calibri" w:cs="Calibri"/>
          <w:sz w:val="24"/>
          <w:szCs w:val="24"/>
        </w:rPr>
        <w:t>you to</w:t>
      </w:r>
      <w:r w:rsidR="00FD2802" w:rsidRPr="008F10D9">
        <w:rPr>
          <w:rFonts w:ascii="Calibri" w:hAnsi="Calibri" w:cs="Calibri"/>
          <w:sz w:val="24"/>
          <w:szCs w:val="24"/>
        </w:rPr>
        <w:t xml:space="preserve"> decide whether to undertake community engagement activities and </w:t>
      </w:r>
      <w:r w:rsidR="00267A7E" w:rsidRPr="008F10D9">
        <w:rPr>
          <w:rFonts w:ascii="Calibri" w:hAnsi="Calibri" w:cs="Calibri"/>
          <w:sz w:val="24"/>
          <w:szCs w:val="24"/>
        </w:rPr>
        <w:t xml:space="preserve">determine what form they </w:t>
      </w:r>
      <w:r w:rsidR="00A00BEF" w:rsidRPr="008F10D9">
        <w:rPr>
          <w:rFonts w:ascii="Calibri" w:hAnsi="Calibri" w:cs="Calibri"/>
          <w:sz w:val="24"/>
          <w:szCs w:val="24"/>
        </w:rPr>
        <w:t>might</w:t>
      </w:r>
      <w:r w:rsidR="00267A7E" w:rsidRPr="008F10D9">
        <w:rPr>
          <w:rFonts w:ascii="Calibri" w:hAnsi="Calibri" w:cs="Calibri"/>
          <w:sz w:val="24"/>
          <w:szCs w:val="24"/>
        </w:rPr>
        <w:t xml:space="preserve"> take. </w:t>
      </w:r>
      <w:r w:rsidR="00E33DC6" w:rsidRPr="008F10D9">
        <w:rPr>
          <w:rFonts w:ascii="Calibri" w:hAnsi="Calibri" w:cs="Calibri"/>
          <w:sz w:val="24"/>
          <w:szCs w:val="24"/>
        </w:rPr>
        <w:t xml:space="preserve">Every project is different and the checklist can be adapted to meet your specific needs. </w:t>
      </w:r>
    </w:p>
    <w:p w14:paraId="3A8CF482" w14:textId="0E746AA6" w:rsidR="00E87998" w:rsidRPr="008F10D9" w:rsidRDefault="009C0F91" w:rsidP="004A790F">
      <w:pPr>
        <w:rPr>
          <w:rFonts w:ascii="Calibri" w:hAnsi="Calibri" w:cs="Calibri"/>
          <w:sz w:val="24"/>
          <w:szCs w:val="24"/>
          <w:u w:val="single"/>
        </w:rPr>
      </w:pPr>
      <w:r w:rsidRPr="008F10D9">
        <w:rPr>
          <w:rFonts w:ascii="Calibri" w:hAnsi="Calibri" w:cs="Calibri"/>
          <w:sz w:val="24"/>
          <w:szCs w:val="24"/>
          <w:u w:val="single"/>
        </w:rPr>
        <w:t>0</w:t>
      </w:r>
      <w:r w:rsidR="00E22F37" w:rsidRPr="008F10D9">
        <w:rPr>
          <w:rFonts w:ascii="Calibri" w:hAnsi="Calibri" w:cs="Calibri"/>
          <w:sz w:val="24"/>
          <w:szCs w:val="24"/>
          <w:u w:val="single"/>
        </w:rPr>
        <w:t xml:space="preserve">6 </w:t>
      </w:r>
      <w:r w:rsidR="00E87998" w:rsidRPr="008F10D9">
        <w:rPr>
          <w:rFonts w:ascii="Calibri" w:hAnsi="Calibri" w:cs="Calibri"/>
          <w:sz w:val="24"/>
          <w:szCs w:val="24"/>
          <w:u w:val="single"/>
        </w:rPr>
        <w:t xml:space="preserve">ITT Design </w:t>
      </w:r>
      <w:r w:rsidR="00504F3C">
        <w:rPr>
          <w:rFonts w:ascii="Calibri" w:hAnsi="Calibri" w:cs="Calibri"/>
          <w:sz w:val="24"/>
          <w:szCs w:val="24"/>
          <w:u w:val="single"/>
        </w:rPr>
        <w:t xml:space="preserve">and Build </w:t>
      </w:r>
      <w:r w:rsidR="00E87998" w:rsidRPr="008F10D9">
        <w:rPr>
          <w:rFonts w:ascii="Calibri" w:hAnsi="Calibri" w:cs="Calibri"/>
          <w:sz w:val="24"/>
          <w:szCs w:val="24"/>
          <w:u w:val="single"/>
        </w:rPr>
        <w:t>Brief for Touring Exhibition</w:t>
      </w:r>
      <w:r w:rsidR="00D52722" w:rsidRPr="008F10D9">
        <w:rPr>
          <w:rFonts w:ascii="Calibri" w:hAnsi="Calibri" w:cs="Calibri"/>
          <w:sz w:val="24"/>
          <w:szCs w:val="24"/>
          <w:u w:val="single"/>
        </w:rPr>
        <w:t xml:space="preserve"> - Template</w:t>
      </w:r>
    </w:p>
    <w:p w14:paraId="6E907083" w14:textId="60B1ABCD" w:rsidR="00E87998" w:rsidRPr="008F10D9" w:rsidRDefault="00E87998" w:rsidP="004A790F">
      <w:pPr>
        <w:rPr>
          <w:rFonts w:ascii="Calibri" w:hAnsi="Calibri" w:cs="Calibri"/>
          <w:sz w:val="24"/>
          <w:szCs w:val="24"/>
        </w:rPr>
      </w:pPr>
      <w:r w:rsidRPr="008F10D9">
        <w:rPr>
          <w:rFonts w:ascii="Calibri" w:hAnsi="Calibri" w:cs="Calibri"/>
          <w:sz w:val="24"/>
          <w:szCs w:val="24"/>
        </w:rPr>
        <w:t xml:space="preserve">This template helps </w:t>
      </w:r>
      <w:r w:rsidR="003C12CC" w:rsidRPr="008F10D9">
        <w:rPr>
          <w:rFonts w:ascii="Calibri" w:hAnsi="Calibri" w:cs="Calibri"/>
          <w:sz w:val="24"/>
          <w:szCs w:val="24"/>
        </w:rPr>
        <w:t>you</w:t>
      </w:r>
      <w:r w:rsidR="00955446" w:rsidRPr="008F10D9">
        <w:rPr>
          <w:rFonts w:ascii="Calibri" w:hAnsi="Calibri" w:cs="Calibri"/>
          <w:sz w:val="24"/>
          <w:szCs w:val="24"/>
        </w:rPr>
        <w:t xml:space="preserve"> </w:t>
      </w:r>
      <w:r w:rsidRPr="008F10D9">
        <w:rPr>
          <w:rFonts w:ascii="Calibri" w:hAnsi="Calibri" w:cs="Calibri"/>
          <w:sz w:val="24"/>
          <w:szCs w:val="24"/>
        </w:rPr>
        <w:t>to</w:t>
      </w:r>
      <w:r w:rsidR="00D33056" w:rsidRPr="008F10D9">
        <w:rPr>
          <w:rFonts w:ascii="Calibri" w:hAnsi="Calibri" w:cs="Calibri"/>
          <w:sz w:val="24"/>
          <w:szCs w:val="24"/>
        </w:rPr>
        <w:t xml:space="preserve"> </w:t>
      </w:r>
      <w:r w:rsidR="009F3023" w:rsidRPr="008F10D9">
        <w:rPr>
          <w:rFonts w:ascii="Calibri" w:hAnsi="Calibri" w:cs="Calibri"/>
          <w:sz w:val="24"/>
          <w:szCs w:val="24"/>
        </w:rPr>
        <w:t xml:space="preserve">set out your tender </w:t>
      </w:r>
      <w:r w:rsidR="00177DE8" w:rsidRPr="008F10D9">
        <w:rPr>
          <w:rFonts w:ascii="Calibri" w:hAnsi="Calibri" w:cs="Calibri"/>
          <w:sz w:val="24"/>
          <w:szCs w:val="24"/>
        </w:rPr>
        <w:t>for</w:t>
      </w:r>
      <w:r w:rsidR="005966FA" w:rsidRPr="008F10D9">
        <w:rPr>
          <w:rFonts w:ascii="Calibri" w:hAnsi="Calibri" w:cs="Calibri"/>
          <w:sz w:val="24"/>
          <w:szCs w:val="24"/>
        </w:rPr>
        <w:t xml:space="preserve"> a single </w:t>
      </w:r>
      <w:r w:rsidR="00177DE8" w:rsidRPr="008F10D9">
        <w:rPr>
          <w:rFonts w:ascii="Calibri" w:hAnsi="Calibri" w:cs="Calibri"/>
          <w:sz w:val="24"/>
          <w:szCs w:val="24"/>
        </w:rPr>
        <w:t xml:space="preserve">design </w:t>
      </w:r>
      <w:r w:rsidR="005966FA" w:rsidRPr="008F10D9">
        <w:rPr>
          <w:rFonts w:ascii="Calibri" w:hAnsi="Calibri" w:cs="Calibri"/>
          <w:sz w:val="24"/>
          <w:szCs w:val="24"/>
        </w:rPr>
        <w:t>contract when working in partnership.</w:t>
      </w:r>
      <w:r w:rsidRPr="008F10D9">
        <w:rPr>
          <w:rFonts w:ascii="Calibri" w:hAnsi="Calibri" w:cs="Calibri"/>
          <w:sz w:val="24"/>
          <w:szCs w:val="24"/>
        </w:rPr>
        <w:t xml:space="preserve"> </w:t>
      </w:r>
      <w:r w:rsidR="005966FA" w:rsidRPr="008F10D9">
        <w:rPr>
          <w:rFonts w:ascii="Calibri" w:hAnsi="Calibri" w:cs="Calibri"/>
          <w:sz w:val="24"/>
          <w:szCs w:val="24"/>
        </w:rPr>
        <w:t>It covers</w:t>
      </w:r>
      <w:r w:rsidRPr="008F10D9">
        <w:rPr>
          <w:rFonts w:ascii="Calibri" w:hAnsi="Calibri" w:cs="Calibri"/>
          <w:sz w:val="24"/>
          <w:szCs w:val="24"/>
        </w:rPr>
        <w:t xml:space="preserve"> 3D exhibition design and build, 2D creative direction and title treatment </w:t>
      </w:r>
      <w:r w:rsidR="005966FA" w:rsidRPr="008F10D9">
        <w:rPr>
          <w:rFonts w:ascii="Calibri" w:hAnsi="Calibri" w:cs="Calibri"/>
          <w:sz w:val="24"/>
          <w:szCs w:val="24"/>
        </w:rPr>
        <w:t xml:space="preserve">but </w:t>
      </w:r>
      <w:r w:rsidR="00AC0F70" w:rsidRPr="008F10D9">
        <w:rPr>
          <w:rFonts w:ascii="Calibri" w:hAnsi="Calibri" w:cs="Calibri"/>
          <w:sz w:val="24"/>
          <w:szCs w:val="24"/>
        </w:rPr>
        <w:t xml:space="preserve">can be adapted </w:t>
      </w:r>
      <w:r w:rsidR="009D418D" w:rsidRPr="008F10D9">
        <w:rPr>
          <w:rFonts w:ascii="Calibri" w:hAnsi="Calibri" w:cs="Calibri"/>
          <w:sz w:val="24"/>
          <w:szCs w:val="24"/>
        </w:rPr>
        <w:t>to different approaches</w:t>
      </w:r>
      <w:r w:rsidRPr="008F10D9">
        <w:rPr>
          <w:rFonts w:ascii="Calibri" w:hAnsi="Calibri" w:cs="Calibri"/>
          <w:sz w:val="24"/>
          <w:szCs w:val="24"/>
        </w:rPr>
        <w:t xml:space="preserve">. It </w:t>
      </w:r>
      <w:r w:rsidR="009D418D" w:rsidRPr="008F10D9">
        <w:rPr>
          <w:rFonts w:ascii="Calibri" w:hAnsi="Calibri" w:cs="Calibri"/>
          <w:sz w:val="24"/>
          <w:szCs w:val="24"/>
        </w:rPr>
        <w:t>is</w:t>
      </w:r>
      <w:r w:rsidRPr="008F10D9">
        <w:rPr>
          <w:rFonts w:ascii="Calibri" w:hAnsi="Calibri" w:cs="Calibri"/>
          <w:sz w:val="24"/>
          <w:szCs w:val="24"/>
        </w:rPr>
        <w:t xml:space="preserve"> particularly helpful for </w:t>
      </w:r>
      <w:r w:rsidR="009D418D" w:rsidRPr="008F10D9">
        <w:rPr>
          <w:rFonts w:ascii="Calibri" w:hAnsi="Calibri" w:cs="Calibri"/>
          <w:sz w:val="24"/>
          <w:szCs w:val="24"/>
        </w:rPr>
        <w:t xml:space="preserve">organisations </w:t>
      </w:r>
      <w:r w:rsidRPr="008F10D9">
        <w:rPr>
          <w:rFonts w:ascii="Calibri" w:hAnsi="Calibri" w:cs="Calibri"/>
          <w:sz w:val="24"/>
          <w:szCs w:val="24"/>
        </w:rPr>
        <w:t>interested in promoting reuse</w:t>
      </w:r>
      <w:r w:rsidR="000D7B2B">
        <w:rPr>
          <w:rFonts w:ascii="Calibri" w:hAnsi="Calibri" w:cs="Calibri"/>
          <w:sz w:val="24"/>
          <w:szCs w:val="24"/>
        </w:rPr>
        <w:t>.</w:t>
      </w:r>
      <w:r w:rsidR="002819F0" w:rsidRPr="008F10D9">
        <w:rPr>
          <w:rFonts w:ascii="Calibri" w:hAnsi="Calibri" w:cs="Calibri"/>
          <w:sz w:val="24"/>
          <w:szCs w:val="24"/>
        </w:rPr>
        <w:t xml:space="preserve"> </w:t>
      </w:r>
    </w:p>
    <w:p w14:paraId="0B501AAA" w14:textId="5DBC6676" w:rsidR="00DD73FC" w:rsidRPr="000D7B2B" w:rsidRDefault="007217EB">
      <w:pPr>
        <w:rPr>
          <w:rFonts w:ascii="Calibri" w:hAnsi="Calibri" w:cs="Calibri"/>
          <w:sz w:val="24"/>
          <w:szCs w:val="24"/>
          <w:u w:val="single"/>
        </w:rPr>
      </w:pPr>
      <w:r w:rsidRPr="000D7B2B">
        <w:rPr>
          <w:rFonts w:ascii="Calibri" w:hAnsi="Calibri" w:cs="Calibri"/>
          <w:sz w:val="24"/>
          <w:szCs w:val="24"/>
          <w:u w:val="single"/>
        </w:rPr>
        <w:t>07 Environmental Responsibility Guiding Principles</w:t>
      </w:r>
      <w:r w:rsidR="00F055BA">
        <w:rPr>
          <w:rFonts w:ascii="Calibri" w:hAnsi="Calibri" w:cs="Calibri"/>
          <w:sz w:val="24"/>
          <w:szCs w:val="24"/>
          <w:u w:val="single"/>
        </w:rPr>
        <w:t xml:space="preserve"> - Template</w:t>
      </w:r>
    </w:p>
    <w:p w14:paraId="78B1CB73" w14:textId="54417E1A" w:rsidR="007217EB" w:rsidRPr="008F10D9" w:rsidRDefault="0099584D" w:rsidP="0099584D">
      <w:pPr>
        <w:rPr>
          <w:rFonts w:ascii="Calibri" w:hAnsi="Calibri" w:cs="Calibri"/>
          <w:sz w:val="24"/>
          <w:szCs w:val="24"/>
        </w:rPr>
      </w:pPr>
      <w:r w:rsidRPr="0099584D">
        <w:rPr>
          <w:rFonts w:ascii="Calibri" w:hAnsi="Calibri" w:cs="Calibri"/>
          <w:sz w:val="24"/>
          <w:szCs w:val="24"/>
        </w:rPr>
        <w:t>This template helps you to ensure alignment between partners on the approach to environmental responsibility when working on a collaborative temporary exhibition. It can also be used as an appendix to procurement documents such as an Invitation to Tender Design and Build Brief and to engage other suppliers.</w:t>
      </w:r>
      <w:r w:rsidR="00657690">
        <w:rPr>
          <w:rFonts w:ascii="Calibri" w:hAnsi="Calibri" w:cs="Calibri"/>
          <w:sz w:val="24"/>
          <w:szCs w:val="24"/>
        </w:rPr>
        <w:t xml:space="preserve"> T</w:t>
      </w:r>
      <w:r w:rsidR="00657690" w:rsidRPr="00657690">
        <w:rPr>
          <w:rFonts w:ascii="Calibri" w:hAnsi="Calibri" w:cs="Calibri"/>
          <w:sz w:val="24"/>
          <w:szCs w:val="24"/>
        </w:rPr>
        <w:t xml:space="preserve">he principles were drafted by the Design Museum, who were the environmental </w:t>
      </w:r>
      <w:r w:rsidR="00657690">
        <w:rPr>
          <w:rFonts w:ascii="Calibri" w:hAnsi="Calibri" w:cs="Calibri"/>
          <w:sz w:val="24"/>
          <w:szCs w:val="24"/>
        </w:rPr>
        <w:t xml:space="preserve">responsibility </w:t>
      </w:r>
      <w:r w:rsidR="00657690" w:rsidRPr="00657690">
        <w:rPr>
          <w:rFonts w:ascii="Calibri" w:hAnsi="Calibri" w:cs="Calibri"/>
          <w:sz w:val="24"/>
          <w:szCs w:val="24"/>
        </w:rPr>
        <w:t>consultant on the project</w:t>
      </w:r>
      <w:r w:rsidR="00657690">
        <w:rPr>
          <w:rFonts w:ascii="Calibri" w:hAnsi="Calibri" w:cs="Calibri"/>
          <w:sz w:val="24"/>
          <w:szCs w:val="24"/>
        </w:rPr>
        <w:t>.</w:t>
      </w:r>
    </w:p>
    <w:sectPr w:rsidR="007217EB" w:rsidRPr="008F10D9" w:rsidSect="00DD73FC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650E" w14:textId="77777777" w:rsidR="00875D73" w:rsidRDefault="00875D73" w:rsidP="00DD73FC">
      <w:pPr>
        <w:spacing w:after="0" w:line="240" w:lineRule="auto"/>
      </w:pPr>
      <w:r>
        <w:separator/>
      </w:r>
    </w:p>
  </w:endnote>
  <w:endnote w:type="continuationSeparator" w:id="0">
    <w:p w14:paraId="5A8271D0" w14:textId="77777777" w:rsidR="00875D73" w:rsidRDefault="00875D73" w:rsidP="00DD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6E68" w14:textId="048878C9" w:rsidR="00A567BD" w:rsidRDefault="00A567BD">
    <w:pPr>
      <w:pStyle w:val="Footer"/>
    </w:pPr>
    <w:r>
      <w:t>Editorial support provided by Susan Dymond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435C" w14:textId="46D1D077" w:rsidR="00742095" w:rsidRDefault="008C4817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84FAB3" wp14:editId="111B0B18">
          <wp:simplePos x="0" y="0"/>
          <wp:positionH relativeFrom="column">
            <wp:posOffset>1842770</wp:posOffset>
          </wp:positionH>
          <wp:positionV relativeFrom="paragraph">
            <wp:posOffset>-52705</wp:posOffset>
          </wp:positionV>
          <wp:extent cx="1668780" cy="369570"/>
          <wp:effectExtent l="0" t="0" r="7620" b="0"/>
          <wp:wrapSquare wrapText="bothSides"/>
          <wp:docPr id="11937564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756463" name="Picture 1193756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8643E48" wp14:editId="6883532E">
          <wp:simplePos x="0" y="0"/>
          <wp:positionH relativeFrom="column">
            <wp:posOffset>-445226</wp:posOffset>
          </wp:positionH>
          <wp:positionV relativeFrom="paragraph">
            <wp:posOffset>-130810</wp:posOffset>
          </wp:positionV>
          <wp:extent cx="2061210" cy="553720"/>
          <wp:effectExtent l="0" t="0" r="0" b="0"/>
          <wp:wrapSquare wrapText="bothSides"/>
          <wp:docPr id="395202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20252" name="Picture 395202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21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0E2CE" w14:textId="57BEA1F1" w:rsidR="00671FFF" w:rsidRPr="00016B4A" w:rsidRDefault="00671FFF" w:rsidP="00016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0492" w14:textId="77777777" w:rsidR="00875D73" w:rsidRDefault="00875D73" w:rsidP="00DD73FC">
      <w:pPr>
        <w:spacing w:after="0" w:line="240" w:lineRule="auto"/>
      </w:pPr>
      <w:r>
        <w:separator/>
      </w:r>
    </w:p>
  </w:footnote>
  <w:footnote w:type="continuationSeparator" w:id="0">
    <w:p w14:paraId="3CD3AF51" w14:textId="77777777" w:rsidR="00875D73" w:rsidRDefault="00875D73" w:rsidP="00DD7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CA1B" w14:textId="11555A94" w:rsidR="00DD73FC" w:rsidRDefault="00DD73F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4561AE2" wp14:editId="6E1F42CF">
          <wp:simplePos x="0" y="0"/>
          <wp:positionH relativeFrom="column">
            <wp:posOffset>4243705</wp:posOffset>
          </wp:positionH>
          <wp:positionV relativeFrom="paragraph">
            <wp:posOffset>-225848</wp:posOffset>
          </wp:positionV>
          <wp:extent cx="2060575" cy="615950"/>
          <wp:effectExtent l="0" t="0" r="0" b="0"/>
          <wp:wrapSquare wrapText="bothSides"/>
          <wp:docPr id="4845480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382"/>
    <w:multiLevelType w:val="hybridMultilevel"/>
    <w:tmpl w:val="3B745E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D5C2D"/>
    <w:multiLevelType w:val="hybridMultilevel"/>
    <w:tmpl w:val="0E1482F8"/>
    <w:lvl w:ilvl="0" w:tplc="0C4050BE">
      <w:start w:val="1"/>
      <w:numFmt w:val="decimal"/>
      <w:lvlText w:val="%1)"/>
      <w:lvlJc w:val="left"/>
      <w:pPr>
        <w:ind w:left="1020" w:hanging="360"/>
      </w:pPr>
    </w:lvl>
    <w:lvl w:ilvl="1" w:tplc="DF6CDEB2">
      <w:start w:val="1"/>
      <w:numFmt w:val="decimal"/>
      <w:lvlText w:val="%2)"/>
      <w:lvlJc w:val="left"/>
      <w:pPr>
        <w:ind w:left="1020" w:hanging="360"/>
      </w:pPr>
    </w:lvl>
    <w:lvl w:ilvl="2" w:tplc="D08AC456">
      <w:start w:val="1"/>
      <w:numFmt w:val="decimal"/>
      <w:lvlText w:val="%3)"/>
      <w:lvlJc w:val="left"/>
      <w:pPr>
        <w:ind w:left="1020" w:hanging="360"/>
      </w:pPr>
    </w:lvl>
    <w:lvl w:ilvl="3" w:tplc="A120F952">
      <w:start w:val="1"/>
      <w:numFmt w:val="decimal"/>
      <w:lvlText w:val="%4)"/>
      <w:lvlJc w:val="left"/>
      <w:pPr>
        <w:ind w:left="1020" w:hanging="360"/>
      </w:pPr>
    </w:lvl>
    <w:lvl w:ilvl="4" w:tplc="60C4CB0A">
      <w:start w:val="1"/>
      <w:numFmt w:val="decimal"/>
      <w:lvlText w:val="%5)"/>
      <w:lvlJc w:val="left"/>
      <w:pPr>
        <w:ind w:left="1020" w:hanging="360"/>
      </w:pPr>
    </w:lvl>
    <w:lvl w:ilvl="5" w:tplc="C2AA663E">
      <w:start w:val="1"/>
      <w:numFmt w:val="decimal"/>
      <w:lvlText w:val="%6)"/>
      <w:lvlJc w:val="left"/>
      <w:pPr>
        <w:ind w:left="1020" w:hanging="360"/>
      </w:pPr>
    </w:lvl>
    <w:lvl w:ilvl="6" w:tplc="E12E3A9C">
      <w:start w:val="1"/>
      <w:numFmt w:val="decimal"/>
      <w:lvlText w:val="%7)"/>
      <w:lvlJc w:val="left"/>
      <w:pPr>
        <w:ind w:left="1020" w:hanging="360"/>
      </w:pPr>
    </w:lvl>
    <w:lvl w:ilvl="7" w:tplc="02C0C188">
      <w:start w:val="1"/>
      <w:numFmt w:val="decimal"/>
      <w:lvlText w:val="%8)"/>
      <w:lvlJc w:val="left"/>
      <w:pPr>
        <w:ind w:left="1020" w:hanging="360"/>
      </w:pPr>
    </w:lvl>
    <w:lvl w:ilvl="8" w:tplc="05FCCDDE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556555EB"/>
    <w:multiLevelType w:val="hybridMultilevel"/>
    <w:tmpl w:val="9B00BF12"/>
    <w:lvl w:ilvl="0" w:tplc="A6DA9CAA">
      <w:start w:val="1"/>
      <w:numFmt w:val="decimal"/>
      <w:lvlText w:val="%1)"/>
      <w:lvlJc w:val="left"/>
      <w:pPr>
        <w:ind w:left="1020" w:hanging="360"/>
      </w:pPr>
    </w:lvl>
    <w:lvl w:ilvl="1" w:tplc="D166CCD6">
      <w:start w:val="1"/>
      <w:numFmt w:val="decimal"/>
      <w:lvlText w:val="%2)"/>
      <w:lvlJc w:val="left"/>
      <w:pPr>
        <w:ind w:left="1020" w:hanging="360"/>
      </w:pPr>
    </w:lvl>
    <w:lvl w:ilvl="2" w:tplc="ADC02232">
      <w:start w:val="1"/>
      <w:numFmt w:val="decimal"/>
      <w:lvlText w:val="%3)"/>
      <w:lvlJc w:val="left"/>
      <w:pPr>
        <w:ind w:left="1020" w:hanging="360"/>
      </w:pPr>
    </w:lvl>
    <w:lvl w:ilvl="3" w:tplc="4E1CFD66">
      <w:start w:val="1"/>
      <w:numFmt w:val="decimal"/>
      <w:lvlText w:val="%4)"/>
      <w:lvlJc w:val="left"/>
      <w:pPr>
        <w:ind w:left="1020" w:hanging="360"/>
      </w:pPr>
    </w:lvl>
    <w:lvl w:ilvl="4" w:tplc="005C4452">
      <w:start w:val="1"/>
      <w:numFmt w:val="decimal"/>
      <w:lvlText w:val="%5)"/>
      <w:lvlJc w:val="left"/>
      <w:pPr>
        <w:ind w:left="1020" w:hanging="360"/>
      </w:pPr>
    </w:lvl>
    <w:lvl w:ilvl="5" w:tplc="61E04E66">
      <w:start w:val="1"/>
      <w:numFmt w:val="decimal"/>
      <w:lvlText w:val="%6)"/>
      <w:lvlJc w:val="left"/>
      <w:pPr>
        <w:ind w:left="1020" w:hanging="360"/>
      </w:pPr>
    </w:lvl>
    <w:lvl w:ilvl="6" w:tplc="1BF0418E">
      <w:start w:val="1"/>
      <w:numFmt w:val="decimal"/>
      <w:lvlText w:val="%7)"/>
      <w:lvlJc w:val="left"/>
      <w:pPr>
        <w:ind w:left="1020" w:hanging="360"/>
      </w:pPr>
    </w:lvl>
    <w:lvl w:ilvl="7" w:tplc="3A4C09DC">
      <w:start w:val="1"/>
      <w:numFmt w:val="decimal"/>
      <w:lvlText w:val="%8)"/>
      <w:lvlJc w:val="left"/>
      <w:pPr>
        <w:ind w:left="1020" w:hanging="360"/>
      </w:pPr>
    </w:lvl>
    <w:lvl w:ilvl="8" w:tplc="AC025416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5D5132ED"/>
    <w:multiLevelType w:val="hybridMultilevel"/>
    <w:tmpl w:val="F45AE966"/>
    <w:lvl w:ilvl="0" w:tplc="A8507B74">
      <w:start w:val="1"/>
      <w:numFmt w:val="decimal"/>
      <w:lvlText w:val="%1)"/>
      <w:lvlJc w:val="left"/>
      <w:pPr>
        <w:ind w:left="1020" w:hanging="360"/>
      </w:pPr>
    </w:lvl>
    <w:lvl w:ilvl="1" w:tplc="A59CC330">
      <w:start w:val="1"/>
      <w:numFmt w:val="decimal"/>
      <w:lvlText w:val="%2)"/>
      <w:lvlJc w:val="left"/>
      <w:pPr>
        <w:ind w:left="1020" w:hanging="360"/>
      </w:pPr>
    </w:lvl>
    <w:lvl w:ilvl="2" w:tplc="93383C04">
      <w:start w:val="1"/>
      <w:numFmt w:val="decimal"/>
      <w:lvlText w:val="%3)"/>
      <w:lvlJc w:val="left"/>
      <w:pPr>
        <w:ind w:left="1020" w:hanging="360"/>
      </w:pPr>
    </w:lvl>
    <w:lvl w:ilvl="3" w:tplc="F078F4A8">
      <w:start w:val="1"/>
      <w:numFmt w:val="decimal"/>
      <w:lvlText w:val="%4)"/>
      <w:lvlJc w:val="left"/>
      <w:pPr>
        <w:ind w:left="1020" w:hanging="360"/>
      </w:pPr>
    </w:lvl>
    <w:lvl w:ilvl="4" w:tplc="5AA85174">
      <w:start w:val="1"/>
      <w:numFmt w:val="decimal"/>
      <w:lvlText w:val="%5)"/>
      <w:lvlJc w:val="left"/>
      <w:pPr>
        <w:ind w:left="1020" w:hanging="360"/>
      </w:pPr>
    </w:lvl>
    <w:lvl w:ilvl="5" w:tplc="498A8932">
      <w:start w:val="1"/>
      <w:numFmt w:val="decimal"/>
      <w:lvlText w:val="%6)"/>
      <w:lvlJc w:val="left"/>
      <w:pPr>
        <w:ind w:left="1020" w:hanging="360"/>
      </w:pPr>
    </w:lvl>
    <w:lvl w:ilvl="6" w:tplc="A8A8B7D6">
      <w:start w:val="1"/>
      <w:numFmt w:val="decimal"/>
      <w:lvlText w:val="%7)"/>
      <w:lvlJc w:val="left"/>
      <w:pPr>
        <w:ind w:left="1020" w:hanging="360"/>
      </w:pPr>
    </w:lvl>
    <w:lvl w:ilvl="7" w:tplc="19226B1A">
      <w:start w:val="1"/>
      <w:numFmt w:val="decimal"/>
      <w:lvlText w:val="%8)"/>
      <w:lvlJc w:val="left"/>
      <w:pPr>
        <w:ind w:left="1020" w:hanging="360"/>
      </w:pPr>
    </w:lvl>
    <w:lvl w:ilvl="8" w:tplc="300EF1CA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644D2545"/>
    <w:multiLevelType w:val="hybridMultilevel"/>
    <w:tmpl w:val="DDCA5318"/>
    <w:lvl w:ilvl="0" w:tplc="31922372">
      <w:start w:val="1"/>
      <w:numFmt w:val="decimal"/>
      <w:lvlText w:val="%1)"/>
      <w:lvlJc w:val="left"/>
      <w:pPr>
        <w:ind w:left="1020" w:hanging="360"/>
      </w:pPr>
    </w:lvl>
    <w:lvl w:ilvl="1" w:tplc="3E1660E8">
      <w:start w:val="1"/>
      <w:numFmt w:val="decimal"/>
      <w:lvlText w:val="%2)"/>
      <w:lvlJc w:val="left"/>
      <w:pPr>
        <w:ind w:left="1020" w:hanging="360"/>
      </w:pPr>
    </w:lvl>
    <w:lvl w:ilvl="2" w:tplc="0C4C2F44">
      <w:start w:val="1"/>
      <w:numFmt w:val="decimal"/>
      <w:lvlText w:val="%3)"/>
      <w:lvlJc w:val="left"/>
      <w:pPr>
        <w:ind w:left="1020" w:hanging="360"/>
      </w:pPr>
    </w:lvl>
    <w:lvl w:ilvl="3" w:tplc="9B189724">
      <w:start w:val="1"/>
      <w:numFmt w:val="decimal"/>
      <w:lvlText w:val="%4)"/>
      <w:lvlJc w:val="left"/>
      <w:pPr>
        <w:ind w:left="1020" w:hanging="360"/>
      </w:pPr>
    </w:lvl>
    <w:lvl w:ilvl="4" w:tplc="A964FF56">
      <w:start w:val="1"/>
      <w:numFmt w:val="decimal"/>
      <w:lvlText w:val="%5)"/>
      <w:lvlJc w:val="left"/>
      <w:pPr>
        <w:ind w:left="1020" w:hanging="360"/>
      </w:pPr>
    </w:lvl>
    <w:lvl w:ilvl="5" w:tplc="25E8C1B8">
      <w:start w:val="1"/>
      <w:numFmt w:val="decimal"/>
      <w:lvlText w:val="%6)"/>
      <w:lvlJc w:val="left"/>
      <w:pPr>
        <w:ind w:left="1020" w:hanging="360"/>
      </w:pPr>
    </w:lvl>
    <w:lvl w:ilvl="6" w:tplc="21308F2E">
      <w:start w:val="1"/>
      <w:numFmt w:val="decimal"/>
      <w:lvlText w:val="%7)"/>
      <w:lvlJc w:val="left"/>
      <w:pPr>
        <w:ind w:left="1020" w:hanging="360"/>
      </w:pPr>
    </w:lvl>
    <w:lvl w:ilvl="7" w:tplc="72023010">
      <w:start w:val="1"/>
      <w:numFmt w:val="decimal"/>
      <w:lvlText w:val="%8)"/>
      <w:lvlJc w:val="left"/>
      <w:pPr>
        <w:ind w:left="1020" w:hanging="360"/>
      </w:pPr>
    </w:lvl>
    <w:lvl w:ilvl="8" w:tplc="4C001F3C">
      <w:start w:val="1"/>
      <w:numFmt w:val="decimal"/>
      <w:lvlText w:val="%9)"/>
      <w:lvlJc w:val="left"/>
      <w:pPr>
        <w:ind w:left="1020" w:hanging="360"/>
      </w:pPr>
    </w:lvl>
  </w:abstractNum>
  <w:num w:numId="1" w16cid:durableId="966162543">
    <w:abstractNumId w:val="0"/>
  </w:num>
  <w:num w:numId="2" w16cid:durableId="1202207659">
    <w:abstractNumId w:val="3"/>
  </w:num>
  <w:num w:numId="3" w16cid:durableId="495733488">
    <w:abstractNumId w:val="1"/>
  </w:num>
  <w:num w:numId="4" w16cid:durableId="1584988450">
    <w:abstractNumId w:val="4"/>
  </w:num>
  <w:num w:numId="5" w16cid:durableId="475882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FC"/>
    <w:rsid w:val="0000727C"/>
    <w:rsid w:val="00007FFE"/>
    <w:rsid w:val="00013DCF"/>
    <w:rsid w:val="00016B4A"/>
    <w:rsid w:val="00033CA4"/>
    <w:rsid w:val="00044604"/>
    <w:rsid w:val="00061C56"/>
    <w:rsid w:val="0007116E"/>
    <w:rsid w:val="000B00C2"/>
    <w:rsid w:val="000D3E1C"/>
    <w:rsid w:val="000D7B2B"/>
    <w:rsid w:val="000E2F53"/>
    <w:rsid w:val="001419B9"/>
    <w:rsid w:val="001437D8"/>
    <w:rsid w:val="001633D5"/>
    <w:rsid w:val="00177DE8"/>
    <w:rsid w:val="001829E9"/>
    <w:rsid w:val="001854D4"/>
    <w:rsid w:val="00193F01"/>
    <w:rsid w:val="001D1922"/>
    <w:rsid w:val="001D19DF"/>
    <w:rsid w:val="001E7D6F"/>
    <w:rsid w:val="001F192A"/>
    <w:rsid w:val="00200AF1"/>
    <w:rsid w:val="00203B25"/>
    <w:rsid w:val="002057F9"/>
    <w:rsid w:val="00210CB3"/>
    <w:rsid w:val="002124B9"/>
    <w:rsid w:val="00215EBE"/>
    <w:rsid w:val="00240922"/>
    <w:rsid w:val="00241B7D"/>
    <w:rsid w:val="0024522B"/>
    <w:rsid w:val="00267A7E"/>
    <w:rsid w:val="002819F0"/>
    <w:rsid w:val="0028547D"/>
    <w:rsid w:val="00287E83"/>
    <w:rsid w:val="00297A58"/>
    <w:rsid w:val="002B362C"/>
    <w:rsid w:val="002E5F14"/>
    <w:rsid w:val="002E65B3"/>
    <w:rsid w:val="002F183B"/>
    <w:rsid w:val="002F7F61"/>
    <w:rsid w:val="00324782"/>
    <w:rsid w:val="00342A52"/>
    <w:rsid w:val="00355706"/>
    <w:rsid w:val="00360418"/>
    <w:rsid w:val="003B505D"/>
    <w:rsid w:val="003C12CC"/>
    <w:rsid w:val="00430EB7"/>
    <w:rsid w:val="00435C38"/>
    <w:rsid w:val="00444F62"/>
    <w:rsid w:val="004633B4"/>
    <w:rsid w:val="00470AE1"/>
    <w:rsid w:val="00483B92"/>
    <w:rsid w:val="0048453D"/>
    <w:rsid w:val="004A4B63"/>
    <w:rsid w:val="004A790F"/>
    <w:rsid w:val="004B4CCD"/>
    <w:rsid w:val="004E5551"/>
    <w:rsid w:val="00503C8D"/>
    <w:rsid w:val="00504A7D"/>
    <w:rsid w:val="00504F3C"/>
    <w:rsid w:val="005228A9"/>
    <w:rsid w:val="00530710"/>
    <w:rsid w:val="005538F0"/>
    <w:rsid w:val="00555340"/>
    <w:rsid w:val="00555EDE"/>
    <w:rsid w:val="00573A02"/>
    <w:rsid w:val="005803C2"/>
    <w:rsid w:val="00587188"/>
    <w:rsid w:val="00590FB2"/>
    <w:rsid w:val="005966FA"/>
    <w:rsid w:val="005A2CC8"/>
    <w:rsid w:val="005C3345"/>
    <w:rsid w:val="005C4498"/>
    <w:rsid w:val="005E3E4B"/>
    <w:rsid w:val="005F4F16"/>
    <w:rsid w:val="006017AB"/>
    <w:rsid w:val="0062249D"/>
    <w:rsid w:val="00657690"/>
    <w:rsid w:val="00671FFF"/>
    <w:rsid w:val="0067716A"/>
    <w:rsid w:val="006844D2"/>
    <w:rsid w:val="006A70C4"/>
    <w:rsid w:val="006B5389"/>
    <w:rsid w:val="006C28C4"/>
    <w:rsid w:val="006C5331"/>
    <w:rsid w:val="006D5E5B"/>
    <w:rsid w:val="006D62C2"/>
    <w:rsid w:val="007217EB"/>
    <w:rsid w:val="00742095"/>
    <w:rsid w:val="007627BA"/>
    <w:rsid w:val="00795261"/>
    <w:rsid w:val="007A2AA0"/>
    <w:rsid w:val="007A6DA8"/>
    <w:rsid w:val="007B009C"/>
    <w:rsid w:val="00817F59"/>
    <w:rsid w:val="00842AB8"/>
    <w:rsid w:val="00845A75"/>
    <w:rsid w:val="00867261"/>
    <w:rsid w:val="00875812"/>
    <w:rsid w:val="00875D73"/>
    <w:rsid w:val="0088694B"/>
    <w:rsid w:val="008A4741"/>
    <w:rsid w:val="008B2426"/>
    <w:rsid w:val="008B505C"/>
    <w:rsid w:val="008B5232"/>
    <w:rsid w:val="008C4817"/>
    <w:rsid w:val="008D214F"/>
    <w:rsid w:val="008F10D9"/>
    <w:rsid w:val="0090773C"/>
    <w:rsid w:val="009451B2"/>
    <w:rsid w:val="00955446"/>
    <w:rsid w:val="009768DE"/>
    <w:rsid w:val="009843DB"/>
    <w:rsid w:val="0099584D"/>
    <w:rsid w:val="009A0790"/>
    <w:rsid w:val="009C0F91"/>
    <w:rsid w:val="009D418D"/>
    <w:rsid w:val="009E0877"/>
    <w:rsid w:val="009F0F83"/>
    <w:rsid w:val="009F3023"/>
    <w:rsid w:val="009F755E"/>
    <w:rsid w:val="009F75C8"/>
    <w:rsid w:val="00A00BEF"/>
    <w:rsid w:val="00A20921"/>
    <w:rsid w:val="00A55679"/>
    <w:rsid w:val="00A567BD"/>
    <w:rsid w:val="00A767CB"/>
    <w:rsid w:val="00A8577E"/>
    <w:rsid w:val="00A87D08"/>
    <w:rsid w:val="00A9385B"/>
    <w:rsid w:val="00A94F00"/>
    <w:rsid w:val="00A97D1F"/>
    <w:rsid w:val="00AA79DE"/>
    <w:rsid w:val="00AC0F70"/>
    <w:rsid w:val="00AC2AAA"/>
    <w:rsid w:val="00AC54AE"/>
    <w:rsid w:val="00AE634C"/>
    <w:rsid w:val="00AF0630"/>
    <w:rsid w:val="00AF3EF1"/>
    <w:rsid w:val="00B30CDA"/>
    <w:rsid w:val="00B5791E"/>
    <w:rsid w:val="00B7054F"/>
    <w:rsid w:val="00B75FB3"/>
    <w:rsid w:val="00B81D22"/>
    <w:rsid w:val="00B84B14"/>
    <w:rsid w:val="00BA7B25"/>
    <w:rsid w:val="00BB4A93"/>
    <w:rsid w:val="00BB7DD6"/>
    <w:rsid w:val="00BD2434"/>
    <w:rsid w:val="00BE3EA0"/>
    <w:rsid w:val="00BF5633"/>
    <w:rsid w:val="00C05380"/>
    <w:rsid w:val="00C07E7E"/>
    <w:rsid w:val="00C2705D"/>
    <w:rsid w:val="00C402C7"/>
    <w:rsid w:val="00C42239"/>
    <w:rsid w:val="00C42BDB"/>
    <w:rsid w:val="00C42E3D"/>
    <w:rsid w:val="00C524FB"/>
    <w:rsid w:val="00C62F07"/>
    <w:rsid w:val="00C748D9"/>
    <w:rsid w:val="00C843AB"/>
    <w:rsid w:val="00C962B5"/>
    <w:rsid w:val="00CB0C4C"/>
    <w:rsid w:val="00CB1047"/>
    <w:rsid w:val="00CE2868"/>
    <w:rsid w:val="00CF40CE"/>
    <w:rsid w:val="00D33056"/>
    <w:rsid w:val="00D52722"/>
    <w:rsid w:val="00D53FFC"/>
    <w:rsid w:val="00D54CC6"/>
    <w:rsid w:val="00D855F1"/>
    <w:rsid w:val="00D952EB"/>
    <w:rsid w:val="00D96057"/>
    <w:rsid w:val="00D96299"/>
    <w:rsid w:val="00DB1355"/>
    <w:rsid w:val="00DC1C0A"/>
    <w:rsid w:val="00DC661C"/>
    <w:rsid w:val="00DD73FC"/>
    <w:rsid w:val="00DE550D"/>
    <w:rsid w:val="00DF41CC"/>
    <w:rsid w:val="00E22F37"/>
    <w:rsid w:val="00E258DE"/>
    <w:rsid w:val="00E33DC6"/>
    <w:rsid w:val="00E34D60"/>
    <w:rsid w:val="00E42675"/>
    <w:rsid w:val="00E4375C"/>
    <w:rsid w:val="00E8766B"/>
    <w:rsid w:val="00E87998"/>
    <w:rsid w:val="00EA3314"/>
    <w:rsid w:val="00EC4DCC"/>
    <w:rsid w:val="00EE2594"/>
    <w:rsid w:val="00EF6A84"/>
    <w:rsid w:val="00F055BA"/>
    <w:rsid w:val="00F70CDC"/>
    <w:rsid w:val="00F70E64"/>
    <w:rsid w:val="00F87E19"/>
    <w:rsid w:val="00FD2802"/>
    <w:rsid w:val="00FD564A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6C6DA"/>
  <w15:chartTrackingRefBased/>
  <w15:docId w15:val="{48B44DA9-C3BF-4418-866C-7896C8EF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3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3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3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3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3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3F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3F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3F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3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3F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3F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7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3FC"/>
  </w:style>
  <w:style w:type="paragraph" w:styleId="Footer">
    <w:name w:val="footer"/>
    <w:basedOn w:val="Normal"/>
    <w:link w:val="FooterChar"/>
    <w:uiPriority w:val="99"/>
    <w:unhideWhenUsed/>
    <w:rsid w:val="00DD7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3FC"/>
  </w:style>
  <w:style w:type="character" w:styleId="Hyperlink">
    <w:name w:val="Hyperlink"/>
    <w:basedOn w:val="DefaultParagraphFont"/>
    <w:uiPriority w:val="99"/>
    <w:unhideWhenUsed/>
    <w:rsid w:val="00EF6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A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3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5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6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rniman.ac.uk/magn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rtfund.org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00421-3E5D-4E71-AEC0-CD91A028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3275</Characters>
  <Application>Microsoft Office Word</Application>
  <DocSecurity>0</DocSecurity>
  <Lines>163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Horniman Museum and Gardens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Neergheen</dc:creator>
  <cp:keywords/>
  <dc:description/>
  <cp:lastModifiedBy>Alex Donaldson</cp:lastModifiedBy>
  <cp:revision>2</cp:revision>
  <dcterms:created xsi:type="dcterms:W3CDTF">2026-05-22T14:58:00Z</dcterms:created>
  <dcterms:modified xsi:type="dcterms:W3CDTF">2026-05-22T14:58:00Z</dcterms:modified>
</cp:coreProperties>
</file>